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Services Agreement</w:t>
      </w:r>
    </w:p>
    <w:p>
      <w:r>
        <w:t>This Master Services Agreement ("Agreement") is entered into by the Parties as of the Effective Date stated below. The terms outlined herein govern the provision of services and related deliverables.</w:t>
      </w:r>
    </w:p>
    <w:p>
      <w:r>
        <w:t>Section 10 outlines the limitations of liability and the scope of any disclaimers that apply to the Parties.</w:t>
      </w:r>
    </w:p>
    <w:p>
      <w:r>
        <w:t>As further described in Section 10, neither Party will be liable for indirect, special, or consequential damages.</w:t>
      </w:r>
    </w:p>
    <w:p>
      <w:r>
        <w:t>Section 11 establishes the confidentiality obligations of the Parties and the treatment of proprietary information.</w:t>
      </w:r>
    </w:p>
    <w:p>
      <w:r>
        <w:t>Any conflict between earlier sections and Section 10 shall be resolved in favor of the wording contained in Section 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