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 – Introduction</w:t>
      </w:r>
    </w:p>
    <w:p>
      <w:r>
        <w:t>This introduction explains the purpose of the training manual and outlines the learning objectives expected on completion.</w:t>
      </w:r>
    </w:p>
    <w:p>
      <w:r>
        <w:t>The manual will guide users through basic and advanced concepts.</w:t>
      </w:r>
    </w:p>
    <w:p>
      <w:pPr>
        <w:pStyle w:val="Heading2"/>
      </w:pPr>
      <w:r>
        <w:t>Background</w:t>
      </w:r>
    </w:p>
    <w:p>
      <w:r>
        <w:t>Some historical background information.</w:t>
      </w:r>
    </w:p>
    <w:p>
      <w:r>
        <w:t>Lorem ipsum dolor sit amet, consectetur adipiscing elit. Vivamus fringilla pellentesque nisl, non facilisis turpis.</w:t>
      </w:r>
    </w:p>
    <w:p>
      <w:r>
        <w:t>Lorem ipsum dolor sit amet, consectetur adipiscing elit. Vivamus fringilla pellentesque nisl, non facilisis turpis.</w:t>
      </w:r>
    </w:p>
    <w:p>
      <w:r>
        <w:t>Lorem ipsum dolor sit amet, consectetur adipiscing elit. Vivamus fringilla pellentesque nisl, non facilisis turpis.</w:t>
      </w:r>
    </w:p>
    <w:p>
      <w:pPr>
        <w:pStyle w:val="Heading1"/>
      </w:pPr>
      <w:r>
        <w:t>Chapter 2 – Advanced Topics</w:t>
      </w:r>
    </w:p>
    <w:p>
      <w:r>
        <w:t>In this chapter we drill deeper into complex scenarios and best practices that apply to real-world deployments.</w:t>
      </w:r>
    </w:p>
    <w:p>
      <w:pPr>
        <w:pStyle w:val="Heading2"/>
      </w:pPr>
      <w:r>
        <w:t>Configuration</w:t>
      </w:r>
    </w:p>
    <w:p>
      <w:r>
        <w:t>Detailed configuration steps will help the reader reproduce the examples in his or her own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