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Production Figures (sample data for demonstration ­- Table 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Widget A</w:t>
            </w:r>
          </w:p>
        </w:tc>
        <w:tc>
          <w:tcPr>
            <w:tcW w:type="dxa" w:w="1728"/>
          </w:tcPr>
          <w:p>
            <w:r>
              <w:t>1 200</w:t>
            </w:r>
          </w:p>
        </w:tc>
        <w:tc>
          <w:tcPr>
            <w:tcW w:type="dxa" w:w="1728"/>
          </w:tcPr>
          <w:p>
            <w:r>
              <w:t>1 450</w:t>
            </w:r>
          </w:p>
        </w:tc>
        <w:tc>
          <w:tcPr>
            <w:tcW w:type="dxa" w:w="1728"/>
          </w:tcPr>
          <w:p>
            <w:r>
              <w:t>1 380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Widget B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1 050</w:t>
            </w:r>
          </w:p>
        </w:tc>
        <w:tc>
          <w:tcPr>
            <w:tcW w:type="dxa" w:w="1728"/>
          </w:tcPr>
          <w:p>
            <w:r>
              <w:t>1 120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Widget C</w:t>
            </w:r>
          </w:p>
        </w:tc>
        <w:tc>
          <w:tcPr>
            <w:tcW w:type="dxa" w:w="1728"/>
          </w:tcPr>
          <w:p>
            <w:r>
              <w:t>670</w:t>
            </w:r>
          </w:p>
        </w:tc>
        <w:tc>
          <w:tcPr>
            <w:tcW w:type="dxa" w:w="1728"/>
          </w:tcPr>
          <w:p>
            <w:r>
              <w:t>730</w:t>
            </w:r>
          </w:p>
        </w:tc>
        <w:tc>
          <w:tcPr>
            <w:tcW w:type="dxa" w:w="1728"/>
          </w:tcPr>
          <w:p>
            <w:r>
              <w:t>710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