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Table. Unique emulsion gel formulations used for model training and evaluation</w:t>
      </w:r>
    </w:p>
    <w:p>
      <w:pPr>
        <w:jc w:val="center"/>
      </w:pPr>
      <w:r>
        <w:rPr>
          <w:rFonts w:ascii="Arial" w:hAnsi="Arial"/>
          <w:color w:val="595959"/>
          <w:sz w:val="17"/>
        </w:rPr>
        <w:t>Formulations are defined by protein type, heat treatment, protein concentration, oil volume fraction, pH, NaCl, and CaCl2. The list reflects the current dataset after excluding picture16.tif.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64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180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Protein type</w:t>
            </w:r>
          </w:p>
        </w:tc>
        <w:tc>
          <w:tcPr>
            <w:tcW w:type="dxa" w:w="79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Heat</w:t>
            </w:r>
          </w:p>
        </w:tc>
        <w:tc>
          <w:tcPr>
            <w:tcW w:type="dxa" w:w="223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Protein conc. (%)</w:t>
            </w:r>
          </w:p>
        </w:tc>
        <w:tc>
          <w:tcPr>
            <w:tcW w:type="dxa" w:w="172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Oil vol. (%)</w:t>
            </w:r>
          </w:p>
        </w:tc>
        <w:tc>
          <w:tcPr>
            <w:tcW w:type="dxa" w:w="79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</w:t>
            </w:r>
          </w:p>
        </w:tc>
        <w:tc>
          <w:tcPr>
            <w:tcW w:type="dxa" w:w="151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NaCl (mM)</w:t>
            </w:r>
          </w:p>
        </w:tc>
        <w:tc>
          <w:tcPr>
            <w:tcW w:type="dxa" w:w="158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CaCl2 (mM)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FPI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Y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19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21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22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23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24</w:t>
            </w:r>
          </w:p>
        </w:tc>
        <w:tc>
          <w:tcPr>
            <w:tcW w:type="dxa" w:w="1800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79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2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FFF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64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25</w:t>
            </w:r>
          </w:p>
        </w:tc>
        <w:tc>
          <w:tcPr>
            <w:tcW w:type="dxa" w:w="1800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QPI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223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79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512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584"/>
            <w:shd w:fill="F7FBFF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