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/>
      </w:pPr>
      <w:r>
        <w:rPr>
          <w:rFonts w:ascii="Calibri" w:hAnsi="Calibri" w:eastAsia="Microsoft YaHei"/>
          <w:b/>
          <w:color w:val="2E74B5"/>
          <w:sz w:val="18"/>
        </w:rPr>
        <w:t>RESEARCH AUDIT｜2026-07-31</w:t>
      </w:r>
    </w:p>
    <w:p>
      <w:pPr>
        <w:keepNext/>
        <w:keepLines/>
        <w:spacing w:before="0" w:after="100" w:line="240" w:lineRule="auto"/>
      </w:pPr>
      <w:r>
        <w:rPr>
          <w:rFonts w:ascii="Calibri" w:hAnsi="Calibri" w:eastAsia="Microsoft YaHei"/>
          <w:b/>
          <w:color w:val="0B2545"/>
          <w:sz w:val="48"/>
        </w:rPr>
        <w:t>GPPT是否进行跨数据集预训练？</w:t>
      </w:r>
    </w:p>
    <w:p>
      <w:pPr>
        <w:spacing w:before="0" w:after="240"/>
      </w:pPr>
      <w:r>
        <w:rPr>
          <w:rFonts w:ascii="Calibri" w:hAnsi="Calibri" w:eastAsia="Microsoft YaHei"/>
          <w:color w:val="5D6670"/>
          <w:sz w:val="25"/>
        </w:rPr>
        <w:t>论文与官方代码的同数据集证据链</w:t>
      </w:r>
    </w:p>
    <w:p>
      <w:pPr>
        <w:spacing w:before="0" w:after="260" w:line="264" w:lineRule="auto"/>
      </w:pPr>
      <w:r>
        <w:rPr>
          <w:rFonts w:ascii="Calibri" w:hAnsi="Calibri" w:eastAsia="Microsoft YaHei"/>
          <w:b/>
          <w:color w:val="0B2545"/>
          <w:sz w:val="19"/>
        </w:rPr>
        <w:t>材料：</w:t>
      </w:r>
      <w:r>
        <w:rPr>
          <w:rFonts w:ascii="Calibri" w:hAnsi="Calibri" w:eastAsia="Microsoft YaHei"/>
          <w:color w:val="5D6670"/>
          <w:sz w:val="19"/>
        </w:rPr>
        <w:t>GPPT方法章＋作者官方代码commit 4f919ab66c5c2edebcc0356cf6399074c24a99a4</w:t>
        <w:br/>
      </w:r>
      <w:r>
        <w:rPr>
          <w:rFonts w:ascii="Calibri" w:hAnsi="Calibri" w:eastAsia="Microsoft YaHei"/>
          <w:b/>
          <w:color w:val="0B2545"/>
          <w:sz w:val="19"/>
        </w:rPr>
        <w:t>范围：</w:t>
      </w:r>
      <w:r>
        <w:rPr>
          <w:rFonts w:ascii="Calibri" w:hAnsi="Calibri" w:eastAsia="Microsoft YaHei"/>
          <w:color w:val="5D6670"/>
          <w:sz w:val="19"/>
        </w:rPr>
        <w:t>预训练数据、输入维数、checkpoint绑定、Prompt Learning数据集</w:t>
        <w:br/>
      </w:r>
      <w:r>
        <w:rPr>
          <w:rFonts w:ascii="Calibri" w:hAnsi="Calibri" w:eastAsia="Microsoft YaHei"/>
          <w:b/>
          <w:color w:val="0B2545"/>
          <w:sz w:val="19"/>
        </w:rPr>
        <w:t>目标：</w:t>
      </w:r>
      <w:r>
        <w:rPr>
          <w:rFonts w:ascii="Calibri" w:hAnsi="Calibri" w:eastAsia="Microsoft YaHei"/>
          <w:color w:val="5D6670"/>
          <w:sz w:val="19"/>
        </w:rPr>
        <w:t>判断是否存在跨数据集聚合／对齐</w:t>
        <w:br/>
      </w:r>
    </w:p>
    <w:p>
      <w:pPr>
        <w:spacing w:before="40" w:after="160" w:line="283" w:lineRule="auto"/>
        <w:ind w:left="173" w:right="72"/>
        <w:shd w:fill="F4F6F9"/>
        <w:keepNext w:val="0"/>
        <w:keepLines/>
        <w:pBdr>
          <w:left w:val="single" w:sz="20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>判定（高置信）：</w:t>
      </w:r>
      <w:r>
        <w:rPr>
          <w:rFonts w:ascii="Calibri" w:hAnsi="Calibri" w:eastAsia="Microsoft YaHei"/>
          <w:color w:val="0B2545"/>
          <w:sz w:val="21"/>
        </w:rPr>
        <w:t>公开GPPT采用dataset-wise流程。对数据集d的原生特征X_d预训练D_d→128的GNN，再在同一d上进行Prompt Learning／节点分类；未报告或实现多数据集联合预训练、source→target checkpoint迁移或跨数据集特征对齐。</w:t>
      </w:r>
    </w:p>
    <w:p>
      <w:pPr>
        <w:spacing w:before="40" w:after="160" w:line="283" w:lineRule="auto"/>
        <w:ind w:left="173" w:right="72"/>
        <w:shd w:fill="F4F6F9"/>
        <w:keepNext w:val="0"/>
        <w:keepLines/>
        <w:pBdr>
          <w:left w:val="single" w:sz="20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>术语纠正：</w:t>
      </w:r>
      <w:r>
        <w:rPr>
          <w:rFonts w:ascii="Calibri" w:hAnsi="Calibri" w:eastAsia="Microsoft YaHei"/>
          <w:color w:val="0B2545"/>
          <w:sz w:val="21"/>
        </w:rPr>
        <w:t>不能说“GPPT完全没有聚合”。它有同一图内部的GraphSAGE邻居聚合、structure token聚合和cluster-specific task token；缺失的是跨数据集聚合／对齐。</w:t>
      </w:r>
    </w:p>
    <w:p>
      <w:pPr>
        <w:pStyle w:val="Heading1"/>
      </w:pPr>
      <w:r>
        <w:t>结论矩阵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2016"/>
        <w:gridCol w:w="5760"/>
      </w:tblGrid>
      <w:tr>
        <w:trPr>
          <w:tblHeader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判定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证据锚点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71719"/>
                <w:sz w:val="18"/>
              </w:rPr>
              <w:t>跨数据集聚合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未发现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71719"/>
                <w:sz w:val="18"/>
              </w:rPr>
              <w:t>论文只定义单一G；代码每次只装载一个args.dataset。</w:t>
            </w:r>
          </w:p>
        </w:tc>
      </w:tr>
      <w:tr>
        <w:tc>
          <w:tcPr>
            <w:tcW w:type="dxa" w:w="158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71719"/>
                <w:sz w:val="18"/>
              </w:rPr>
              <w:t>预训练与Prompt</w:t>
            </w:r>
          </w:p>
        </w:tc>
        <w:tc>
          <w:tcPr>
            <w:tcW w:type="dxa" w:w="201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同一数据集</w:t>
            </w:r>
          </w:p>
        </w:tc>
        <w:tc>
          <w:tcPr>
            <w:tcW w:type="dxa" w:w="5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71719"/>
                <w:sz w:val="18"/>
              </w:rPr>
              <w:t>G→Gpre遮边；d_model按同一dataset保存、加载。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71719"/>
                <w:sz w:val="18"/>
              </w:rPr>
              <w:t>输入维数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原生D→128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71719"/>
                <w:sz w:val="18"/>
              </w:rPr>
              <w:t>in_feats=features.shape[1]；各数据集分别建立第一层。</w:t>
            </w:r>
          </w:p>
        </w:tc>
      </w:tr>
      <w:tr>
        <w:tc>
          <w:tcPr>
            <w:tcW w:type="dxa" w:w="158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71719"/>
                <w:sz w:val="18"/>
              </w:rPr>
              <w:t>“没有聚合”</w:t>
            </w:r>
          </w:p>
        </w:tc>
        <w:tc>
          <w:tcPr>
            <w:tcW w:type="dxa" w:w="201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表述过强</w:t>
            </w:r>
          </w:p>
        </w:tc>
        <w:tc>
          <w:tcPr>
            <w:tcW w:type="dxa" w:w="5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71719"/>
                <w:sz w:val="18"/>
              </w:rPr>
              <w:t>有图内邻居／structure token聚合；没有跨数据集聚合。</w:t>
            </w:r>
          </w:p>
        </w:tc>
      </w:tr>
    </w:tbl>
    <w:p>
      <w:pPr>
        <w:keepNext/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1740910"/>
            <wp:docPr id="1" name="Picture 1" descr="GPPT按单一数据集执行的流程图；展示原生D维输入、128维隐藏表示、数据集专属checkpoint及同数据集Prompt Learning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pt_dataset_wis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0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80" w:line="259" w:lineRule="auto"/>
        <w:jc w:val="left"/>
      </w:pPr>
      <w:r>
        <w:rPr>
          <w:rFonts w:ascii="Calibri" w:hAnsi="Calibri" w:eastAsia="Microsoft YaHei"/>
          <w:color w:val="5D6670"/>
          <w:sz w:val="18"/>
        </w:rPr>
        <w:t>图1｜公开GPPT的数据链：每次围绕一个dataset d完成预训练、保存与Prompt Learning。</w:t>
      </w:r>
    </w:p>
    <w:p>
      <w:r>
        <w:br w:type="page"/>
      </w:r>
    </w:p>
    <w:p>
      <w:pPr>
        <w:pStyle w:val="Heading1"/>
      </w:pPr>
      <w:r>
        <w:t>论文证据：预训练图由同一原图遮边得到</w:t>
      </w:r>
    </w:p>
    <w:p>
      <w:pPr>
        <w:spacing w:after="160"/>
      </w:pPr>
      <w:r>
        <w:rPr>
          <w:rFonts w:ascii="Calibri" w:hAnsi="Calibri" w:eastAsia="Microsoft YaHei"/>
          <w:b/>
          <w:color w:val="0B2545"/>
          <w:sz w:val="21"/>
        </w:rPr>
        <w:t>形式化链：</w:t>
      </w:r>
      <w:r>
        <w:rPr>
          <w:rFonts w:ascii="Consolas" w:hAnsi="Consolas" w:eastAsia="Microsoft YaHei"/>
          <w:color w:val="1F4D78"/>
          <w:sz w:val="21"/>
        </w:rPr>
        <w:t>G=(X,A) → Gpre=(X,Apre) → hi=fθ(Gpre,vi)</w:t>
      </w:r>
    </w:p>
    <w:p>
      <w:pPr>
        <w:keepNext/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00074"/>
            <wp:docPr id="2" name="Picture 2" descr="GPPT论文公式7.2截图：masked graph Gpre等于X和Apre，节点表示hi由Gpre与同一节点vi计算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p102_masked_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00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80" w:line="259" w:lineRule="auto"/>
        <w:jc w:val="left"/>
      </w:pPr>
      <w:r>
        <w:rPr>
          <w:rFonts w:ascii="Calibri" w:hAnsi="Calibri" w:eastAsia="Microsoft YaHei"/>
          <w:color w:val="5D6670"/>
          <w:sz w:val="18"/>
        </w:rPr>
        <w:t>图2｜论文印刷页102（全文PDF第118页；Chapter7摘录第7页）。作者只从原图A遮蔽部分边得到Apre；X和节点vi保持不变。</w:t>
      </w:r>
    </w:p>
    <w:p>
      <w:pPr>
        <w:spacing w:before="40" w:after="160" w:line="283" w:lineRule="auto"/>
        <w:ind w:left="173" w:right="72"/>
        <w:shd w:fill="F4F6F9"/>
        <w:keepNext w:val="0"/>
        <w:keepLines/>
        <w:pBdr>
          <w:left w:val="single" w:sz="20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>判读：</w:t>
      </w:r>
      <w:r>
        <w:rPr>
          <w:rFonts w:ascii="Calibri" w:hAnsi="Calibri" w:eastAsia="Microsoft YaHei"/>
          <w:color w:val="0B2545"/>
          <w:sz w:val="21"/>
        </w:rPr>
        <w:t>这不是source graph→target graph。Gpre只是G的遮边版本，预训练仍围绕同一X、同一节点集合。</w:t>
      </w:r>
    </w:p>
    <w:p>
      <w:pPr>
        <w:pStyle w:val="Heading2"/>
      </w:pPr>
      <w:r>
        <w:t>论文证据：Prompt改写同一目标节点</w:t>
      </w:r>
    </w:p>
    <w:p>
      <w:pPr>
        <w:keepNext/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963026"/>
            <wp:docPr id="3" name="Picture 3" descr="GPPT论文定义7.3.1和7.3.2截图：prompt作用于同一节点vi，并生成task token与structure token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p104_prompt_same_v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63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80" w:line="259" w:lineRule="auto"/>
        <w:jc w:val="left"/>
      </w:pPr>
      <w:r>
        <w:rPr>
          <w:rFonts w:ascii="Calibri" w:hAnsi="Calibri" w:eastAsia="Microsoft YaHei"/>
          <w:color w:val="5D6670"/>
          <w:sz w:val="18"/>
        </w:rPr>
        <w:t>图3｜论文印刷页104（全文PDF第120页；Chapter7摘录第9页）。Prompt把原节点vi改写为[Ttask(y),Tstr(vi)]，并直接交给预训练模型。</w:t>
      </w:r>
    </w:p>
    <w:p>
      <w:pPr>
        <w:spacing w:before="40" w:after="160" w:line="283" w:lineRule="auto"/>
        <w:ind w:left="173" w:right="72"/>
        <w:shd w:fill="F4F6F9"/>
        <w:keepNext w:val="0"/>
        <w:keepLines/>
        <w:pBdr>
          <w:left w:val="single" w:sz="20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>判读：</w:t>
      </w:r>
      <w:r>
        <w:rPr>
          <w:rFonts w:ascii="Calibri" w:hAnsi="Calibri" w:eastAsia="Microsoft YaHei"/>
          <w:color w:val="0B2545"/>
          <w:sz w:val="21"/>
        </w:rPr>
        <w:t>下游阶段没有重新定义另一数据集的X或G；它继续使用前述vi，只改变任务表达形式。</w:t>
      </w:r>
    </w:p>
    <w:p>
      <w:r>
        <w:br w:type="page"/>
      </w:r>
    </w:p>
    <w:p>
      <w:pPr>
        <w:pStyle w:val="Heading1"/>
      </w:pPr>
      <w:r>
        <w:t>论文证据：有图内聚合，没有跨数据集聚合</w:t>
      </w:r>
    </w:p>
    <w:p>
      <w:pPr>
        <w:keepNext/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5198018"/>
            <wp:docPr id="4" name="Picture 4" descr="GPPT论文公式7.5截图：structure token由目标节点表示与同一图邻居表示加权求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p107_intra_graph_aggreg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98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80" w:line="259" w:lineRule="auto"/>
        <w:jc w:val="left"/>
      </w:pPr>
      <w:r>
        <w:rPr>
          <w:rFonts w:ascii="Calibri" w:hAnsi="Calibri" w:eastAsia="Microsoft YaHei"/>
          <w:color w:val="5D6670"/>
          <w:sz w:val="18"/>
        </w:rPr>
        <w:t>图4｜论文印刷页107（全文PDF第123页；Chapter7摘录第12页）。Structure token聚合vi及其一阶邻居N(vi)的预训练表示。</w:t>
      </w:r>
    </w:p>
    <w:p>
      <w:pPr>
        <w:spacing w:before="40" w:after="160" w:line="283" w:lineRule="auto"/>
        <w:ind w:left="173" w:right="72"/>
        <w:shd w:fill="F4F6F9"/>
        <w:keepNext w:val="0"/>
        <w:keepLines/>
        <w:pBdr>
          <w:left w:val="single" w:sz="20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>准确表述：</w:t>
      </w:r>
      <w:r>
        <w:rPr>
          <w:rFonts w:ascii="Calibri" w:hAnsi="Calibri" w:eastAsia="Microsoft YaHei"/>
          <w:color w:val="0B2545"/>
          <w:sz w:val="21"/>
        </w:rPr>
        <w:t>公式(7.5)证明GPPT确实存在聚合，但这是同一图内的邻域聚合；它不能证明跨dataset联合训练。</w:t>
      </w:r>
    </w:p>
    <w:p>
      <w:pPr>
        <w:keepNext/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01102"/>
            <wp:docPr id="5" name="Picture 5" descr="GPPT论文公式7.7截图：下游优化以预训练参数theta pre和phi pre初始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p109_reuse_pretrained_para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01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80" w:line="259" w:lineRule="auto"/>
        <w:jc w:val="left"/>
      </w:pPr>
      <w:r>
        <w:rPr>
          <w:rFonts w:ascii="Calibri" w:hAnsi="Calibri" w:eastAsia="Microsoft YaHei"/>
          <w:color w:val="5D6670"/>
          <w:sz w:val="18"/>
        </w:rPr>
        <w:t>图5｜论文印刷页109（全文PDF第125页；Chapter7摘录第14页）。Prompt tuning以θpre、φpre初始化并复用预训练GNN／projection head。</w:t>
      </w:r>
    </w:p>
    <w:p>
      <w:pPr>
        <w:spacing w:before="40" w:after="160" w:line="283" w:lineRule="auto"/>
        <w:ind w:left="173" w:right="72"/>
        <w:shd w:fill="F4F6F9"/>
        <w:keepNext w:val="0"/>
        <w:keepLines/>
        <w:pBdr>
          <w:left w:val="single" w:sz="20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>判读：</w:t>
      </w:r>
      <w:r>
        <w:rPr>
          <w:rFonts w:ascii="Calibri" w:hAnsi="Calibri" w:eastAsia="Microsoft YaHei"/>
          <w:color w:val="0B2545"/>
          <w:sz w:val="21"/>
        </w:rPr>
        <w:t>论文强调的是pretext→downstream目标迁移。公式没有source dataset、target dataset或跨域映射。</w:t>
      </w:r>
    </w:p>
    <w:p>
      <w:r>
        <w:br w:type="page"/>
      </w:r>
    </w:p>
    <w:p>
      <w:pPr>
        <w:pStyle w:val="Heading1"/>
      </w:pPr>
      <w:r>
        <w:t>论文证据：128是统一隐藏宽度，不是共享输入空间</w:t>
      </w:r>
    </w:p>
    <w:p>
      <w:pPr>
        <w:keepNext/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01102"/>
            <wp:docPr id="6" name="Picture 6" descr="GPPT论文实现设置截图：两层GNN、隐藏单元128，并对各数据集分别选择学习率和聚类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p112_hidden128_per_datas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01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80" w:line="259" w:lineRule="auto"/>
        <w:jc w:val="left"/>
      </w:pPr>
      <w:r>
        <w:rPr>
          <w:rFonts w:ascii="Calibri" w:hAnsi="Calibri" w:eastAsia="Microsoft YaHei"/>
          <w:color w:val="5D6670"/>
          <w:sz w:val="18"/>
        </w:rPr>
        <w:t>图6｜论文印刷页112（全文PDF第128页；Chapter7摘录第17页）。所有GNN设2层、hidden=128；learning rate和cluster number按dataset分别设置。</w:t>
      </w:r>
    </w:p>
    <w:p>
      <w:pPr>
        <w:spacing w:before="40" w:after="160" w:line="283" w:lineRule="auto"/>
        <w:ind w:left="173" w:right="72"/>
        <w:shd w:fill="F4F6F9"/>
        <w:keepNext w:val="0"/>
        <w:keepLines/>
        <w:pBdr>
          <w:left w:val="single" w:sz="20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>维数含义：</w:t>
      </w:r>
      <w:r>
        <w:rPr>
          <w:rFonts w:ascii="Calibri" w:hAnsi="Calibri" w:eastAsia="Microsoft YaHei"/>
          <w:color w:val="0B2545"/>
          <w:sz w:val="21"/>
        </w:rPr>
        <w:t>论文只统一hidden width=128。它没有说明把Cora的1433维、Citeseer的3703维映射到一个共享语义基底；第一层仍需分别适配各数据集的原生D_d。</w:t>
      </w:r>
    </w:p>
    <w:p>
      <w:pPr>
        <w:pStyle w:val="Heading2"/>
      </w:pPr>
      <w:r>
        <w:t>论文实验结构的反证</w:t>
      </w:r>
    </w:p>
    <w:p>
      <w:pPr>
        <w:spacing w:after="120"/>
      </w:pPr>
      <w:r>
        <w:rPr>
          <w:rFonts w:ascii="Calibri" w:hAnsi="Calibri" w:eastAsia="Microsoft YaHei"/>
          <w:color w:val="171719"/>
          <w:sz w:val="21"/>
        </w:rPr>
        <w:t>Chapter7把Cora、Citeseer、Pubmed等作为8个并列benchmark列，没有source→target二维迁移矩阵、leave-one-dataset-out或multi-domain pretraining。</w:t>
      </w:r>
    </w:p>
    <w:p>
      <w:r>
        <w:rPr>
          <w:rFonts w:ascii="Calibri" w:hAnsi="Calibri" w:eastAsia="Microsoft YaHei"/>
          <w:b/>
          <w:color w:val="0B2545"/>
          <w:sz w:val="20"/>
        </w:rPr>
        <w:t>全文检索结果：</w:t>
      </w:r>
      <w:r>
        <w:rPr>
          <w:rFonts w:ascii="Consolas" w:hAnsi="Consolas" w:eastAsia="Microsoft YaHei"/>
          <w:color w:val="1F4D78"/>
          <w:sz w:val="19"/>
        </w:rPr>
        <w:t>cross-dataset、source dataset、target dataset、SVD、PCA、adapter、shared vocabulary均为0命中。</w:t>
      </w:r>
    </w:p>
    <w:p>
      <w:pPr>
        <w:keepNext/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208495"/>
            <wp:docPr id="7" name="Picture 7" descr="GPPT论文实验设置与Table7.1截图；Cora、Citeseer、Pubmed等八个数据集作为并列列展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p110_dataset_colum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08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80" w:line="259" w:lineRule="auto"/>
        <w:jc w:val="left"/>
      </w:pPr>
      <w:r>
        <w:rPr>
          <w:rFonts w:ascii="Calibri" w:hAnsi="Calibri" w:eastAsia="Microsoft YaHei"/>
          <w:color w:val="5D6670"/>
          <w:sz w:val="18"/>
        </w:rPr>
        <w:t>图6｜论文印刷页110（全文PDF第126页；Chapter7摘录第15页）。八个dataset是Table7.1的并列数据列，不是source×target迁移矩阵。</w:t>
      </w:r>
    </w:p>
    <w:p>
      <w:r>
        <w:br w:type="page"/>
      </w:r>
    </w:p>
    <w:p>
      <w:pPr>
        <w:pStyle w:val="Heading1"/>
      </w:pPr>
      <w:r>
        <w:t>代码证据：dataset参数直接决定原生输入维数</w:t>
      </w:r>
    </w:p>
    <w:p>
      <w:pPr>
        <w:keepNext/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08614"/>
            <wp:docPr id="8" name="Picture 8" descr="GPPT代码截图：单一dataset参数、原生feature宽度和128维hidden设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01_single_dataset_native_di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0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80" w:line="259" w:lineRule="auto"/>
        <w:jc w:val="left"/>
      </w:pPr>
      <w:r>
        <w:rPr>
          <w:rFonts w:ascii="Calibri" w:hAnsi="Calibri" w:eastAsia="Microsoft YaHei"/>
          <w:color w:val="5D6670"/>
          <w:sz w:val="18"/>
        </w:rPr>
        <w:t>图7｜get_args.py:3-23；utils.py:25-40。一个args.dataset选择一个数据集；in_feats直接取features.shape[1]；默认hidden=128。</w:t>
      </w:r>
    </w:p>
    <w:p>
      <w:pPr>
        <w:spacing w:before="40" w:after="160" w:line="283" w:lineRule="auto"/>
        <w:ind w:left="173" w:right="72"/>
        <w:shd w:fill="F4F6F9"/>
        <w:keepNext w:val="0"/>
        <w:keepLines/>
        <w:pBdr>
          <w:left w:val="single" w:sz="20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>张量合同：</w:t>
      </w:r>
      <w:r>
        <w:rPr>
          <w:rFonts w:ascii="Calibri" w:hAnsi="Calibri" w:eastAsia="Microsoft YaHei"/>
          <w:color w:val="0B2545"/>
          <w:sz w:val="21"/>
        </w:rPr>
        <w:t>对任意数据集d，输入第一层是D_d→128。以常见DGL数据为例：Cora是1433→128，Citeseer是3703→128；这是两套不同形状的第一层，不是一套共享输入映射。</w:t>
      </w:r>
    </w:p>
    <w:p>
      <w:r>
        <w:br w:type="page"/>
      </w:r>
    </w:p>
    <w:p>
      <w:pPr>
        <w:pStyle w:val="Heading1"/>
      </w:pPr>
      <w:r>
        <w:t>代码证据：预训练权重按dataset单独保存</w:t>
      </w:r>
    </w:p>
    <w:p>
      <w:pPr>
        <w:keepNext/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5976309"/>
            <wp:docPr id="9" name="Picture 9" descr="GPPT预训练代码截图：原生输入宽度、两层GraphSAGE意图和数据集专属checkpoint命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02_pretrain_dataset_checkpo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76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80" w:line="259" w:lineRule="auto"/>
        <w:jc w:val="left"/>
      </w:pPr>
      <w:r>
        <w:rPr>
          <w:rFonts w:ascii="Calibri" w:hAnsi="Calibri" w:eastAsia="Microsoft YaHei"/>
          <w:color w:val="5D6670"/>
          <w:sz w:val="18"/>
        </w:rPr>
        <w:t>图8｜train_sampling_unsupervised.py与model.py。预训练从当前图取原生nfeat，建立D_d→128→128，并保存{dataset}_model_{file_id}.pt。</w:t>
      </w:r>
    </w:p>
    <w:p>
      <w:pPr>
        <w:spacing w:before="40" w:after="160" w:line="283" w:lineRule="auto"/>
        <w:ind w:left="173" w:right="72"/>
        <w:shd w:fill="F4F6F9"/>
        <w:keepNext w:val="0"/>
        <w:keepLines/>
        <w:pBdr>
          <w:left w:val="single" w:sz="20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>直接含义：</w:t>
      </w:r>
      <w:r>
        <w:rPr>
          <w:rFonts w:ascii="Calibri" w:hAnsi="Calibri" w:eastAsia="Microsoft YaHei"/>
          <w:color w:val="0B2545"/>
          <w:sz w:val="21"/>
        </w:rPr>
        <w:t>预训练没有把多个dataset装进同一DataLoader，也没有共同优化一个跨dataset第一层。输出embedding虽同为128维，checkpoint仍由各自D_d决定。</w:t>
      </w:r>
    </w:p>
    <w:p>
      <w:r>
        <w:br w:type="page"/>
      </w:r>
    </w:p>
    <w:p>
      <w:pPr>
        <w:pStyle w:val="Heading1"/>
      </w:pPr>
      <w:r>
        <w:t>代码证据：Prompt阶段重新装载同一dataset和同名权重</w:t>
      </w:r>
    </w:p>
    <w:p>
      <w:pPr>
        <w:keepNext/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49240" cy="5217802"/>
            <wp:docPr id="10" name="Picture 10" descr="GPPT下游代码截图：同一dataset名同时控制数据装载、模型第一层和checkpoint加载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03_downstream_same_datas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217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80" w:line="259" w:lineRule="auto"/>
        <w:jc w:val="left"/>
      </w:pPr>
      <w:r>
        <w:rPr>
          <w:rFonts w:ascii="Calibri" w:hAnsi="Calibri" w:eastAsia="Microsoft YaHei"/>
          <w:color w:val="5D6670"/>
          <w:sz w:val="18"/>
        </w:rPr>
        <w:t>图9｜GPPT.py:60-80、156-164、203-205。下游用同一args.dataset加载图，重建当前D_d→128模型，再加载{args.dataset}_model_{file_id}.pt。</w:t>
      </w:r>
    </w:p>
    <w:p>
      <w:pPr>
        <w:spacing w:before="40" w:after="160" w:line="283" w:lineRule="auto"/>
        <w:ind w:left="173" w:right="72"/>
        <w:shd w:fill="F4F6F9"/>
        <w:keepNext w:val="0"/>
        <w:keepLines/>
        <w:pBdr>
          <w:left w:val="single" w:sz="20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>闭环：</w:t>
      </w:r>
      <w:r>
        <w:rPr>
          <w:rFonts w:ascii="Calibri" w:hAnsi="Calibri" w:eastAsia="Microsoft YaHei"/>
          <w:color w:val="0B2545"/>
          <w:sz w:val="21"/>
        </w:rPr>
        <w:t>公开路径是d的原生X_d→d专属预训练→d_model→重新装载d→Prompt Learning。正常配对是Cora→Cora、Citeseer→Citeseer，而非Citeseer→Cora。</w:t>
      </w:r>
    </w:p>
    <w:p>
      <w:pPr>
        <w:pStyle w:val="Heading2"/>
      </w:pPr>
      <w:r>
        <w:t>不存在的跨数据集机制</w:t>
      </w:r>
    </w:p>
    <w:p>
      <w:pPr>
        <w:spacing w:after="80"/>
      </w:pPr>
      <w:r>
        <w:rPr>
          <w:rFonts w:ascii="Calibri" w:hAnsi="Calibri" w:eastAsia="Microsoft YaHei"/>
          <w:color w:val="171719"/>
          <w:sz w:val="21"/>
        </w:rPr>
        <w:t>对GPPT_official全仓执行机制穷举搜索，以下关键词均为NO_MATCH：</w:t>
      </w:r>
    </w:p>
    <w:p>
      <w:pPr>
        <w:spacing w:before="0" w:after="160"/>
        <w:ind w:left="230" w:right="115"/>
        <w:shd w:fill="F2F4F7"/>
      </w:pPr>
      <w:r>
        <w:rPr>
          <w:rFonts w:ascii="Consolas" w:hAnsi="Consolas" w:eastAsia="Microsoft YaHei"/>
          <w:color w:val="0B2545"/>
          <w:sz w:val="18"/>
        </w:rPr>
        <w:t>svd | pca | adapter | shared-vocab | padding | feature-reduction | source-dataset | target-dataset | cross-dataset | multi-dataset | alignment</w:t>
      </w:r>
    </w:p>
    <w:p>
      <w:pPr>
        <w:pStyle w:val="Heading1"/>
      </w:pPr>
      <w:r>
        <w:t>最终判断与使用边界</w:t>
      </w:r>
    </w:p>
    <w:p>
      <w:pPr>
        <w:spacing w:before="40" w:after="160" w:line="283" w:lineRule="auto"/>
        <w:ind w:left="173" w:right="72"/>
        <w:shd w:fill="F4F6F9"/>
        <w:keepNext w:val="0"/>
        <w:keepLines/>
        <w:pBdr>
          <w:left w:val="single" w:sz="20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>最终判断：</w:t>
      </w:r>
      <w:r>
        <w:rPr>
          <w:rFonts w:ascii="Calibri" w:hAnsi="Calibri" w:eastAsia="Microsoft YaHei"/>
          <w:color w:val="0B2545"/>
          <w:sz w:val="21"/>
        </w:rPr>
        <w:t>是。就公开论文和官方代码而言，GPPT的预训练与Prompt Learning使用同一个数据集；八个benchmark是八次dataset-wise实验，不是一个聚合预训练池。</w:t>
      </w:r>
    </w:p>
    <w:p>
      <w:pPr>
        <w:spacing w:before="40" w:after="160" w:line="283" w:lineRule="auto"/>
        <w:ind w:left="173" w:right="72"/>
        <w:shd w:fill="F4F6F9"/>
        <w:keepNext w:val="0"/>
        <w:keepLines/>
        <w:pBdr>
          <w:left w:val="single" w:sz="20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>对“没有聚合”的回答：</w:t>
      </w:r>
      <w:r>
        <w:rPr>
          <w:rFonts w:ascii="Calibri" w:hAnsi="Calibri" w:eastAsia="Microsoft YaHei"/>
          <w:color w:val="0B2545"/>
          <w:sz w:val="21"/>
        </w:rPr>
        <w:t>若“聚合”指跨数据集联合预训练／特征对齐，则没有；若指图神经网络内部的消息传递，则有GraphSAGE邻居聚合、structure token邻域聚合及cluster-specific token。</w:t>
      </w:r>
    </w:p>
    <w:p>
      <w:pPr>
        <w:spacing w:before="40" w:after="160" w:line="283" w:lineRule="auto"/>
        <w:ind w:left="173" w:right="72"/>
        <w:shd w:fill="F4F6F9"/>
        <w:keepNext w:val="0"/>
        <w:keepLines/>
        <w:pBdr>
          <w:left w:val="single" w:sz="20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对当前Citeseer→Cora设想：</w:t>
      </w:r>
      <w:r>
        <w:rPr>
          <w:rFonts w:ascii="Calibri" w:hAnsi="Calibri" w:eastAsia="Microsoft YaHei"/>
          <w:color w:val="0B2545"/>
          <w:sz w:val="21"/>
        </w:rPr>
        <w:t>GPPT不能为其背书。若要忠实复刻GPPT，应在Cora上以原生1433维输入预训练，再在Cora上做Prompt Learning。若坚持Citeseer→Cora，需要额外定义adapter／共享特征映射；那将是GPPT的扩展，而非原范式。</w:t>
      </w:r>
    </w:p>
    <w:p>
      <w:pPr>
        <w:pStyle w:val="Heading2"/>
      </w:pPr>
      <w:r>
        <w:t>代码质量限定</w:t>
      </w:r>
    </w:p>
    <w:p>
      <w:pPr>
        <w:spacing w:after="120"/>
      </w:pPr>
      <w:r>
        <w:rPr>
          <w:rFonts w:ascii="Calibri" w:hAnsi="Calibri" w:eastAsia="Microsoft YaHei"/>
          <w:color w:val="171719"/>
          <w:sz w:val="21"/>
        </w:rPr>
        <w:t>官方commit可用于判定数据链和维数意图，但不是可直接运行的数值金标准：预训练SAGE构造器存在实参错位；下游将两个128维表示拼为256维后，却送入Linear(128,center_num)，存在静态shape mismatch。</w:t>
      </w:r>
    </w:p>
    <w:p>
      <w:r>
        <w:rPr>
          <w:rFonts w:ascii="Calibri" w:hAnsi="Calibri" w:eastAsia="Microsoft YaHei"/>
          <w:color w:val="5D6670"/>
          <w:sz w:val="21"/>
        </w:rPr>
        <w:t>因此本报告把“同dataset范式”建立在论文形式化定义＋代码命名／加载链上，不把当前公开快照当作无误复现包。</w:t>
      </w:r>
    </w:p>
    <w:p>
      <w:pPr>
        <w:pStyle w:val="Heading2"/>
      </w:pPr>
      <w:r>
        <w:t>证据来源</w:t>
      </w:r>
    </w:p>
    <w:p>
      <w:pPr>
        <w:pStyle w:val="ListBullet"/>
        <w:spacing w:before="0" w:after="60"/>
      </w:pPr>
      <w:r>
        <w:rPr>
          <w:rFonts w:ascii="Calibri" w:hAnsi="Calibri" w:eastAsia="Microsoft YaHei"/>
          <w:color w:val="5D6670"/>
          <w:sz w:val="18"/>
        </w:rPr>
        <w:t>GPPT正式出版入口：https://doi.org/10.1145/3534678.3539249</w:t>
      </w:r>
    </w:p>
    <w:p>
      <w:pPr>
        <w:pStyle w:val="ListBullet"/>
        <w:spacing w:before="0" w:after="60"/>
      </w:pPr>
      <w:r>
        <w:rPr>
          <w:rFonts w:ascii="Consolas" w:hAnsi="Consolas" w:eastAsia="Microsoft YaHei"/>
          <w:color w:val="5D6670"/>
          <w:sz w:val="18"/>
        </w:rPr>
        <w:t>方法文本：reference/GPPT_KDD2022_author_dissertation_chapter7.pdf（印刷页100-112）</w:t>
      </w:r>
    </w:p>
    <w:p>
      <w:pPr>
        <w:pStyle w:val="ListBullet"/>
        <w:spacing w:before="0" w:after="60"/>
      </w:pPr>
      <w:r>
        <w:rPr>
          <w:rFonts w:ascii="Consolas" w:hAnsi="Consolas" w:eastAsia="Microsoft YaHei"/>
          <w:color w:val="5D6670"/>
          <w:sz w:val="18"/>
        </w:rPr>
        <w:t>作者代码：reference/code_sources/GPPT_official/（commit:4f919ab66c5c2edebcc0356cf6399074c24a99a4）</w:t>
      </w:r>
    </w:p>
    <w:p>
      <w:pPr>
        <w:pStyle w:val="ListBullet"/>
        <w:spacing w:before="0" w:after="60"/>
      </w:pPr>
      <w:r>
        <w:rPr>
          <w:rFonts w:ascii="Consolas" w:hAnsi="Consolas" w:eastAsia="Microsoft YaHei"/>
          <w:color w:val="5D6670"/>
          <w:sz w:val="18"/>
        </w:rPr>
        <w:t>来源清单：reference/code_sources/SOURCES.md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5D6670"/>
        <w:sz w:val="18"/>
      </w:rPr>
      <w:t>GPPT证据审计｜</w:t>
    </w:r>
    <w:r>
      <w:rPr>
        <w:rFonts w:ascii="Calibri" w:hAnsi="Calibri" w:eastAsia="Microsoft YaHei"/>
        <w:color w:val="5D6670"/>
        <w:sz w:val="18"/>
      </w:rPr>
      <w:t>第</w:t>
    </w:r>
    <w:fldSimple w:instr="PAGE">
      <w:r>
        <w:rPr>
          <w:rFonts w:ascii="Calibri" w:hAnsi="Calibri" w:eastAsia="Microsoft YaHei"/>
          <w:color w:val="5D6670"/>
          <w:sz w:val="18"/>
        </w:rPr>
        <w:t>1</w:t>
      </w:r>
    </w:fldSimple>
    <w:r>
      <w:rPr>
        <w:rFonts w:ascii="Calibri" w:hAnsi="Calibri" w:eastAsia="Microsoft YaHei"/>
        <w:color w:val="5D6670"/>
        <w:sz w:val="18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D6670"/>
        <w:sz w:val="17"/>
      </w:rPr>
      <w:t>TECHNICAL EVIDENCE NOTE</w:t>
    </w:r>
    <w:r>
      <w:rPr>
        <w:rFonts w:ascii="Calibri" w:hAnsi="Calibri" w:eastAsia="Microsoft YaHei"/>
        <w:color w:val="5D6670"/>
        <w:sz w:val="17"/>
      </w:rPr>
      <w:t xml:space="preserve">    GPPT同数据集证据链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717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before="60" w:after="180"/>
    </w:pPr>
    <w:rPr>
      <w:rFonts w:ascii="Calibri" w:hAnsi="Calibri" w:eastAsia="Microsoft YaHei"/>
      <w:b w:val="0"/>
      <w:bCs/>
      <w:color w:val="5D66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GPPT是否进行跨数据集预训练：论文与官方代码证据链</dc:title>
  <dc:subject>GPPT数据集范围、输入维数与Prompt Learning证据审计</dc:subject>
  <dc:creator>DFS_HK5项目组</dc:creator>
  <cp:keywords>GPPT,graph prompt,pretraining,dataset-wise,input dimension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