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1、打开控制面板，点击设置新的连接或网络，按照图中步骤设置完成</w:t>
      </w:r>
    </w:p>
    <w:p>
      <w:r>
        <w:drawing>
          <wp:inline distT="0" distB="0" distL="114300" distR="114300">
            <wp:extent cx="4125595" cy="2680335"/>
            <wp:effectExtent l="0" t="0" r="825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42105" cy="3285490"/>
            <wp:effectExtent l="0" t="0" r="1079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82490" cy="3680460"/>
            <wp:effectExtent l="0" t="0" r="381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95190" cy="3728720"/>
            <wp:effectExtent l="0" t="0" r="1016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在适配器中右键VPN点击属性，按照图下配置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788285"/>
            <wp:effectExtent l="0" t="0" r="254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483360"/>
            <wp:effectExtent l="0" t="0" r="952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006600"/>
            <wp:effectExtent l="0" t="0" r="952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右键VPN文件以管理员运行程序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904875" cy="9144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2F65C6"/>
    <w:multiLevelType w:val="singleLevel"/>
    <w:tmpl w:val="772F65C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F9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218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2021-09-30T02:14:32Z</dcterms:created>
  <dc:creator>ZERO</dc:creator>
  <cp:lastModifiedBy>ZERO</cp:lastModifiedBy>
  <dcterms:modified xsi:type="dcterms:W3CDTF">2021-09-30T05:56:09Z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406E95EDFD9A4DD7A3B085BCF8064B92</vt:lpwstr>
  </property>
</Properties>
</file>