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季度评审报告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本季度围绕</w:t>
      </w:r>
      <w:r>
        <w:rPr>
          <w:rFonts w:ascii="Times" w:hAnsi="Times" w:cs="Times"/>
          <w:sz w:val="24"/>
          <w:sz-cs w:val="24"/>
          <w:b/>
          <w:spacing w:val="0"/>
        </w:rPr>
        <w:t xml:space="preserve">文档读取管线</w:t>
      </w:r>
      <w:r>
        <w:rPr>
          <w:rFonts w:ascii="Times" w:hAnsi="Times" w:cs="Times"/>
          <w:sz w:val="24"/>
          <w:sz-cs w:val="24"/>
          <w:spacing w:val="0"/>
        </w:rPr>
        <w:t xml:space="preserve">开展工作，覆盖 Word、Excel 与 PDF 三类格式，整体进度符合预期。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关键指标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指标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目标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实际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解析成功率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95%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97.2%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平均耗时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200ms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143ms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中文支持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完整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完整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结论：核心指标全部达标，可以进入下一阶段。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