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r>
        <ns0:t>命名空间前缀测试</ns0:t>
      </ns0:r>
    </ns0:p>
    <ns0:p>
      <ns0:r>
        <ns0:t>第二段：中文文本应完整保留</ns0:t>
      </ns0:r>
    </ns0:p>
    <ns0:tbl>
      <ns0:tr>
        <ns0:tc>
          <ns0:p>
            <ns0:r>
              <ns0:t>甲</ns0:t>
            </ns0:r>
          </ns0:p>
        </ns0:tc>
        <ns0:tc>
          <ns0:p>
            <ns0:r>
              <ns0:t>乙</ns0:t>
            </ns0:r>
          </ns0:p>
        </ns0:tc>
      </ns0:tr>
      <ns0:tr>
        <ns0:tc>
          <ns0:p>
            <ns0:r>
              <ns0:t>一</ns0:t>
            </ns0:r>
          </ns0:p>
        </ns0:tc>
        <ns0:tc>
          <ns0:p>
            <ns0:r>
              <ns0:t>二</ns0:t>
            </ns0:r>
          </ns0:p>
        </ns0:tc>
      </ns0:tr>
    </ns0:tbl>
  </ns0:body>
</ns0:document>
</file>