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pPr>
      <w:r>
        <w:t xml:space="preserve"/>
      </w:r>
    </w:p>
    <w:p>
      <w:pPr>
        <w:spacing w:after="240"/>
        <w:jc w:val="center"/>
      </w:pPr>
      <w:r>
        <w:rPr>
          <w:color w:val="22D3EE"/>
          <w:sz w:val="64"/>
          <w:szCs w:val="64"/>
        </w:rPr>
        <w:t xml:space="preserve">◈</w:t>
      </w:r>
    </w:p>
    <w:p>
      <w:pPr>
        <w:spacing w:after="120"/>
        <w:jc w:val="center"/>
      </w:pPr>
      <w:r>
        <w:rPr>
          <w:b/>
          <w:bCs/>
          <w:color w:val="1E293B"/>
          <w:sz w:val="56"/>
          <w:szCs w:val="56"/>
        </w:rPr>
        <w:t xml:space="preserve">BUG BOUNTY SYSTEM</w:t>
      </w:r>
    </w:p>
    <w:p>
      <w:pPr>
        <w:spacing w:after="480"/>
        <w:jc w:val="center"/>
      </w:pPr>
      <w:r>
        <w:rPr>
          <w:color w:val="334155"/>
          <w:sz w:val="28"/>
          <w:szCs w:val="28"/>
        </w:rPr>
        <w:t xml:space="preserve">Project Brief &amp; Technical Reference</w:t>
      </w:r>
    </w:p>
    <w:p>
      <w:pPr>
        <w:pBdr>
          <w:bottom w:val="single" w:color="E2E8F0" w:sz="4" w:space="6"/>
        </w:pBdr>
        <w:spacing w:after="360"/>
        <w:jc w:val="center"/>
      </w:pPr>
      <w:r>
        <w:t xml:space="preserve"/>
      </w:r>
    </w:p>
    <w:p>
      <w:pPr>
        <w:spacing w:after="80"/>
        <w:jc w:val="center"/>
      </w:pPr>
      <w:r>
        <w:rPr>
          <w:color w:val="334155"/>
          <w:sz w:val="22"/>
          <w:szCs w:val="22"/>
        </w:rPr>
        <w:t xml:space="preserve">Nexus / Harmonic Command Ecosystem</w:t>
      </w:r>
    </w:p>
    <w:p>
      <w:pPr>
        <w:spacing w:after="80"/>
        <w:jc w:val="center"/>
      </w:pPr>
      <w:r>
        <w:rPr>
          <w:color w:val="334155"/>
          <w:sz w:val="22"/>
          <w:szCs w:val="22"/>
        </w:rPr>
        <w:t xml:space="preserve">AegisNet Research</w:t>
      </w:r>
    </w:p>
    <w:p>
      <w:pPr>
        <w:spacing w:after="720"/>
        <w:jc w:val="center"/>
      </w:pPr>
      <w:r>
        <w:rPr>
          <w:color w:val="AAAAAA"/>
          <w:sz w:val="22"/>
          <w:szCs w:val="22"/>
        </w:rPr>
        <w:t xml:space="preserve">May 2026  —  Document Version 1.0</w:t>
      </w:r>
    </w:p>
    <w:p>
      <w:r>
        <w:br w:type="page"/>
      </w:r>
    </w:p>
    <w:p>
      <w:pPr>
        <w:pStyle w:val="Heading1"/>
        <w:pBdr>
          <w:bottom w:val="single" w:color="22D3EE" w:sz="8" w:space="6"/>
        </w:pBdr>
        <w:spacing w:after="200" w:before="480"/>
      </w:pPr>
      <w:r>
        <w:rPr>
          <w:b/>
          <w:bCs/>
          <w:color w:val="1E293B"/>
          <w:sz w:val="32"/>
          <w:szCs w:val="32"/>
        </w:rPr>
        <w:t xml:space="preserve">1. Executive Summary</w:t>
      </w:r>
    </w:p>
    <w:p>
      <w:pPr>
        <w:spacing w:line="320"/>
      </w:pPr>
      <w:r>
        <w:rPr>
          <w:color w:val="1E293B"/>
          <w:sz w:val="22"/>
          <w:szCs w:val="22"/>
        </w:rPr>
        <w:t xml:space="preserve">The Bug Bounty System is a purpose-built, AI-powered vulnerability research pipeline integrated within the Nexus (Harmonic Command) mission control ecosystem. It was conceived to give the operator a systematic, repeatable workflow for authorised security research on real targets, moving far beyond the capabilities of any single AI prompt by chaining discrete specialist agents that each build on the output of the last.</w:t>
      </w:r>
    </w:p>
    <w:p>
      <w:pPr>
        <w:spacing w:before="80"/>
      </w:pPr>
      <w:r>
        <w:t xml:space="preserve"/>
      </w:r>
    </w:p>
    <w:p>
      <w:pPr>
        <w:spacing w:line="320"/>
      </w:pPr>
      <w:r>
        <w:rPr>
          <w:color w:val="1E293B"/>
          <w:sz w:val="22"/>
          <w:szCs w:val="22"/>
        </w:rPr>
        <w:t xml:space="preserve">The system has evolved substantially from its initial three-agent concept. As of this document, it comprises a four-stage pipeline (Scope Validator, Bug Finder, Fix Suggester, Reporter), a dedicated MCP-connected Hacker Knowledge Base seeded from live HackerOne public disclosures, and a planned migration of the compute-heavy pipeline stages to the Elysium server infrastructure. Together these form a cohesive, defensible research tool that is submission-ready against HackerOne and Bugcrowd standards.</w:t>
      </w:r>
    </w:p>
    <w:p>
      <w:pPr>
        <w:spacing w:before="80"/>
      </w:pPr>
      <w:r>
        <w:t xml:space="preserve"/>
      </w:r>
    </w:p>
    <w:p>
      <w:pPr>
        <w:spacing w:line="320"/>
      </w:pPr>
      <w:r>
        <w:rPr>
          <w:color w:val="1E293B"/>
          <w:sz w:val="22"/>
          <w:szCs w:val="22"/>
        </w:rPr>
        <w:t xml:space="preserve">This document records every design avenue explored, every decision made and the reasoning behind it, the current implementation state, and the forward roadmap. It is intended both as a technical reference for the builder and as a handoff document should the system grow beyond solo operation.</w:t>
      </w:r>
    </w:p>
    <w:p>
      <w:pPr>
        <w:pStyle w:val="Heading1"/>
        <w:pBdr>
          <w:bottom w:val="single" w:color="22D3EE" w:sz="8" w:space="6"/>
        </w:pBdr>
        <w:spacing w:after="200" w:before="480"/>
      </w:pPr>
      <w:r>
        <w:rPr>
          <w:b/>
          <w:bCs/>
          <w:color w:val="1E293B"/>
          <w:sz w:val="32"/>
          <w:szCs w:val="32"/>
        </w:rPr>
        <w:t xml:space="preserve">2. Project Genesis</w:t>
      </w:r>
    </w:p>
    <w:p>
      <w:pPr>
        <w:spacing w:line="320"/>
      </w:pPr>
      <w:r>
        <w:rPr>
          <w:color w:val="1E293B"/>
          <w:sz w:val="22"/>
          <w:szCs w:val="22"/>
        </w:rPr>
        <w:t xml:space="preserve">The Bug Bounty System originated from a direct question: could an AI pipeline be constructed that handles the structured mechanics of security research, freeing the operator to focus on target selection and final judgment rather than the repetitive analytical steps in between? The initial concept was simple — three agents passing a baton from bug identification to remediation to report — but the practical implications revealed themselves quickly as the design was interrogated.</w:t>
      </w:r>
    </w:p>
    <w:p>
      <w:pPr>
        <w:spacing w:before="80"/>
      </w:pPr>
      <w:r>
        <w:t xml:space="preserve"/>
      </w:r>
    </w:p>
    <w:p>
      <w:pPr>
        <w:spacing w:line="320"/>
      </w:pPr>
      <w:r>
        <w:rPr>
          <w:color w:val="1E293B"/>
          <w:sz w:val="22"/>
          <w:szCs w:val="22"/>
        </w:rPr>
        <w:t xml:space="preserve">The first substantive design decision was the addition of a Scope Validator as a pre-flight stage. Without it, the pipeline has no way to programmatically distinguish a legitimate authorised engagement from an out-of-bounds or potentially harmful target. Its insertion before any work begins is not merely a safety measure; it is also a legal boundary marker, ensuring the system can demonstrate that scope was checked before proceeding. This addition changed the pipeline from three stages to four.</w:t>
      </w:r>
    </w:p>
    <w:p>
      <w:pPr>
        <w:spacing w:before="80"/>
      </w:pPr>
      <w:r>
        <w:t xml:space="preserve"/>
      </w:r>
    </w:p>
    <w:p>
      <w:pPr>
        <w:spacing w:line="320"/>
      </w:pPr>
      <w:r>
        <w:rPr>
          <w:color w:val="1E293B"/>
          <w:sz w:val="22"/>
          <w:szCs w:val="22"/>
        </w:rPr>
        <w:t xml:space="preserve">A second early recognition was the importance of the confidence flag. Raw vulnerability output from an AI agent carries no inherent certainty rating. A finding could be a confirmed exploit demonstrated in prior disclosures, a probable vector inferred from the target architecture, or a suspected weakness based on pattern matching alone. The confidence flag — confirmed, probable, suspected — threads through from Bug Finder to Reporter and directly affects how the disclosure is worded and how a platform like HackerOne will weight it.</w:t>
      </w:r>
    </w:p>
    <w:p>
      <w:pPr>
        <w:pStyle w:val="Heading1"/>
        <w:pBdr>
          <w:bottom w:val="single" w:color="22D3EE" w:sz="8" w:space="6"/>
        </w:pBdr>
        <w:spacing w:after="200" w:before="480"/>
      </w:pPr>
      <w:r>
        <w:rPr>
          <w:b/>
          <w:bCs/>
          <w:color w:val="1E293B"/>
          <w:sz w:val="32"/>
          <w:szCs w:val="32"/>
        </w:rPr>
        <w:t xml:space="preserve">3. Objectives</w:t>
      </w:r>
    </w:p>
    <w:p>
      <w:pPr>
        <w:pStyle w:val="Heading2"/>
        <w:spacing w:after="120" w:before="360"/>
      </w:pPr>
      <w:r>
        <w:rPr>
          <w:b/>
          <w:bCs/>
          <w:color w:val="1E293B"/>
          <w:sz w:val="26"/>
          <w:szCs w:val="26"/>
        </w:rPr>
        <w:t xml:space="preserve">3.1 Primary Objectives</w:t>
      </w:r>
    </w:p>
    <w:p>
      <w:pPr>
        <w:pStyle w:val="ListParagraph"/>
        <w:numPr>
          <w:ilvl w:val="0"/>
          <w:numId w:val="2"/>
        </w:numPr>
        <w:spacing w:after="60" w:line="300"/>
      </w:pPr>
      <w:r>
        <w:rPr>
          <w:color w:val="1E293B"/>
          <w:sz w:val="22"/>
          <w:szCs w:val="22"/>
        </w:rPr>
        <w:t xml:space="preserve">Provide a structured, repeatable workflow for authorised vulnerability research against real targets.</w:t>
      </w:r>
    </w:p>
    <w:p>
      <w:pPr>
        <w:pStyle w:val="ListParagraph"/>
        <w:numPr>
          <w:ilvl w:val="0"/>
          <w:numId w:val="2"/>
        </w:numPr>
        <w:spacing w:after="60" w:line="300"/>
      </w:pPr>
      <w:r>
        <w:rPr>
          <w:color w:val="1E293B"/>
          <w:sz w:val="22"/>
          <w:szCs w:val="22"/>
        </w:rPr>
        <w:t xml:space="preserve">Produce output that meets HackerOne and Bugcrowd submission standards without manual reformatting.</w:t>
      </w:r>
    </w:p>
    <w:p>
      <w:pPr>
        <w:pStyle w:val="ListParagraph"/>
        <w:numPr>
          <w:ilvl w:val="0"/>
          <w:numId w:val="2"/>
        </w:numPr>
        <w:spacing w:after="60" w:line="300"/>
      </w:pPr>
      <w:r>
        <w:rPr>
          <w:color w:val="1E293B"/>
          <w:sz w:val="22"/>
          <w:szCs w:val="22"/>
        </w:rPr>
        <w:t xml:space="preserve">Integrate within Nexus (Harmonic Command) as a first-class tab, consistent with the existing design system.</w:t>
      </w:r>
    </w:p>
    <w:p>
      <w:pPr>
        <w:pStyle w:val="ListParagraph"/>
        <w:numPr>
          <w:ilvl w:val="0"/>
          <w:numId w:val="2"/>
        </w:numPr>
        <w:spacing w:after="60" w:line="300"/>
      </w:pPr>
      <w:r>
        <w:rPr>
          <w:color w:val="1E293B"/>
          <w:sz w:val="22"/>
          <w:szCs w:val="22"/>
        </w:rPr>
        <w:t xml:space="preserve">Ground Bug Finder reasoning in real-world disclosed vulnerability patterns, not solely training data inference.</w:t>
      </w:r>
    </w:p>
    <w:p>
      <w:pPr>
        <w:pStyle w:val="ListParagraph"/>
        <w:numPr>
          <w:ilvl w:val="0"/>
          <w:numId w:val="2"/>
        </w:numPr>
        <w:spacing w:after="60" w:line="300"/>
      </w:pPr>
      <w:r>
        <w:rPr>
          <w:color w:val="1E293B"/>
          <w:sz w:val="22"/>
          <w:szCs w:val="22"/>
        </w:rPr>
        <w:t xml:space="preserve">Ensure all pipeline stages are legally and ethically gated by an explicit scope validation step.</w:t>
      </w:r>
    </w:p>
    <w:p>
      <w:pPr>
        <w:spacing w:before="80"/>
      </w:pPr>
      <w:r>
        <w:t xml:space="preserve"/>
      </w:r>
    </w:p>
    <w:p>
      <w:pPr>
        <w:pStyle w:val="Heading2"/>
        <w:spacing w:after="120" w:before="360"/>
      </w:pPr>
      <w:r>
        <w:rPr>
          <w:b/>
          <w:bCs/>
          <w:color w:val="1E293B"/>
          <w:sz w:val="26"/>
          <w:szCs w:val="26"/>
        </w:rPr>
        <w:t xml:space="preserve">3.2 Secondary Objectives</w:t>
      </w:r>
    </w:p>
    <w:p>
      <w:pPr>
        <w:pStyle w:val="ListParagraph"/>
        <w:numPr>
          <w:ilvl w:val="0"/>
          <w:numId w:val="2"/>
        </w:numPr>
        <w:spacing w:after="60" w:line="300"/>
      </w:pPr>
      <w:r>
        <w:rPr>
          <w:color w:val="1E293B"/>
          <w:sz w:val="22"/>
          <w:szCs w:val="22"/>
        </w:rPr>
        <w:t xml:space="preserve">Build a knowledge base that self-updates from the live HackerOne public disclosure feed, compounding in value over time.</w:t>
      </w:r>
    </w:p>
    <w:p>
      <w:pPr>
        <w:pStyle w:val="ListParagraph"/>
        <w:numPr>
          <w:ilvl w:val="0"/>
          <w:numId w:val="2"/>
        </w:numPr>
        <w:spacing w:after="60" w:line="300"/>
      </w:pPr>
      <w:r>
        <w:rPr>
          <w:color w:val="1E293B"/>
          <w:sz w:val="22"/>
          <w:szCs w:val="22"/>
        </w:rPr>
        <w:t xml:space="preserve">Structure the pipeline so individual agents can be replaced or upgraded independently without rebuilding the whole system.</w:t>
      </w:r>
    </w:p>
    <w:p>
      <w:pPr>
        <w:pStyle w:val="ListParagraph"/>
        <w:numPr>
          <w:ilvl w:val="0"/>
          <w:numId w:val="2"/>
        </w:numPr>
        <w:spacing w:after="60" w:line="300"/>
      </w:pPr>
      <w:r>
        <w:rPr>
          <w:color w:val="1E293B"/>
          <w:sz w:val="22"/>
          <w:szCs w:val="22"/>
        </w:rPr>
        <w:t xml:space="preserve">Store findings persistently on Elysium, enabling a research history and cross-target pattern recognition over time.</w:t>
      </w:r>
    </w:p>
    <w:p>
      <w:pPr>
        <w:pStyle w:val="ListParagraph"/>
        <w:numPr>
          <w:ilvl w:val="0"/>
          <w:numId w:val="2"/>
        </w:numPr>
        <w:spacing w:after="60" w:line="300"/>
      </w:pPr>
      <w:r>
        <w:rPr>
          <w:color w:val="1E293B"/>
          <w:sz w:val="22"/>
          <w:szCs w:val="22"/>
        </w:rPr>
        <w:t xml:space="preserve">Expose the knowledge base as a reusable MCP server, making it available to other Nexus agents beyond Bug Bounty.</w:t>
      </w:r>
    </w:p>
    <w:p>
      <w:pPr>
        <w:spacing w:before="80"/>
      </w:pPr>
      <w:r>
        <w:t xml:space="preserve"/>
      </w:r>
    </w:p>
    <w:p>
      <w:pPr>
        <w:pStyle w:val="Heading2"/>
        <w:spacing w:after="120" w:before="360"/>
      </w:pPr>
      <w:r>
        <w:rPr>
          <w:b/>
          <w:bCs/>
          <w:color w:val="1E293B"/>
          <w:sz w:val="26"/>
          <w:szCs w:val="26"/>
        </w:rPr>
        <w:t xml:space="preserve">3.3 Out of Scope (Explicit Non-Objectives)</w:t>
      </w:r>
    </w:p>
    <w:p>
      <w:pPr>
        <w:pStyle w:val="ListParagraph"/>
        <w:numPr>
          <w:ilvl w:val="0"/>
          <w:numId w:val="2"/>
        </w:numPr>
        <w:spacing w:after="60" w:line="300"/>
      </w:pPr>
      <w:r>
        <w:rPr>
          <w:color w:val="1E293B"/>
          <w:sz w:val="22"/>
          <w:szCs w:val="22"/>
        </w:rPr>
        <w:t xml:space="preserve">Automated exploit execution or payload delivery — the system produces research output only; exploitation is a human decision.</w:t>
      </w:r>
    </w:p>
    <w:p>
      <w:pPr>
        <w:pStyle w:val="ListParagraph"/>
        <w:numPr>
          <w:ilvl w:val="0"/>
          <w:numId w:val="2"/>
        </w:numPr>
        <w:spacing w:after="60" w:line="300"/>
      </w:pPr>
      <w:r>
        <w:rPr>
          <w:color w:val="1E293B"/>
          <w:sz w:val="22"/>
          <w:szCs w:val="22"/>
        </w:rPr>
        <w:t xml:space="preserve">Unauthenticated or unsanctioned target scanning — the Scope Validator is a hard gate, not an advisory warning.</w:t>
      </w:r>
    </w:p>
    <w:p>
      <w:pPr>
        <w:pStyle w:val="ListParagraph"/>
        <w:numPr>
          <w:ilvl w:val="0"/>
          <w:numId w:val="2"/>
        </w:numPr>
        <w:spacing w:after="60" w:line="300"/>
      </w:pPr>
      <w:r>
        <w:rPr>
          <w:color w:val="1E293B"/>
          <w:sz w:val="22"/>
          <w:szCs w:val="22"/>
        </w:rPr>
        <w:t xml:space="preserve">Competitive intelligence or commercial surveillance use cases.</w:t>
      </w:r>
    </w:p>
    <w:p>
      <w:pPr>
        <w:pStyle w:val="Heading1"/>
        <w:pBdr>
          <w:bottom w:val="single" w:color="22D3EE" w:sz="8" w:space="6"/>
        </w:pBdr>
        <w:spacing w:after="200" w:before="480"/>
      </w:pPr>
      <w:r>
        <w:rPr>
          <w:b/>
          <w:bCs/>
          <w:color w:val="1E293B"/>
          <w:sz w:val="32"/>
          <w:szCs w:val="32"/>
        </w:rPr>
        <w:t xml:space="preserve">4. Architecture Evolution</w:t>
      </w:r>
    </w:p>
    <w:p>
      <w:pPr>
        <w:pStyle w:val="Heading2"/>
        <w:spacing w:after="120" w:before="360"/>
      </w:pPr>
      <w:r>
        <w:rPr>
          <w:b/>
          <w:bCs/>
          <w:color w:val="1E293B"/>
          <w:sz w:val="26"/>
          <w:szCs w:val="26"/>
        </w:rPr>
        <w:t xml:space="preserve">4.1 Version 1 — Concept (Three Agents, Local)</w:t>
      </w:r>
    </w:p>
    <w:p>
      <w:pPr>
        <w:spacing w:line="320"/>
      </w:pPr>
      <w:r>
        <w:rPr>
          <w:color w:val="1E293B"/>
          <w:sz w:val="22"/>
          <w:szCs w:val="22"/>
        </w:rPr>
        <w:t xml:space="preserve">The original concept was a linear three-agent pipeline: a bug identifier, a fix proposer, and a report generator. All three agents would run in the renderer process of the Nexus Electron application, making direct calls to the Anthropic API via a browser-style fetch. The design was minimal and fast to prototype.</w:t>
      </w:r>
    </w:p>
    <w:p>
      <w:pPr>
        <w:spacing w:before="80"/>
      </w:pPr>
      <w:r>
        <w:t xml:space="preserve"/>
      </w:r>
    </w:p>
    <w:p>
      <w:pPr>
        <w:spacing w:line="320"/>
      </w:pPr>
      <w:r>
        <w:rPr>
          <w:color w:val="1E293B"/>
          <w:sz w:val="22"/>
          <w:szCs w:val="22"/>
        </w:rPr>
        <w:t xml:space="preserve">This version was discarded before implementation for two reasons. First, running API calls from the renderer process violates Electron security best practice and creates CSP issues in hardened configurations. Second, three agents with no scope gate creates a system that a careless input could direct at any target without any programmatic check.</w:t>
      </w:r>
    </w:p>
    <w:p>
      <w:pPr>
        <w:spacing w:before="80"/>
      </w:pPr>
      <w:r>
        <w:t xml:space="preserve"/>
      </w:r>
    </w:p>
    <w:p>
      <w:pPr>
        <w:pStyle w:val="Heading2"/>
        <w:spacing w:after="120" w:before="360"/>
      </w:pPr>
      <w:r>
        <w:rPr>
          <w:b/>
          <w:bCs/>
          <w:color w:val="1E293B"/>
          <w:sz w:val="26"/>
          <w:szCs w:val="26"/>
        </w:rPr>
        <w:t xml:space="preserve">4.2 Version 2 — Nexus Tab (Four Agents, Main Process)</w:t>
      </w:r>
    </w:p>
    <w:p>
      <w:pPr>
        <w:spacing w:line="320"/>
      </w:pPr>
      <w:r>
        <w:rPr>
          <w:color w:val="1E293B"/>
          <w:sz w:val="22"/>
          <w:szCs w:val="22"/>
        </w:rPr>
        <w:t xml:space="preserve">The revised architecture moved all API calls to the Electron main process, accessed from the renderer via the existing contextBridge IPC pattern (window.nexus.invoke). A fourth agent, the Scope Validator, was added as the first stage. The Anthropic SDK runs in the main process, keeping credentials and network calls out of the renderer entirely.</w:t>
      </w:r>
    </w:p>
    <w:p>
      <w:pPr>
        <w:spacing w:before="80"/>
      </w:pPr>
      <w:r>
        <w:t xml:space="preserve"/>
      </w:r>
    </w:p>
    <w:p>
      <w:pPr>
        <w:spacing w:line="320"/>
      </w:pPr>
      <w:r>
        <w:rPr>
          <w:color w:val="1E293B"/>
          <w:sz w:val="22"/>
          <w:szCs w:val="22"/>
        </w:rPr>
        <w:t xml:space="preserve">This version was built and delivered as BugBountyTab.jsx (React component) and bugBountyHandler.js (main process handler). The pipeline runs sequentially: Scope Validator checks legitimacy and attack surface, Bug Finder analyses vulnerabilities, Fix Suggester proposes remediations, Reporter generates a structured disclosure.</w:t>
      </w:r>
    </w:p>
    <w:p>
      <w:pPr>
        <w:spacing w:before="80"/>
      </w:pPr>
      <w:r>
        <w:t xml:space="preserve"/>
      </w:r>
    </w:p>
    <w:p>
      <w:pPr>
        <w:spacing w:line="320"/>
      </w:pPr>
      <w:r>
        <w:rPr>
          <w:color w:val="1E293B"/>
          <w:sz w:val="22"/>
          <w:szCs w:val="22"/>
        </w:rPr>
        <w:t xml:space="preserve">The fundamental limitation identified in this version: Bug Finder has no ability to probe the target. It reasons about what might be vulnerable based on the URL string and scope notes provided by the operator. This produces plausible-sounding findings but they are informed inference, not observation. For practice or learning use cases this is acceptable; for real authorised engagements it is not sufficient.</w:t>
      </w:r>
    </w:p>
    <w:p>
      <w:pPr>
        <w:spacing w:before="80"/>
      </w:pPr>
      <w:r>
        <w:t xml:space="preserve"/>
      </w:r>
    </w:p>
    <w:p>
      <w:pPr>
        <w:pStyle w:val="Heading2"/>
        <w:spacing w:after="120" w:before="360"/>
      </w:pPr>
      <w:r>
        <w:rPr>
          <w:b/>
          <w:bCs/>
          <w:color w:val="1E293B"/>
          <w:sz w:val="26"/>
          <w:szCs w:val="26"/>
        </w:rPr>
        <w:t xml:space="preserve">4.3 Version 3 — Knowledge Base Integration (Planned)</w:t>
      </w:r>
    </w:p>
    <w:p>
      <w:pPr>
        <w:spacing w:line="320"/>
      </w:pPr>
      <w:r>
        <w:rPr>
          <w:color w:val="1E293B"/>
          <w:sz w:val="22"/>
          <w:szCs w:val="22"/>
        </w:rPr>
        <w:t xml:space="preserve">The recognised gap — Bug Finder operating on inference rather than evidence — led to the knowledge base architecture. Before Bug Finder analyses a target, it queries a ChromaDB vector store of real HackerOne disclosed reports. This grounds its reasoning in actual attack patterns demonstrated against similar targets in production environments.</w:t>
      </w:r>
    </w:p>
    <w:p>
      <w:pPr>
        <w:spacing w:before="80"/>
      </w:pPr>
      <w:r>
        <w:t xml:space="preserve"/>
      </w:r>
    </w:p>
    <w:p>
      <w:pPr>
        <w:spacing w:line="320"/>
      </w:pPr>
      <w:r>
        <w:rPr>
          <w:color w:val="1E293B"/>
          <w:sz w:val="22"/>
          <w:szCs w:val="22"/>
        </w:rPr>
        <w:t xml:space="preserve">The KB is populated via an ingestion pipeline (kb_ingest.py) with two sources: a bootstrap seed from the reddelexc/hackerone-reports public GitHub archive for immediate population, and a live incremental feed from the HackerOne GraphQL API (hackerone.com/graphql), which requires no authentication for public disclosed reports. An optional REST API path (api.hackerone.com/v1/hackers/hacktivity) provides richer structured data once HackerOne API credentials are obtained.</w:t>
      </w:r>
    </w:p>
    <w:p>
      <w:pPr>
        <w:spacing w:before="80"/>
      </w:pPr>
      <w:r>
        <w:t xml:space="preserve"/>
      </w:r>
    </w:p>
    <w:p>
      <w:pPr>
        <w:spacing w:line="320"/>
      </w:pPr>
      <w:r>
        <w:rPr>
          <w:color w:val="1E293B"/>
          <w:sz w:val="22"/>
          <w:szCs w:val="22"/>
        </w:rPr>
        <w:t xml:space="preserve">The KB is exposed as an MCP stdio server (kb_mcp_server.py), making it a queryable tool available to any agent in the Nexus ecosystem, not just Bug Bounty. The four tools exposed are: query_kb (semantic search), get_by_weakness (CWE/weakness filter), get_by_severity (severity filter), and get_by_asset_type (target technology filter).</w:t>
      </w:r>
    </w:p>
    <w:p>
      <w:pPr>
        <w:spacing w:before="80"/>
      </w:pPr>
      <w:r>
        <w:t xml:space="preserve"/>
      </w:r>
    </w:p>
    <w:p>
      <w:pPr>
        <w:pStyle w:val="Heading2"/>
        <w:spacing w:after="120" w:before="360"/>
      </w:pPr>
      <w:r>
        <w:rPr>
          <w:b/>
          <w:bCs/>
          <w:color w:val="1E293B"/>
          <w:sz w:val="26"/>
          <w:szCs w:val="26"/>
        </w:rPr>
        <w:t xml:space="preserve">4.4 Version 4 — Elysium Migration (Planned)</w:t>
      </w:r>
    </w:p>
    <w:p>
      <w:pPr>
        <w:spacing w:line="320"/>
      </w:pPr>
      <w:r>
        <w:rPr>
          <w:color w:val="1E293B"/>
          <w:sz w:val="22"/>
          <w:szCs w:val="22"/>
        </w:rPr>
        <w:t xml:space="preserve">The final architectural step moves the pipeline compute from the Nexus Electron process to the Elysium server (Hetzner CPX22, elysium.aegisnet.org.uk), where Herald (the Python/FastAPI backend) already runs. This migration is driven by the practical requirements of real target work: persistent finding storage across sessions, server-side HTTP probing capability, and the ability to queue and manage multiple engagement targets without tying up the operator's desktop.</w:t>
      </w:r>
    </w:p>
    <w:p>
      <w:pPr>
        <w:spacing w:before="80"/>
      </w:pPr>
      <w:r>
        <w:t xml:space="preserve"/>
      </w:r>
    </w:p>
    <w:p>
      <w:pPr>
        <w:spacing w:line="320"/>
      </w:pPr>
      <w:r>
        <w:rPr>
          <w:color w:val="1E293B"/>
          <w:sz w:val="22"/>
          <w:szCs w:val="22"/>
        </w:rPr>
        <w:t xml:space="preserve">In this configuration, the Nexus Bug Bounty tab becomes a pure UI layer. It submits targets and configuration to Herald via the existing IPC-to-HTTPS handoff path, polls for progress updates, and renders results. All agent execution, KB queries, and finding storage happen on Elysium. A SQLite database on Elysium accumulates findings history, enabling cross-target pattern analysis over time.</w:t>
      </w:r>
    </w:p>
    <w:p>
      <w:r>
        <w:br w:type="page"/>
      </w:r>
    </w:p>
    <w:p>
      <w:pPr>
        <w:pStyle w:val="Heading1"/>
        <w:pBdr>
          <w:bottom w:val="single" w:color="22D3EE" w:sz="8" w:space="6"/>
        </w:pBdr>
        <w:spacing w:after="200" w:before="480"/>
      </w:pPr>
      <w:r>
        <w:rPr>
          <w:b/>
          <w:bCs/>
          <w:color w:val="1E293B"/>
          <w:sz w:val="32"/>
          <w:szCs w:val="32"/>
        </w:rPr>
        <w:t xml:space="preserve">5. Pipeline Stage Design</w:t>
      </w:r>
    </w:p>
    <w:p>
      <w:pPr>
        <w:pStyle w:val="Heading2"/>
        <w:spacing w:after="120" w:before="360"/>
      </w:pPr>
      <w:r>
        <w:rPr>
          <w:b/>
          <w:bCs/>
          <w:color w:val="1E293B"/>
          <w:sz w:val="26"/>
          <w:szCs w:val="26"/>
        </w:rPr>
        <w:t xml:space="preserve">5.1 Stage 1: Scope Validator</w:t>
      </w:r>
    </w:p>
    <w:p>
      <w:pPr>
        <w:spacing w:line="320"/>
      </w:pPr>
      <w:r>
        <w:rPr>
          <w:color w:val="1E293B"/>
          <w:sz w:val="22"/>
          <w:szCs w:val="22"/>
        </w:rPr>
        <w:t xml:space="preserve">The Scope Validator is the first and most critical stage. It receives the target URL, the operator-defined scope notes (in-scope paths, explicit exclusions), the stated objective, and the requested severity focus. Its output is a structured assessment containing a SCOPE_STATUS field (CLEAR or BLOCKED), a brief rationale, an attack surface summary, and a recommended approach for the Bug Finder.</w:t>
      </w:r>
    </w:p>
    <w:p>
      <w:pPr>
        <w:spacing w:before="80"/>
      </w:pPr>
      <w:r>
        <w:t xml:space="preserve"/>
      </w:r>
    </w:p>
    <w:p>
      <w:pPr>
        <w:spacing w:line="320"/>
      </w:pPr>
      <w:r>
        <w:rPr>
          <w:color w:val="1E293B"/>
          <w:sz w:val="22"/>
          <w:szCs w:val="22"/>
        </w:rPr>
        <w:t xml:space="preserve">If SCOPE_STATUS is BLOCKED, the pipeline terminates immediately and marks all subsequent stages as skipped. This hard gate cannot be bypassed by downstream agents. The blocking logic is intentionally conservative: critical infrastructure, government systems, payment processors without explicit scope declarations, and any social engineering or credential harvesting objectives are automatic blocks.</w:t>
      </w:r>
    </w:p>
    <w:p>
      <w:pPr>
        <w:spacing w:before="80"/>
      </w:pPr>
      <w:r>
        <w:t xml:space="preserve"/>
      </w:r>
    </w:p>
    <w:p>
      <w:pPr>
        <w:spacing w:line="320"/>
      </w:pPr>
      <w:r>
        <w:rPr>
          <w:color w:val="1E293B"/>
          <w:sz w:val="22"/>
          <w:szCs w:val="22"/>
        </w:rPr>
        <w:t xml:space="preserve">Design note: The Scope Validator also serves as a natural rate-limiting mechanism. It adds a deliberate analytical pause before any real work begins, which has the secondary effect of slowing any attempt to use the pipeline at volume against many targets in succession.</w:t>
      </w:r>
    </w:p>
    <w:p>
      <w:pPr>
        <w:spacing w:before="80"/>
      </w:pPr>
      <w:r>
        <w:t xml:space="preserve"/>
      </w:r>
    </w:p>
    <w:p>
      <w:pPr>
        <w:pStyle w:val="Heading2"/>
        <w:spacing w:after="120" w:before="360"/>
      </w:pPr>
      <w:r>
        <w:rPr>
          <w:b/>
          <w:bCs/>
          <w:color w:val="1E293B"/>
          <w:sz w:val="26"/>
          <w:szCs w:val="26"/>
        </w:rPr>
        <w:t xml:space="preserve">5.2 Stage 2: Bug Finder</w:t>
      </w:r>
    </w:p>
    <w:p>
      <w:pPr>
        <w:spacing w:line="320"/>
      </w:pPr>
      <w:r>
        <w:rPr>
          <w:color w:val="1E293B"/>
          <w:sz w:val="22"/>
          <w:szCs w:val="22"/>
        </w:rPr>
        <w:t xml:space="preserve">Bug Finder is the most complex and most resource-intensive stage. In the current Nexus-local implementation it reasons from the scope assessment, target description, and operator notes to identify likely vulnerability classes with their locations, severity ratings, and proof-of-concept approaches. Each finding carries a confidence flag: confirmed (demonstrated in disclosed precedents), probable (inferred from target architecture), or suspected (pattern-matched from general knowledge).</w:t>
      </w:r>
    </w:p>
    <w:p>
      <w:pPr>
        <w:spacing w:before="80"/>
      </w:pPr>
      <w:r>
        <w:t xml:space="preserve"/>
      </w:r>
    </w:p>
    <w:p>
      <w:pPr>
        <w:spacing w:line="320"/>
      </w:pPr>
      <w:r>
        <w:rPr>
          <w:color w:val="1E293B"/>
          <w:sz w:val="22"/>
          <w:szCs w:val="22"/>
        </w:rPr>
        <w:t xml:space="preserve">In the planned KB-integrated version, Bug Finder queries the Hacker Knowledge Base before forming its assessment. It issues semantic queries against the ChromaDB store — for example, "REST API IDOR user objects" or "GraphQL introspection information disclosure" — and incorporates the returned precedents into its analysis. A finding that matches multiple high-severity disclosed reports with real bounties is rated confirmed; one that fits the pattern but has no close precedent is rated probable.</w:t>
      </w:r>
    </w:p>
    <w:p>
      <w:pPr>
        <w:spacing w:before="80"/>
      </w:pPr>
      <w:r>
        <w:t xml:space="preserve"/>
      </w:r>
    </w:p>
    <w:p>
      <w:pPr>
        <w:spacing w:line="320"/>
      </w:pPr>
      <w:r>
        <w:rPr>
          <w:color w:val="1E293B"/>
          <w:sz w:val="22"/>
          <w:szCs w:val="22"/>
        </w:rPr>
        <w:t xml:space="preserve">In the planned Elysium version, Bug Finder additionally has HTTP fetch capability, allowing it to retrieve the target, read response headers, inspect error messages, follow redirects, and reason from real observations rather than solely from architecture inference.</w:t>
      </w:r>
    </w:p>
    <w:p>
      <w:pPr>
        <w:spacing w:before="80"/>
      </w:pPr>
      <w:r>
        <w:t xml:space="preserve"/>
      </w:r>
    </w:p>
    <w:p>
      <w:pPr>
        <w:pStyle w:val="Heading2"/>
        <w:spacing w:after="120" w:before="360"/>
      </w:pPr>
      <w:r>
        <w:rPr>
          <w:b/>
          <w:bCs/>
          <w:color w:val="1E293B"/>
          <w:sz w:val="26"/>
          <w:szCs w:val="26"/>
        </w:rPr>
        <w:t xml:space="preserve">5.3 Stage 3: Fix Suggester</w:t>
      </w:r>
    </w:p>
    <w:p>
      <w:pPr>
        <w:spacing w:line="320"/>
      </w:pPr>
      <w:r>
        <w:rPr>
          <w:color w:val="1E293B"/>
          <w:sz w:val="22"/>
          <w:szCs w:val="22"/>
        </w:rPr>
        <w:t xml:space="preserve">Fix Suggester receives the full Bug Finder output and produces remediation recommendations for each finding. Each remediation includes a root cause analysis, a concrete fix recommendation at code or configuration level (naming specific libraries, functions, or configuration directives where applicable), a verification procedure confirming the fix is effective, and an OWASP or CWE reference.</w:t>
      </w:r>
    </w:p>
    <w:p>
      <w:pPr>
        <w:spacing w:before="80"/>
      </w:pPr>
      <w:r>
        <w:t xml:space="preserve"/>
      </w:r>
    </w:p>
    <w:p>
      <w:pPr>
        <w:spacing w:line="320"/>
      </w:pPr>
      <w:r>
        <w:rPr>
          <w:color w:val="1E293B"/>
          <w:sz w:val="22"/>
          <w:szCs w:val="22"/>
        </w:rPr>
        <w:t xml:space="preserve">Fix Suggester is also planned to query the KB for remediation precedents — specifically, how programs that disclosed similar vulnerabilities described their own fixes. This grounds the remediation language in real developer-accepted solutions rather than generic security advice.</w:t>
      </w:r>
    </w:p>
    <w:p>
      <w:pPr>
        <w:spacing w:before="80"/>
      </w:pPr>
      <w:r>
        <w:t xml:space="preserve"/>
      </w:r>
    </w:p>
    <w:p>
      <w:pPr>
        <w:pStyle w:val="Heading2"/>
        <w:spacing w:after="120" w:before="360"/>
      </w:pPr>
      <w:r>
        <w:rPr>
          <w:b/>
          <w:bCs/>
          <w:color w:val="1E293B"/>
          <w:sz w:val="26"/>
          <w:szCs w:val="26"/>
        </w:rPr>
        <w:t xml:space="preserve">5.4 Stage 4: Reporter</w:t>
      </w:r>
    </w:p>
    <w:p>
      <w:pPr>
        <w:spacing w:line="320"/>
      </w:pPr>
      <w:r>
        <w:rPr>
          <w:color w:val="1E293B"/>
          <w:sz w:val="22"/>
          <w:szCs w:val="22"/>
        </w:rPr>
        <w:t xml:space="preserve">Reporter takes the full pipeline context — scope assessment, findings with confidence flags, remediations — and produces a structured disclosure report aligned to HackerOne and Bugcrowd submission standards. The report includes an executive summary, per-finding sections with title, severity, description, reproduction steps and impact, matched remediations, scope notes, and a researcher notes section whose detail level is calibrated to the operator-selected report level (beginner, intermediate, expert).</w:t>
      </w:r>
    </w:p>
    <w:p>
      <w:pPr>
        <w:spacing w:before="80"/>
      </w:pPr>
      <w:r>
        <w:t xml:space="preserve"/>
      </w:r>
    </w:p>
    <w:p>
      <w:pPr>
        <w:spacing w:line="320"/>
      </w:pPr>
      <w:r>
        <w:rPr>
          <w:color w:val="1E293B"/>
          <w:sz w:val="22"/>
          <w:szCs w:val="22"/>
        </w:rPr>
        <w:t xml:space="preserve">The output is copyable directly from the Nexus Report tab and is formatted for direct paste into a bug bounty platform submission form without reformatting. On Elysium, reports are additionally stored in SQLite with full metadata for historical retrieval.</w:t>
      </w:r>
    </w:p>
    <w:p>
      <w:r>
        <w:br w:type="page"/>
      </w:r>
    </w:p>
    <w:p>
      <w:pPr>
        <w:pStyle w:val="Heading1"/>
        <w:pBdr>
          <w:bottom w:val="single" w:color="22D3EE" w:sz="8" w:space="6"/>
        </w:pBdr>
        <w:spacing w:after="200" w:before="480"/>
      </w:pPr>
      <w:r>
        <w:rPr>
          <w:b/>
          <w:bCs/>
          <w:color w:val="1E293B"/>
          <w:sz w:val="32"/>
          <w:szCs w:val="32"/>
        </w:rPr>
        <w:t xml:space="preserve">6. Hacker Knowledge Base</w:t>
      </w:r>
    </w:p>
    <w:p>
      <w:pPr>
        <w:pStyle w:val="Heading2"/>
        <w:spacing w:after="120" w:before="360"/>
      </w:pPr>
      <w:r>
        <w:rPr>
          <w:b/>
          <w:bCs/>
          <w:color w:val="1E293B"/>
          <w:sz w:val="26"/>
          <w:szCs w:val="26"/>
        </w:rPr>
        <w:t xml:space="preserve">6.1 Purpose</w:t>
      </w:r>
    </w:p>
    <w:p>
      <w:pPr>
        <w:spacing w:line="320"/>
      </w:pPr>
      <w:r>
        <w:rPr>
          <w:color w:val="1E293B"/>
          <w:sz w:val="22"/>
          <w:szCs w:val="22"/>
        </w:rPr>
        <w:t xml:space="preserve">The KB is the component that separates the Bug Bounty System from a sophisticated prompt wrapper. Without grounded knowledge, an AI agent asked to find vulnerabilities in a target produces output shaped entirely by its training distribution — reasonable for common patterns, unreliable for edge cases, and unable to cite precedent. With a queryable store of real disclosed reports, Bug Finder can identify that a specific vulnerability class has been found in similar targets, name the programs it affected, reference the severity those programs assigned, and calibrate its confidence accordingly.</w:t>
      </w:r>
    </w:p>
    <w:p>
      <w:pPr>
        <w:spacing w:before="80"/>
      </w:pPr>
      <w:r>
        <w:t xml:space="preserve"/>
      </w:r>
    </w:p>
    <w:p>
      <w:pPr>
        <w:spacing w:line="320"/>
      </w:pPr>
      <w:r>
        <w:rPr>
          <w:color w:val="1E293B"/>
          <w:sz w:val="22"/>
          <w:szCs w:val="22"/>
        </w:rPr>
        <w:t xml:space="preserve">Beyond immediate utility, the KB compounds. Every daily ingestion run adds new disclosures. Over months it becomes a comprehensive, current, domain-specific knowledge graph of real attack patterns. This is not achievable through model fine-tuning on the same timescale or budget.</w:t>
      </w:r>
    </w:p>
    <w:p>
      <w:pPr>
        <w:spacing w:before="80"/>
      </w:pPr>
      <w:r>
        <w:t xml:space="preserve"/>
      </w:r>
    </w:p>
    <w:p>
      <w:pPr>
        <w:pStyle w:val="Heading2"/>
        <w:spacing w:after="120" w:before="360"/>
      </w:pPr>
      <w:r>
        <w:rPr>
          <w:b/>
          <w:bCs/>
          <w:color w:val="1E293B"/>
          <w:sz w:val="26"/>
          <w:szCs w:val="26"/>
        </w:rPr>
        <w:t xml:space="preserve">6.2 Data Sources</w:t>
      </w:r>
    </w:p>
    <w:p>
      <w:pPr>
        <w:pStyle w:val="Heading3"/>
        <w:spacing w:after="80" w:before="240"/>
      </w:pPr>
      <w:r>
        <w:rPr>
          <w:b/>
          <w:bCs/>
          <w:color w:val="334155"/>
          <w:sz w:val="22"/>
          <w:szCs w:val="22"/>
        </w:rPr>
        <w:t xml:space="preserve">HackerOne GraphQL Feed (Primary)</w:t>
      </w:r>
    </w:p>
    <w:p>
      <w:pPr>
        <w:spacing w:line="320"/>
      </w:pPr>
      <w:r>
        <w:rPr>
          <w:color w:val="1E293B"/>
          <w:sz w:val="22"/>
          <w:szCs w:val="22"/>
        </w:rPr>
        <w:t xml:space="preserve">The primary live source is the HackerOne GraphQL API at hackerone.com/graphql. This endpoint is publicly accessible without authentication for disclosed reports. The hacktivity_items query with disclosed_at not null returns paginated results ordered by most recent activity, carrying title, severity rating and CVSS score, weakness name and CWE identifier, asset type and identifier, program handle, disclosed date, and report summaries. Pagination is cursor-based, enabling incremental updates that fetch only reports newer than the last ingestion run.</w:t>
      </w:r>
    </w:p>
    <w:p>
      <w:pPr>
        <w:spacing w:before="80"/>
      </w:pPr>
      <w:r>
        <w:t xml:space="preserve"/>
      </w:r>
    </w:p>
    <w:p>
      <w:pPr>
        <w:pStyle w:val="Heading3"/>
        <w:spacing w:after="80" w:before="240"/>
      </w:pPr>
      <w:r>
        <w:rPr>
          <w:b/>
          <w:bCs/>
          <w:color w:val="334155"/>
          <w:sz w:val="22"/>
          <w:szCs w:val="22"/>
        </w:rPr>
        <w:t xml:space="preserve">HackerOne REST API (Supplementary)</w:t>
      </w:r>
    </w:p>
    <w:p>
      <w:pPr>
        <w:spacing w:line="320"/>
      </w:pPr>
      <w:r>
        <w:rPr>
          <w:color w:val="1E293B"/>
          <w:sz w:val="22"/>
          <w:szCs w:val="22"/>
        </w:rPr>
        <w:t xml:space="preserve">The REST API at api.hackerone.com/v1/hackers/hacktivity provides cleaner structured fields including CVE IDs, total awarded bounty, and substate. It requires Basic Auth credentials obtained by creating a free HackerOne researcher account. Once credentials are available, the REST path enriches reports that the GraphQL feed may have returned with incomplete metadata.</w:t>
      </w:r>
    </w:p>
    <w:p>
      <w:pPr>
        <w:spacing w:before="80"/>
      </w:pPr>
      <w:r>
        <w:t xml:space="preserve"/>
      </w:r>
    </w:p>
    <w:p>
      <w:pPr>
        <w:pStyle w:val="Heading3"/>
        <w:spacing w:after="80" w:before="240"/>
      </w:pPr>
      <w:r>
        <w:rPr>
          <w:b/>
          <w:bCs/>
          <w:color w:val="334155"/>
          <w:sz w:val="22"/>
          <w:szCs w:val="22"/>
        </w:rPr>
        <w:t xml:space="preserve">GitHub Archive Seed (Bootstrap)</w:t>
      </w:r>
    </w:p>
    <w:p>
      <w:pPr>
        <w:spacing w:line="320"/>
      </w:pPr>
      <w:r>
        <w:rPr>
          <w:color w:val="1E293B"/>
          <w:sz w:val="22"/>
          <w:szCs w:val="22"/>
        </w:rPr>
        <w:t xml:space="preserve">The reddelexc/hackerone-reports public GitHub repository contains thousands of disclosed vulnerability titles organised by program. It provides an immediate seed for the KB at deployment time, without any API rate limits or authentication requirements. It does not carry summaries or structured metadata, so it functions as a broad pattern index rather than a deep reference, but it ensures the KB is populated and queryable from the first ingestion run.</w:t>
      </w:r>
    </w:p>
    <w:p>
      <w:pPr>
        <w:spacing w:before="80"/>
      </w:pPr>
      <w:r>
        <w:t xml:space="preserve"/>
      </w:r>
    </w:p>
    <w:p>
      <w:pPr>
        <w:pStyle w:val="Heading2"/>
        <w:spacing w:after="120" w:before="360"/>
      </w:pPr>
      <w:r>
        <w:rPr>
          <w:b/>
          <w:bCs/>
          <w:color w:val="1E293B"/>
          <w:sz w:val="26"/>
          <w:szCs w:val="26"/>
        </w:rPr>
        <w:t xml:space="preserve">6.3 Embedding and Storage</w:t>
      </w:r>
    </w:p>
    <w:p>
      <w:pPr>
        <w:spacing w:line="320"/>
      </w:pPr>
      <w:r>
        <w:rPr>
          <w:color w:val="1E293B"/>
          <w:sz w:val="22"/>
          <w:szCs w:val="22"/>
        </w:rPr>
        <w:t xml:space="preserve">Documents are embedded using the all-MiniLM-L6-v2 sentence-transformer model, consistent with the embedding model used in the wider Nexus memory system. This choice ensures that the same semantic space is used across the ecosystem, simplifying future cross-collection queries. The vector store is ChromaDB in persistent mode, stored at /sanctum/hacker-kb/chroma/ on Elysium. Cosine similarity is used as the distance metric.</w:t>
      </w:r>
    </w:p>
    <w:p>
      <w:pPr>
        <w:spacing w:before="80"/>
      </w:pPr>
      <w:r>
        <w:t xml:space="preserve"/>
      </w:r>
    </w:p>
    <w:p>
      <w:pPr>
        <w:spacing w:line="320"/>
      </w:pPr>
      <w:r>
        <w:rPr>
          <w:color w:val="1E293B"/>
          <w:sz w:val="22"/>
          <w:szCs w:val="22"/>
        </w:rPr>
        <w:t xml:space="preserve">Each document stored in ChromaDB carries a flat metadata record: report ID, title, severity rating, CVSS score, weakness name, CWE identifier, asset type, asset identifier, program handle, disclosed date, vote count, report URL, and source tag. These metadata fields enable filtered queries — for example, retrieving only critical-severity reports affecting API asset types — without requiring a full semantic search pass.</w:t>
      </w:r>
    </w:p>
    <w:p>
      <w:pPr>
        <w:spacing w:before="80"/>
      </w:pPr>
      <w:r>
        <w:t xml:space="preserve"/>
      </w:r>
    </w:p>
    <w:p>
      <w:pPr>
        <w:pStyle w:val="Heading2"/>
        <w:spacing w:after="120" w:before="360"/>
      </w:pPr>
      <w:r>
        <w:rPr>
          <w:b/>
          <w:bCs/>
          <w:color w:val="1E293B"/>
          <w:sz w:val="26"/>
          <w:szCs w:val="26"/>
        </w:rPr>
        <w:t xml:space="preserve">6.4 Operational Schedule</w:t>
      </w:r>
    </w:p>
    <w:p>
      <w:pPr>
        <w:spacing w:line="320"/>
      </w:pPr>
      <w:r>
        <w:rPr>
          <w:color w:val="1E293B"/>
          <w:sz w:val="22"/>
          <w:szCs w:val="22"/>
        </w:rPr>
        <w:t xml:space="preserve">The ingestion pipeline runs as a daily cron job on Elysium at 03:00 UTC, outside peak hours. Each run is incremental, fetching only reports newer than the last stored cursor position. The cursor and run metadata are persisted in state.json alongside the ChromaDB store. A full reseed (--full flag) restarts from the beginning of the HackerOne feed; this is intended only for KB rebuilds after schema changes and would not normally be needed in routine operation.</w:t>
      </w:r>
    </w:p>
    <w:p>
      <w:r>
        <w:br w:type="page"/>
      </w:r>
    </w:p>
    <w:p>
      <w:pPr>
        <w:pStyle w:val="Heading1"/>
        <w:pBdr>
          <w:bottom w:val="single" w:color="22D3EE" w:sz="8" w:space="6"/>
        </w:pBdr>
        <w:spacing w:after="200" w:before="480"/>
      </w:pPr>
      <w:r>
        <w:rPr>
          <w:b/>
          <w:bCs/>
          <w:color w:val="1E293B"/>
          <w:sz w:val="32"/>
          <w:szCs w:val="32"/>
        </w:rPr>
        <w:t xml:space="preserve">7. Key Design Decisions</w:t>
      </w:r>
    </w:p>
    <w:p>
      <w:pPr>
        <w:spacing w:line="320"/>
      </w:pPr>
      <w:r>
        <w:rPr>
          <w:color w:val="1E293B"/>
          <w:sz w:val="22"/>
          <w:szCs w:val="22"/>
        </w:rPr>
        <w:t xml:space="preserve">The table below documents the substantive design decisions made during the project, the alternatives considered, the chosen approach, and the reasoning.</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rPr>
          <w:tblHeader/>
        </w:trPr>
        <w:tc>
          <w:tcPr>
            <w:tcW w:type="dxa" w:w="2800"/>
            <w:tcBorders>
              <w:top w:val="single" w:color="6366F1" w:sz="1"/>
              <w:left w:val="single" w:color="6366F1" w:sz="1"/>
              <w:bottom w:val="single" w:color="6366F1" w:sz="1"/>
              <w:right w:val="single" w:color="6366F1" w:sz="1"/>
            </w:tcBorders>
            <w:shd w:fill="312E81" w:val="clear"/>
            <w:tcMar>
              <w:top w:type="dxa" w:w="80"/>
              <w:left w:type="dxa" w:w="140"/>
              <w:bottom w:type="dxa" w:w="80"/>
              <w:right w:type="dxa" w:w="140"/>
            </w:tcMar>
          </w:tcPr>
          <w:p>
            <w:r>
              <w:rPr>
                <w:b/>
                <w:bCs/>
                <w:color w:val="FFFFFF"/>
                <w:sz w:val="20"/>
                <w:szCs w:val="20"/>
              </w:rPr>
              <w:t xml:space="preserve">Decision</w:t>
            </w:r>
          </w:p>
        </w:tc>
        <w:tc>
          <w:tcPr>
            <w:tcW w:type="dxa" w:w="2280"/>
            <w:tcBorders>
              <w:top w:val="single" w:color="6366F1" w:sz="1"/>
              <w:left w:val="single" w:color="6366F1" w:sz="1"/>
              <w:bottom w:val="single" w:color="6366F1" w:sz="1"/>
              <w:right w:val="single" w:color="6366F1" w:sz="1"/>
            </w:tcBorders>
            <w:shd w:fill="312E81" w:val="clear"/>
            <w:tcMar>
              <w:top w:type="dxa" w:w="80"/>
              <w:left w:type="dxa" w:w="140"/>
              <w:bottom w:type="dxa" w:w="80"/>
              <w:right w:type="dxa" w:w="140"/>
            </w:tcMar>
          </w:tcPr>
          <w:p>
            <w:r>
              <w:rPr>
                <w:b/>
                <w:bCs/>
                <w:color w:val="FFFFFF"/>
                <w:sz w:val="20"/>
                <w:szCs w:val="20"/>
              </w:rPr>
              <w:t xml:space="preserve">Option Considered</w:t>
            </w:r>
          </w:p>
        </w:tc>
        <w:tc>
          <w:tcPr>
            <w:tcW w:type="dxa" w:w="2280"/>
            <w:tcBorders>
              <w:top w:val="single" w:color="6366F1" w:sz="1"/>
              <w:left w:val="single" w:color="6366F1" w:sz="1"/>
              <w:bottom w:val="single" w:color="6366F1" w:sz="1"/>
              <w:right w:val="single" w:color="6366F1" w:sz="1"/>
            </w:tcBorders>
            <w:shd w:fill="312E81" w:val="clear"/>
            <w:tcMar>
              <w:top w:type="dxa" w:w="80"/>
              <w:left w:type="dxa" w:w="140"/>
              <w:bottom w:type="dxa" w:w="80"/>
              <w:right w:type="dxa" w:w="140"/>
            </w:tcMar>
          </w:tcPr>
          <w:p>
            <w:r>
              <w:rPr>
                <w:b/>
                <w:bCs/>
                <w:color w:val="FFFFFF"/>
                <w:sz w:val="20"/>
                <w:szCs w:val="20"/>
              </w:rPr>
              <w:t xml:space="preserve">Chosen Approach</w:t>
            </w:r>
          </w:p>
        </w:tc>
        <w:tc>
          <w:tcPr>
            <w:tcW w:type="dxa" w:w="2000"/>
            <w:tcBorders>
              <w:top w:val="single" w:color="6366F1" w:sz="1"/>
              <w:left w:val="single" w:color="6366F1" w:sz="1"/>
              <w:bottom w:val="single" w:color="6366F1" w:sz="1"/>
              <w:right w:val="single" w:color="6366F1" w:sz="1"/>
            </w:tcBorders>
            <w:shd w:fill="312E81" w:val="clear"/>
            <w:tcMar>
              <w:top w:type="dxa" w:w="80"/>
              <w:left w:type="dxa" w:w="140"/>
              <w:bottom w:type="dxa" w:w="80"/>
              <w:right w:type="dxa" w:w="140"/>
            </w:tcMar>
          </w:tcPr>
          <w:p>
            <w:r>
              <w:rPr>
                <w:b/>
                <w:bCs/>
                <w:color w:val="FFFFFF"/>
                <w:sz w:val="20"/>
                <w:szCs w:val="20"/>
              </w:rPr>
              <w:t xml:space="preserve">Rationale</w:t>
            </w:r>
          </w:p>
        </w:tc>
      </w:tr>
      <w:tr>
        <w:tc>
          <w:tcPr>
            <w:tcW w:type="dxa" w:w="2800"/>
            <w:tcBorders>
              <w:top w:val="single" w:color="E2E8F0" w:sz="1"/>
              <w:left w:val="single" w:color="E2E8F0" w:sz="1"/>
              <w:bottom w:val="single" w:color="E2E8F0" w:sz="1"/>
              <w:right w:val="single" w:color="E2E8F0" w:sz="1"/>
            </w:tcBorders>
            <w:shd w:fill="F5F3FF" w:val="clear"/>
            <w:tcMar>
              <w:top w:type="dxa" w:w="80"/>
              <w:left w:type="dxa" w:w="140"/>
              <w:bottom w:type="dxa" w:w="80"/>
              <w:right w:type="dxa" w:w="140"/>
            </w:tcMar>
          </w:tcPr>
          <w:p>
            <w:r>
              <w:rPr>
                <w:color w:val="1E293B"/>
                <w:sz w:val="19"/>
                <w:szCs w:val="19"/>
              </w:rPr>
              <w:t xml:space="preserve">Agent communication</w:t>
            </w:r>
          </w:p>
        </w:tc>
        <w:tc>
          <w:tcPr>
            <w:tcW w:type="dxa" w:w="2280"/>
            <w:tcBorders>
              <w:top w:val="single" w:color="E2E8F0" w:sz="1"/>
              <w:left w:val="single" w:color="E2E8F0" w:sz="1"/>
              <w:bottom w:val="single" w:color="E2E8F0" w:sz="1"/>
              <w:right w:val="single" w:color="E2E8F0" w:sz="1"/>
            </w:tcBorders>
            <w:shd w:fill="F5F3FF" w:val="clear"/>
            <w:tcMar>
              <w:top w:type="dxa" w:w="80"/>
              <w:left w:type="dxa" w:w="140"/>
              <w:bottom w:type="dxa" w:w="80"/>
              <w:right w:type="dxa" w:w="140"/>
            </w:tcMar>
          </w:tcPr>
          <w:p>
            <w:r>
              <w:rPr>
                <w:color w:val="1E293B"/>
                <w:sz w:val="19"/>
                <w:szCs w:val="19"/>
              </w:rPr>
              <w:t xml:space="preserve">Structured JSON baton</w:t>
            </w:r>
          </w:p>
        </w:tc>
        <w:tc>
          <w:tcPr>
            <w:tcW w:type="dxa" w:w="2280"/>
            <w:tcBorders>
              <w:top w:val="single" w:color="E2E8F0" w:sz="1"/>
              <w:left w:val="single" w:color="E2E8F0" w:sz="1"/>
              <w:bottom w:val="single" w:color="E2E8F0" w:sz="1"/>
              <w:right w:val="single" w:color="E2E8F0" w:sz="1"/>
            </w:tcBorders>
            <w:shd w:fill="F5F3FF" w:val="clear"/>
            <w:tcMar>
              <w:top w:type="dxa" w:w="80"/>
              <w:left w:type="dxa" w:w="140"/>
              <w:bottom w:type="dxa" w:w="80"/>
              <w:right w:type="dxa" w:w="140"/>
            </w:tcMar>
          </w:tcPr>
          <w:p>
            <w:r>
              <w:rPr>
                <w:color w:val="1E293B"/>
                <w:sz w:val="19"/>
                <w:szCs w:val="19"/>
              </w:rPr>
              <w:t xml:space="preserve">Plain text handoff (current v2)</w:t>
            </w:r>
          </w:p>
        </w:tc>
        <w:tc>
          <w:tcPr>
            <w:tcW w:type="dxa" w:w="2000"/>
            <w:tcBorders>
              <w:top w:val="single" w:color="E2E8F0" w:sz="1"/>
              <w:left w:val="single" w:color="E2E8F0" w:sz="1"/>
              <w:bottom w:val="single" w:color="E2E8F0" w:sz="1"/>
              <w:right w:val="single" w:color="E2E8F0" w:sz="1"/>
            </w:tcBorders>
            <w:shd w:fill="F5F3FF" w:val="clear"/>
            <w:tcMar>
              <w:top w:type="dxa" w:w="80"/>
              <w:left w:type="dxa" w:w="140"/>
              <w:bottom w:type="dxa" w:w="80"/>
              <w:right w:type="dxa" w:w="140"/>
            </w:tcMar>
          </w:tcPr>
          <w:p>
            <w:r>
              <w:rPr>
                <w:color w:val="1E293B"/>
                <w:sz w:val="19"/>
                <w:szCs w:val="19"/>
              </w:rPr>
              <w:t xml:space="preserve">JSON baton adds correctness and enables DB storage; plain text is faster to build and sufficient for text-only pipeline. JSON planned for Elysium version where findings are stored.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color w:val="1E293B"/>
                <w:sz w:val="19"/>
                <w:szCs w:val="19"/>
              </w:rPr>
              <w:t xml:space="preserve">API call location</w:t>
            </w:r>
          </w:p>
        </w:tc>
        <w:tc>
          <w:tcPr>
            <w:tcW w:type="dxa" w:w="2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color w:val="1E293B"/>
                <w:sz w:val="19"/>
                <w:szCs w:val="19"/>
              </w:rPr>
              <w:t xml:space="preserve">Renderer process (browser fetch)</w:t>
            </w:r>
          </w:p>
        </w:tc>
        <w:tc>
          <w:tcPr>
            <w:tcW w:type="dxa" w:w="2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color w:val="1E293B"/>
                <w:sz w:val="19"/>
                <w:szCs w:val="19"/>
              </w:rPr>
              <w:t xml:space="preserve">Main process via contextBridge IPC</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color w:val="1E293B"/>
                <w:sz w:val="19"/>
                <w:szCs w:val="19"/>
              </w:rPr>
              <w:t xml:space="preserve">Main process keeps credentials out of renderer, avoids CSP issues, consistent with Electron security model and existing Nexus IPC patterns.</w:t>
            </w:r>
          </w:p>
        </w:tc>
      </w:tr>
      <w:tr>
        <w:tc>
          <w:tcPr>
            <w:tcW w:type="dxa" w:w="2800"/>
            <w:tcBorders>
              <w:top w:val="single" w:color="E2E8F0" w:sz="1"/>
              <w:left w:val="single" w:color="E2E8F0" w:sz="1"/>
              <w:bottom w:val="single" w:color="E2E8F0" w:sz="1"/>
              <w:right w:val="single" w:color="E2E8F0" w:sz="1"/>
            </w:tcBorders>
            <w:shd w:fill="F5F3FF" w:val="clear"/>
            <w:tcMar>
              <w:top w:type="dxa" w:w="80"/>
              <w:left w:type="dxa" w:w="140"/>
              <w:bottom w:type="dxa" w:w="80"/>
              <w:right w:type="dxa" w:w="140"/>
            </w:tcMar>
          </w:tcPr>
          <w:p>
            <w:r>
              <w:rPr>
                <w:color w:val="1E293B"/>
                <w:sz w:val="19"/>
                <w:szCs w:val="19"/>
              </w:rPr>
              <w:t xml:space="preserve">Bug Finder grounding</w:t>
            </w:r>
          </w:p>
        </w:tc>
        <w:tc>
          <w:tcPr>
            <w:tcW w:type="dxa" w:w="2280"/>
            <w:tcBorders>
              <w:top w:val="single" w:color="E2E8F0" w:sz="1"/>
              <w:left w:val="single" w:color="E2E8F0" w:sz="1"/>
              <w:bottom w:val="single" w:color="E2E8F0" w:sz="1"/>
              <w:right w:val="single" w:color="E2E8F0" w:sz="1"/>
            </w:tcBorders>
            <w:shd w:fill="F5F3FF" w:val="clear"/>
            <w:tcMar>
              <w:top w:type="dxa" w:w="80"/>
              <w:left w:type="dxa" w:w="140"/>
              <w:bottom w:type="dxa" w:w="80"/>
              <w:right w:type="dxa" w:w="140"/>
            </w:tcMar>
          </w:tcPr>
          <w:p>
            <w:r>
              <w:rPr>
                <w:color w:val="1E293B"/>
                <w:sz w:val="19"/>
                <w:szCs w:val="19"/>
              </w:rPr>
              <w:t xml:space="preserve">Training data inference only</w:t>
            </w:r>
          </w:p>
        </w:tc>
        <w:tc>
          <w:tcPr>
            <w:tcW w:type="dxa" w:w="2280"/>
            <w:tcBorders>
              <w:top w:val="single" w:color="E2E8F0" w:sz="1"/>
              <w:left w:val="single" w:color="E2E8F0" w:sz="1"/>
              <w:bottom w:val="single" w:color="E2E8F0" w:sz="1"/>
              <w:right w:val="single" w:color="E2E8F0" w:sz="1"/>
            </w:tcBorders>
            <w:shd w:fill="F5F3FF" w:val="clear"/>
            <w:tcMar>
              <w:top w:type="dxa" w:w="80"/>
              <w:left w:type="dxa" w:w="140"/>
              <w:bottom w:type="dxa" w:w="80"/>
              <w:right w:type="dxa" w:w="140"/>
            </w:tcMar>
          </w:tcPr>
          <w:p>
            <w:r>
              <w:rPr>
                <w:color w:val="1E293B"/>
                <w:sz w:val="19"/>
                <w:szCs w:val="19"/>
              </w:rPr>
              <w:t xml:space="preserve">MCP Hacker KB (real disclosed reports)</w:t>
            </w:r>
          </w:p>
        </w:tc>
        <w:tc>
          <w:tcPr>
            <w:tcW w:type="dxa" w:w="2000"/>
            <w:tcBorders>
              <w:top w:val="single" w:color="E2E8F0" w:sz="1"/>
              <w:left w:val="single" w:color="E2E8F0" w:sz="1"/>
              <w:bottom w:val="single" w:color="E2E8F0" w:sz="1"/>
              <w:right w:val="single" w:color="E2E8F0" w:sz="1"/>
            </w:tcBorders>
            <w:shd w:fill="F5F3FF" w:val="clear"/>
            <w:tcMar>
              <w:top w:type="dxa" w:w="80"/>
              <w:left w:type="dxa" w:w="140"/>
              <w:bottom w:type="dxa" w:w="80"/>
              <w:right w:type="dxa" w:w="140"/>
            </w:tcMar>
          </w:tcPr>
          <w:p>
            <w:r>
              <w:rPr>
                <w:color w:val="1E293B"/>
                <w:sz w:val="19"/>
                <w:szCs w:val="19"/>
              </w:rPr>
              <w:t xml:space="preserve">KB-grounded findings are citable, confidence-rated, and calibrated against real bounty programs. Pure inference is insufficient for real engagement work.</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color w:val="1E293B"/>
                <w:sz w:val="19"/>
                <w:szCs w:val="19"/>
              </w:rPr>
              <w:t xml:space="preserve">Compute location</w:t>
            </w:r>
          </w:p>
        </w:tc>
        <w:tc>
          <w:tcPr>
            <w:tcW w:type="dxa" w:w="2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color w:val="1E293B"/>
                <w:sz w:val="19"/>
                <w:szCs w:val="19"/>
              </w:rPr>
              <w:t xml:space="preserve">Nexus Electron (local)</w:t>
            </w:r>
          </w:p>
        </w:tc>
        <w:tc>
          <w:tcPr>
            <w:tcW w:type="dxa" w:w="2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color w:val="1E293B"/>
                <w:sz w:val="19"/>
                <w:szCs w:val="19"/>
              </w:rPr>
              <w:t xml:space="preserve">Herald on Elysium (server)</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color w:val="1E293B"/>
                <w:sz w:val="19"/>
                <w:szCs w:val="19"/>
              </w:rPr>
              <w:t xml:space="preserve">Server-side enables persistent storage, server-side HTTP probing, queued targets, and multi-session history. Nexus-local appropriate for learning/practice mode only.</w:t>
            </w:r>
          </w:p>
        </w:tc>
      </w:tr>
      <w:tr>
        <w:tc>
          <w:tcPr>
            <w:tcW w:type="dxa" w:w="2800"/>
            <w:tcBorders>
              <w:top w:val="single" w:color="E2E8F0" w:sz="1"/>
              <w:left w:val="single" w:color="E2E8F0" w:sz="1"/>
              <w:bottom w:val="single" w:color="E2E8F0" w:sz="1"/>
              <w:right w:val="single" w:color="E2E8F0" w:sz="1"/>
            </w:tcBorders>
            <w:shd w:fill="F5F3FF" w:val="clear"/>
            <w:tcMar>
              <w:top w:type="dxa" w:w="80"/>
              <w:left w:type="dxa" w:w="140"/>
              <w:bottom w:type="dxa" w:w="80"/>
              <w:right w:type="dxa" w:w="140"/>
            </w:tcMar>
          </w:tcPr>
          <w:p>
            <w:r>
              <w:rPr>
                <w:color w:val="1E293B"/>
                <w:sz w:val="19"/>
                <w:szCs w:val="19"/>
              </w:rPr>
              <w:t xml:space="preserve">KB ingest source</w:t>
            </w:r>
          </w:p>
        </w:tc>
        <w:tc>
          <w:tcPr>
            <w:tcW w:type="dxa" w:w="2280"/>
            <w:tcBorders>
              <w:top w:val="single" w:color="E2E8F0" w:sz="1"/>
              <w:left w:val="single" w:color="E2E8F0" w:sz="1"/>
              <w:bottom w:val="single" w:color="E2E8F0" w:sz="1"/>
              <w:right w:val="single" w:color="E2E8F0" w:sz="1"/>
            </w:tcBorders>
            <w:shd w:fill="F5F3FF" w:val="clear"/>
            <w:tcMar>
              <w:top w:type="dxa" w:w="80"/>
              <w:left w:type="dxa" w:w="140"/>
              <w:bottom w:type="dxa" w:w="80"/>
              <w:right w:type="dxa" w:w="140"/>
            </w:tcMar>
          </w:tcPr>
          <w:p>
            <w:r>
              <w:rPr>
                <w:color w:val="1E293B"/>
                <w:sz w:val="19"/>
                <w:szCs w:val="19"/>
              </w:rPr>
              <w:t xml:space="preserve">HackerOne REST API only</w:t>
            </w:r>
          </w:p>
        </w:tc>
        <w:tc>
          <w:tcPr>
            <w:tcW w:type="dxa" w:w="2280"/>
            <w:tcBorders>
              <w:top w:val="single" w:color="E2E8F0" w:sz="1"/>
              <w:left w:val="single" w:color="E2E8F0" w:sz="1"/>
              <w:bottom w:val="single" w:color="E2E8F0" w:sz="1"/>
              <w:right w:val="single" w:color="E2E8F0" w:sz="1"/>
            </w:tcBorders>
            <w:shd w:fill="F5F3FF" w:val="clear"/>
            <w:tcMar>
              <w:top w:type="dxa" w:w="80"/>
              <w:left w:type="dxa" w:w="140"/>
              <w:bottom w:type="dxa" w:w="80"/>
              <w:right w:type="dxa" w:w="140"/>
            </w:tcMar>
          </w:tcPr>
          <w:p>
            <w:r>
              <w:rPr>
                <w:color w:val="1E293B"/>
                <w:sz w:val="19"/>
                <w:szCs w:val="19"/>
              </w:rPr>
              <w:t xml:space="preserve">GraphQL (primary) + REST (supplementary) + GitHub seed</w:t>
            </w:r>
          </w:p>
        </w:tc>
        <w:tc>
          <w:tcPr>
            <w:tcW w:type="dxa" w:w="2000"/>
            <w:tcBorders>
              <w:top w:val="single" w:color="E2E8F0" w:sz="1"/>
              <w:left w:val="single" w:color="E2E8F0" w:sz="1"/>
              <w:bottom w:val="single" w:color="E2E8F0" w:sz="1"/>
              <w:right w:val="single" w:color="E2E8F0" w:sz="1"/>
            </w:tcBorders>
            <w:shd w:fill="F5F3FF" w:val="clear"/>
            <w:tcMar>
              <w:top w:type="dxa" w:w="80"/>
              <w:left w:type="dxa" w:w="140"/>
              <w:bottom w:type="dxa" w:w="80"/>
              <w:right w:type="dxa" w:w="140"/>
            </w:tcMar>
          </w:tcPr>
          <w:p>
            <w:r>
              <w:rPr>
                <w:color w:val="1E293B"/>
                <w:sz w:val="19"/>
                <w:szCs w:val="19"/>
              </w:rPr>
              <w:t xml:space="preserve">GraphQL requires no auth and is available immediately. REST adds richness once credentials obtained. GitHub seed bootstraps KB instantly on first deploy.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color w:val="1E293B"/>
                <w:sz w:val="19"/>
                <w:szCs w:val="19"/>
              </w:rPr>
              <w:t xml:space="preserve">Streaming</w:t>
            </w:r>
          </w:p>
        </w:tc>
        <w:tc>
          <w:tcPr>
            <w:tcW w:type="dxa" w:w="2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color w:val="1E293B"/>
                <w:sz w:val="19"/>
                <w:szCs w:val="19"/>
              </w:rPr>
              <w:t xml:space="preserve">Wait for full agent response</w:t>
            </w:r>
          </w:p>
        </w:tc>
        <w:tc>
          <w:tcPr>
            <w:tcW w:type="dxa" w:w="2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color w:val="1E293B"/>
                <w:sz w:val="19"/>
                <w:szCs w:val="19"/>
              </w:rPr>
              <w:t xml:space="preserve">Stream tokens as they arrive (planned)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color w:val="1E293B"/>
                <w:sz w:val="19"/>
                <w:szCs w:val="19"/>
              </w:rPr>
              <w:t xml:space="preserve">Streaming transforms UX — operator watches Bug Finder reasoning in real time. One-line change to Anthropic API call; planned for Nexus tab v2.</w:t>
            </w:r>
          </w:p>
        </w:tc>
      </w:tr>
      <w:tr>
        <w:tc>
          <w:tcPr>
            <w:tcW w:type="dxa" w:w="2800"/>
            <w:tcBorders>
              <w:top w:val="single" w:color="E2E8F0" w:sz="1"/>
              <w:left w:val="single" w:color="E2E8F0" w:sz="1"/>
              <w:bottom w:val="single" w:color="E2E8F0" w:sz="1"/>
              <w:right w:val="single" w:color="E2E8F0" w:sz="1"/>
            </w:tcBorders>
            <w:shd w:fill="F5F3FF" w:val="clear"/>
            <w:tcMar>
              <w:top w:type="dxa" w:w="80"/>
              <w:left w:type="dxa" w:w="140"/>
              <w:bottom w:type="dxa" w:w="80"/>
              <w:right w:type="dxa" w:w="140"/>
            </w:tcMar>
          </w:tcPr>
          <w:p>
            <w:r>
              <w:rPr>
                <w:color w:val="1E293B"/>
                <w:sz w:val="19"/>
                <w:szCs w:val="19"/>
              </w:rPr>
              <w:t xml:space="preserve">Confidence flag</w:t>
            </w:r>
          </w:p>
        </w:tc>
        <w:tc>
          <w:tcPr>
            <w:tcW w:type="dxa" w:w="2280"/>
            <w:tcBorders>
              <w:top w:val="single" w:color="E2E8F0" w:sz="1"/>
              <w:left w:val="single" w:color="E2E8F0" w:sz="1"/>
              <w:bottom w:val="single" w:color="E2E8F0" w:sz="1"/>
              <w:right w:val="single" w:color="E2E8F0" w:sz="1"/>
            </w:tcBorders>
            <w:shd w:fill="F5F3FF" w:val="clear"/>
            <w:tcMar>
              <w:top w:type="dxa" w:w="80"/>
              <w:left w:type="dxa" w:w="140"/>
              <w:bottom w:type="dxa" w:w="80"/>
              <w:right w:type="dxa" w:w="140"/>
            </w:tcMar>
          </w:tcPr>
          <w:p>
            <w:r>
              <w:rPr>
                <w:color w:val="1E293B"/>
                <w:sz w:val="19"/>
                <w:szCs w:val="19"/>
              </w:rPr>
              <w:t xml:space="preserve">Not included (v1 design gap)</w:t>
            </w:r>
          </w:p>
        </w:tc>
        <w:tc>
          <w:tcPr>
            <w:tcW w:type="dxa" w:w="2280"/>
            <w:tcBorders>
              <w:top w:val="single" w:color="E2E8F0" w:sz="1"/>
              <w:left w:val="single" w:color="E2E8F0" w:sz="1"/>
              <w:bottom w:val="single" w:color="E2E8F0" w:sz="1"/>
              <w:right w:val="single" w:color="E2E8F0" w:sz="1"/>
            </w:tcBorders>
            <w:shd w:fill="F5F3FF" w:val="clear"/>
            <w:tcMar>
              <w:top w:type="dxa" w:w="80"/>
              <w:left w:type="dxa" w:w="140"/>
              <w:bottom w:type="dxa" w:w="80"/>
              <w:right w:type="dxa" w:w="140"/>
            </w:tcMar>
          </w:tcPr>
          <w:p>
            <w:r>
              <w:rPr>
                <w:color w:val="1E293B"/>
                <w:sz w:val="19"/>
                <w:szCs w:val="19"/>
              </w:rPr>
              <w:t xml:space="preserve">Confirmed / probable / suspected per finding</w:t>
            </w:r>
          </w:p>
        </w:tc>
        <w:tc>
          <w:tcPr>
            <w:tcW w:type="dxa" w:w="2000"/>
            <w:tcBorders>
              <w:top w:val="single" w:color="E2E8F0" w:sz="1"/>
              <w:left w:val="single" w:color="E2E8F0" w:sz="1"/>
              <w:bottom w:val="single" w:color="E2E8F0" w:sz="1"/>
              <w:right w:val="single" w:color="E2E8F0" w:sz="1"/>
            </w:tcBorders>
            <w:shd w:fill="F5F3FF" w:val="clear"/>
            <w:tcMar>
              <w:top w:type="dxa" w:w="80"/>
              <w:left w:type="dxa" w:w="140"/>
              <w:bottom w:type="dxa" w:w="80"/>
              <w:right w:type="dxa" w:w="140"/>
            </w:tcMar>
          </w:tcPr>
          <w:p>
            <w:r>
              <w:rPr>
                <w:color w:val="1E293B"/>
                <w:sz w:val="19"/>
                <w:szCs w:val="19"/>
              </w:rPr>
              <w:t xml:space="preserve">Flag directly affects submission quality and platform weighting. Critical for professional use; cannot be retrofitted cleanly without it in the schema.</w:t>
            </w:r>
          </w:p>
        </w:tc>
      </w:tr>
    </w:tbl>
    <w:p>
      <w:pPr>
        <w:pStyle w:val="Heading1"/>
        <w:pBdr>
          <w:bottom w:val="single" w:color="22D3EE" w:sz="8" w:space="6"/>
        </w:pBdr>
        <w:spacing w:after="200" w:before="480"/>
      </w:pPr>
      <w:r>
        <w:rPr>
          <w:b/>
          <w:bCs/>
          <w:color w:val="1E293B"/>
          <w:sz w:val="32"/>
          <w:szCs w:val="32"/>
        </w:rPr>
        <w:t xml:space="preserve">8. Component Inventory</w:t>
      </w:r>
    </w:p>
    <w:p>
      <w:pPr>
        <w:spacing w:line="320"/>
      </w:pPr>
      <w:r>
        <w:rPr>
          <w:color w:val="1E293B"/>
          <w:sz w:val="22"/>
          <w:szCs w:val="22"/>
        </w:rPr>
        <w:t xml:space="preserve">The following table lists every file produced or planned for the Bug Bounty System, its layer in the architecture, and its purpose.</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22D3EE" w:sz="1"/>
              <w:left w:val="single" w:color="22D3EE" w:sz="1"/>
              <w:bottom w:val="single" w:color="22D3EE" w:sz="1"/>
              <w:right w:val="single" w:color="22D3EE" w:sz="1"/>
            </w:tcBorders>
            <w:shd w:fill="1A1D27" w:val="clear"/>
            <w:tcMar>
              <w:top w:type="dxa" w:w="80"/>
              <w:left w:type="dxa" w:w="140"/>
              <w:bottom w:type="dxa" w:w="80"/>
              <w:right w:type="dxa" w:w="140"/>
            </w:tcMar>
          </w:tcPr>
          <w:p>
            <w:r>
              <w:rPr>
                <w:rFonts w:ascii="Courier New" w:cs="Courier New" w:eastAsia="Courier New" w:hAnsi="Courier New"/>
                <w:b/>
                <w:bCs/>
                <w:color w:val="22D3EE"/>
                <w:sz w:val="20"/>
                <w:szCs w:val="20"/>
              </w:rPr>
              <w:t xml:space="preserve">File</w:t>
            </w:r>
          </w:p>
        </w:tc>
        <w:tc>
          <w:tcPr>
            <w:tcW w:type="dxa" w:w="2000"/>
            <w:tcBorders>
              <w:top w:val="single" w:color="22D3EE" w:sz="1"/>
              <w:left w:val="single" w:color="22D3EE" w:sz="1"/>
              <w:bottom w:val="single" w:color="22D3EE" w:sz="1"/>
              <w:right w:val="single" w:color="22D3EE" w:sz="1"/>
            </w:tcBorders>
            <w:shd w:fill="1A1D27" w:val="clear"/>
            <w:tcMar>
              <w:top w:type="dxa" w:w="80"/>
              <w:left w:type="dxa" w:w="140"/>
              <w:bottom w:type="dxa" w:w="80"/>
              <w:right w:type="dxa" w:w="140"/>
            </w:tcMar>
          </w:tcPr>
          <w:p>
            <w:r>
              <w:rPr>
                <w:b/>
                <w:bCs/>
                <w:color w:val="22D3EE"/>
                <w:sz w:val="20"/>
                <w:szCs w:val="20"/>
              </w:rPr>
              <w:t xml:space="preserve">Layer</w:t>
            </w:r>
          </w:p>
        </w:tc>
        <w:tc>
          <w:tcPr>
            <w:tcW w:type="dxa" w:w="4960"/>
            <w:tcBorders>
              <w:top w:val="single" w:color="22D3EE" w:sz="1"/>
              <w:left w:val="single" w:color="22D3EE" w:sz="1"/>
              <w:bottom w:val="single" w:color="22D3EE" w:sz="1"/>
              <w:right w:val="single" w:color="22D3EE" w:sz="1"/>
            </w:tcBorders>
            <w:shd w:fill="1A1D27" w:val="clear"/>
            <w:tcMar>
              <w:top w:type="dxa" w:w="80"/>
              <w:left w:type="dxa" w:w="140"/>
              <w:bottom w:type="dxa" w:w="80"/>
              <w:right w:type="dxa" w:w="140"/>
            </w:tcMar>
          </w:tcPr>
          <w:p>
            <w:r>
              <w:rPr>
                <w:b/>
                <w:bCs/>
                <w:color w:val="22D3EE"/>
                <w:sz w:val="20"/>
                <w:szCs w:val="20"/>
              </w:rPr>
              <w:t xml:space="preserve">Purpose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BugBountyTab.jsx</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color w:val="334155"/>
                <w:sz w:val="20"/>
                <w:szCs w:val="20"/>
              </w:rPr>
              <w:t xml:space="preserve">Nexus UI</w:t>
            </w:r>
          </w:p>
        </w:tc>
        <w:tc>
          <w:tcPr>
            <w:tcW w:type="dxa" w:w="4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color w:val="1E293B"/>
                <w:sz w:val="20"/>
                <w:szCs w:val="20"/>
              </w:rPr>
              <w:t xml:space="preserve">React tab component — 4-stage pipeline UI, config panel, live status indicators, pipeline and report output views. Styled to Nexus design system.</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1E40AF"/>
                <w:sz w:val="18"/>
                <w:szCs w:val="18"/>
              </w:rPr>
              <w:t xml:space="preserve">bugBountyHandler.js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color w:val="334155"/>
                <w:sz w:val="20"/>
                <w:szCs w:val="20"/>
              </w:rPr>
              <w:t xml:space="preserve">Nexus Main Process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color w:val="1E293B"/>
                <w:sz w:val="20"/>
                <w:szCs w:val="20"/>
              </w:rPr>
              <w:t xml:space="preserve">IPC handler registering bugbounty:run channel. Calls Anthropic SDK sequentially through 4 pipeline stages. Requires ANTHROPIC_API_KEY in .env.</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kb_ingest.py</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color w:val="334155"/>
                <w:sz w:val="20"/>
                <w:szCs w:val="20"/>
              </w:rPr>
              <w:t xml:space="preserve">Elysium / KB</w:t>
            </w:r>
          </w:p>
        </w:tc>
        <w:tc>
          <w:tcPr>
            <w:tcW w:type="dxa" w:w="4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color w:val="1E293B"/>
                <w:sz w:val="20"/>
                <w:szCs w:val="20"/>
              </w:rPr>
              <w:t xml:space="preserve">Ingestion pipeline: fetches from HackerOne GraphQL + REST + GitHub archive. Normalises, embeds, upserts to ChromaDB. Manages cursor state for incremental runs.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1E40AF"/>
                <w:sz w:val="18"/>
                <w:szCs w:val="18"/>
              </w:rPr>
              <w:t xml:space="preserve">kb_mcp_server.py</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color w:val="334155"/>
                <w:sz w:val="20"/>
                <w:szCs w:val="20"/>
              </w:rPr>
              <w:t xml:space="preserve">Elysium / KB</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color w:val="1E293B"/>
                <w:sz w:val="20"/>
                <w:szCs w:val="20"/>
              </w:rPr>
              <w:t xml:space="preserve">MCP stdio server exposing KB as 4 tools: query_kb, get_by_weakness, get_by_severity, get_by_asset_type. Consumable by any Nexus/Herald agent.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requirements-kb.txt</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color w:val="334155"/>
                <w:sz w:val="20"/>
                <w:szCs w:val="20"/>
              </w:rPr>
              <w:t xml:space="preserve">Elysium / KB</w:t>
            </w:r>
          </w:p>
        </w:tc>
        <w:tc>
          <w:tcPr>
            <w:tcW w:type="dxa" w:w="4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color w:val="1E293B"/>
                <w:sz w:val="20"/>
                <w:szCs w:val="20"/>
              </w:rPr>
              <w:t xml:space="preserve">Python dependencies: chromadb, sentence-transformers, requests, tqdm, mcp.</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1E40AF"/>
                <w:sz w:val="18"/>
                <w:szCs w:val="18"/>
              </w:rPr>
              <w:t xml:space="preserve">deploy-hacker-kb.sh</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color w:val="334155"/>
                <w:sz w:val="20"/>
                <w:szCs w:val="20"/>
              </w:rPr>
              <w:t xml:space="preserve">Elysium / Ops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color w:val="1E293B"/>
                <w:sz w:val="20"/>
                <w:szCs w:val="20"/>
              </w:rPr>
              <w:t xml:space="preserve">One-shot deployment script: creates /sanctum/hacker-kb/, installs deps, seeds KB, sets up cron job at 03:00 UTC daily.</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herald/bugbounty.py</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color w:val="334155"/>
                <w:sz w:val="20"/>
                <w:szCs w:val="20"/>
              </w:rPr>
              <w:t xml:space="preserve">Elysium / Herald</w:t>
            </w:r>
          </w:p>
        </w:tc>
        <w:tc>
          <w:tcPr>
            <w:tcW w:type="dxa" w:w="4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color w:val="1E293B"/>
                <w:sz w:val="20"/>
                <w:szCs w:val="20"/>
              </w:rPr>
              <w:t xml:space="preserve">(Planned) Herald endpoint module — receives pipeline requests from Nexus, executes agents server-side, queries KB, stores findings in SQLite, returns progress and results.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1E40AF"/>
                <w:sz w:val="18"/>
                <w:szCs w:val="18"/>
              </w:rPr>
              <w:t xml:space="preserve">herald/findings.db</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color w:val="334155"/>
                <w:sz w:val="20"/>
                <w:szCs w:val="20"/>
              </w:rPr>
              <w:t xml:space="preserve">Elysium / Data</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color w:val="1E293B"/>
                <w:sz w:val="20"/>
                <w:szCs w:val="20"/>
              </w:rPr>
              <w:t xml:space="preserve">(Planned) SQLite database of all findings across all engagements. Schema: engagements, findings, remediations, reports tables.</w:t>
            </w:r>
          </w:p>
        </w:tc>
      </w:tr>
    </w:tbl>
    <w:p>
      <w:pPr>
        <w:pStyle w:val="Heading1"/>
        <w:pBdr>
          <w:bottom w:val="single" w:color="22D3EE" w:sz="8" w:space="6"/>
        </w:pBdr>
        <w:spacing w:after="200" w:before="480"/>
      </w:pPr>
      <w:r>
        <w:rPr>
          <w:b/>
          <w:bCs/>
          <w:color w:val="1E293B"/>
          <w:sz w:val="32"/>
          <w:szCs w:val="32"/>
        </w:rPr>
        <w:t xml:space="preserve">9. Current State</w:t>
      </w:r>
    </w:p>
    <w:p>
      <w:pPr>
        <w:pStyle w:val="Heading2"/>
        <w:spacing w:after="120" w:before="360"/>
      </w:pPr>
      <w:r>
        <w:rPr>
          <w:b/>
          <w:bCs/>
          <w:color w:val="1E293B"/>
          <w:sz w:val="26"/>
          <w:szCs w:val="26"/>
        </w:rPr>
        <w:t xml:space="preserve">9.1 Built and Delivered</w:t>
      </w:r>
    </w:p>
    <w:p>
      <w:pPr>
        <w:pStyle w:val="ListParagraph"/>
        <w:numPr>
          <w:ilvl w:val="0"/>
          <w:numId w:val="2"/>
        </w:numPr>
        <w:spacing w:after="60" w:line="300"/>
      </w:pPr>
      <w:r>
        <w:rPr>
          <w:color w:val="1E293B"/>
          <w:sz w:val="22"/>
          <w:szCs w:val="22"/>
        </w:rPr>
        <w:t xml:space="preserve">BugBountyTab.jsx — complete, styled, wired to IPC pattern. Ready to drop into src/components/tabs/.</w:t>
      </w:r>
    </w:p>
    <w:p>
      <w:pPr>
        <w:pStyle w:val="ListParagraph"/>
        <w:numPr>
          <w:ilvl w:val="0"/>
          <w:numId w:val="2"/>
        </w:numPr>
        <w:spacing w:after="60" w:line="300"/>
      </w:pPr>
      <w:r>
        <w:rPr>
          <w:color w:val="1E293B"/>
          <w:sz w:val="22"/>
          <w:szCs w:val="22"/>
        </w:rPr>
        <w:t xml:space="preserve">bugBountyHandler.js — complete, four agent handlers, error handling, abort support. Ready to register in main.js.</w:t>
      </w:r>
    </w:p>
    <w:p>
      <w:pPr>
        <w:pStyle w:val="ListParagraph"/>
        <w:numPr>
          <w:ilvl w:val="0"/>
          <w:numId w:val="2"/>
        </w:numPr>
        <w:spacing w:after="60" w:line="300"/>
      </w:pPr>
      <w:r>
        <w:rPr>
          <w:color w:val="1E293B"/>
          <w:sz w:val="22"/>
          <w:szCs w:val="22"/>
        </w:rPr>
        <w:t xml:space="preserve">kb_ingest.py — complete, GraphQL + REST + GitHub seed paths, cursor management, ChromaDB upsert with deduplication.</w:t>
      </w:r>
    </w:p>
    <w:p>
      <w:pPr>
        <w:pStyle w:val="ListParagraph"/>
        <w:numPr>
          <w:ilvl w:val="0"/>
          <w:numId w:val="2"/>
        </w:numPr>
        <w:spacing w:after="60" w:line="300"/>
      </w:pPr>
      <w:r>
        <w:rPr>
          <w:color w:val="1E293B"/>
          <w:sz w:val="22"/>
          <w:szCs w:val="22"/>
        </w:rPr>
        <w:t xml:space="preserve">kb_mcp_server.py — complete, four tools with semantic and filter-based queries, falls back gracefully when filter returns no results.</w:t>
      </w:r>
    </w:p>
    <w:p>
      <w:pPr>
        <w:pStyle w:val="ListParagraph"/>
        <w:numPr>
          <w:ilvl w:val="0"/>
          <w:numId w:val="2"/>
        </w:numPr>
        <w:spacing w:after="60" w:line="300"/>
      </w:pPr>
      <w:r>
        <w:rPr>
          <w:color w:val="1E293B"/>
          <w:sz w:val="22"/>
          <w:szCs w:val="22"/>
        </w:rPr>
        <w:t xml:space="preserve">deploy-hacker-kb.sh — complete, idempotent, sets up cron.</w:t>
      </w:r>
    </w:p>
    <w:p>
      <w:pPr>
        <w:spacing w:before="80"/>
      </w:pPr>
      <w:r>
        <w:t xml:space="preserve"/>
      </w:r>
    </w:p>
    <w:p>
      <w:pPr>
        <w:pStyle w:val="Heading2"/>
        <w:spacing w:after="120" w:before="360"/>
      </w:pPr>
      <w:r>
        <w:rPr>
          <w:b/>
          <w:bCs/>
          <w:color w:val="1E293B"/>
          <w:sz w:val="26"/>
          <w:szCs w:val="26"/>
        </w:rPr>
        <w:t xml:space="preserve">9.2 Identified Gaps</w:t>
      </w:r>
    </w:p>
    <w:p>
      <w:pPr>
        <w:pStyle w:val="ListParagraph"/>
        <w:numPr>
          <w:ilvl w:val="0"/>
          <w:numId w:val="2"/>
        </w:numPr>
        <w:spacing w:after="60" w:line="300"/>
      </w:pPr>
      <w:r>
        <w:rPr>
          <w:color w:val="1E293B"/>
          <w:sz w:val="22"/>
          <w:szCs w:val="22"/>
        </w:rPr>
        <w:t xml:space="preserve">Bug Finder has no HTTP fetch capability in the Nexus-local version. It reasons from description only. Sufficient for learning; insufficient for real engagements.</w:t>
      </w:r>
    </w:p>
    <w:p>
      <w:pPr>
        <w:pStyle w:val="ListParagraph"/>
        <w:numPr>
          <w:ilvl w:val="0"/>
          <w:numId w:val="2"/>
        </w:numPr>
        <w:spacing w:after="60" w:line="300"/>
      </w:pPr>
      <w:r>
        <w:rPr>
          <w:color w:val="1E293B"/>
          <w:sz w:val="22"/>
          <w:szCs w:val="22"/>
        </w:rPr>
        <w:t xml:space="preserve">The confidence flag (confirmed/probable/suspected) was designed but not yet implemented in the current bugBountyHandler.js agent prompts.</w:t>
      </w:r>
    </w:p>
    <w:p>
      <w:pPr>
        <w:pStyle w:val="ListParagraph"/>
        <w:numPr>
          <w:ilvl w:val="0"/>
          <w:numId w:val="2"/>
        </w:numPr>
        <w:spacing w:after="60" w:line="300"/>
      </w:pPr>
      <w:r>
        <w:rPr>
          <w:color w:val="1E293B"/>
          <w:sz w:val="22"/>
          <w:szCs w:val="22"/>
        </w:rPr>
        <w:t xml:space="preserve">Agent communication uses plain text handoff. JSON baton schema was specified but not yet implemented.</w:t>
      </w:r>
    </w:p>
    <w:p>
      <w:pPr>
        <w:pStyle w:val="ListParagraph"/>
        <w:numPr>
          <w:ilvl w:val="0"/>
          <w:numId w:val="2"/>
        </w:numPr>
        <w:spacing w:after="60" w:line="300"/>
      </w:pPr>
      <w:r>
        <w:rPr>
          <w:color w:val="1E293B"/>
          <w:sz w:val="22"/>
          <w:szCs w:val="22"/>
        </w:rPr>
        <w:t xml:space="preserve">Reporter does not yet use the official HackerOne/Bugcrowd template format. It produces a professional report but would need validation against platform submission schema.</w:t>
      </w:r>
    </w:p>
    <w:p>
      <w:pPr>
        <w:pStyle w:val="ListParagraph"/>
        <w:numPr>
          <w:ilvl w:val="0"/>
          <w:numId w:val="2"/>
        </w:numPr>
        <w:spacing w:after="60" w:line="300"/>
      </w:pPr>
      <w:r>
        <w:rPr>
          <w:color w:val="1E293B"/>
          <w:sz w:val="22"/>
          <w:szCs w:val="22"/>
        </w:rPr>
        <w:t xml:space="preserve">Streaming not yet implemented. Each agent waits silently then dumps full output.</w:t>
      </w:r>
    </w:p>
    <w:p>
      <w:pPr>
        <w:pStyle w:val="ListParagraph"/>
        <w:numPr>
          <w:ilvl w:val="0"/>
          <w:numId w:val="2"/>
        </w:numPr>
        <w:spacing w:after="60" w:line="300"/>
      </w:pPr>
      <w:r>
        <w:rPr>
          <w:color w:val="1E293B"/>
          <w:sz w:val="22"/>
          <w:szCs w:val="22"/>
        </w:rPr>
        <w:t xml:space="preserve">Herald pipeline migration (herald/bugbounty.py) not yet built.</w:t>
      </w:r>
    </w:p>
    <w:p>
      <w:pPr>
        <w:spacing w:before="80"/>
      </w:pPr>
      <w:r>
        <w:t xml:space="preserve"/>
      </w:r>
    </w:p>
    <w:p>
      <w:pPr>
        <w:pStyle w:val="Heading2"/>
        <w:spacing w:after="120" w:before="360"/>
      </w:pPr>
      <w:r>
        <w:rPr>
          <w:b/>
          <w:bCs/>
          <w:color w:val="1E293B"/>
          <w:sz w:val="26"/>
          <w:szCs w:val="26"/>
        </w:rPr>
        <w:t xml:space="preserve">9.3 Infrastructure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b/>
                <w:bCs/>
                <w:color w:val="334155"/>
                <w:sz w:val="20"/>
                <w:szCs w:val="20"/>
              </w:rPr>
              <w:t xml:space="preserve">Elysium</w:t>
            </w:r>
          </w:p>
        </w:tc>
        <w:tc>
          <w:tcPr>
            <w:tcW w:type="dxa" w:w="67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b w:val="false"/>
                <w:bCs w:val="false"/>
                <w:color w:val="1E293B"/>
                <w:sz w:val="20"/>
                <w:szCs w:val="20"/>
              </w:rPr>
              <w:t xml:space="preserve">Live — Hetzner CPX22, elysium.aegisnet.org.uk, Caddy + Herald running</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b/>
                <w:bCs/>
                <w:color w:val="334155"/>
                <w:sz w:val="20"/>
                <w:szCs w:val="20"/>
              </w:rPr>
              <w:t xml:space="preserve">KB Directory</w:t>
            </w:r>
          </w:p>
        </w:tc>
        <w:tc>
          <w:tcPr>
            <w:tcW w:type="dxa" w:w="67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b w:val="false"/>
                <w:bCs w:val="false"/>
                <w:color w:val="1E293B"/>
                <w:sz w:val="20"/>
                <w:szCs w:val="20"/>
              </w:rPr>
              <w:t xml:space="preserve">Not yet deployed — /sanctum/hacker-kb/ to be created by deploy-hacker-kb.sh</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b/>
                <w:bCs/>
                <w:color w:val="334155"/>
                <w:sz w:val="20"/>
                <w:szCs w:val="20"/>
              </w:rPr>
              <w:t xml:space="preserve">Nexus Tab</w:t>
            </w:r>
          </w:p>
        </w:tc>
        <w:tc>
          <w:tcPr>
            <w:tcW w:type="dxa" w:w="67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b w:val="false"/>
                <w:bCs w:val="false"/>
                <w:color w:val="1E293B"/>
                <w:sz w:val="20"/>
                <w:szCs w:val="20"/>
              </w:rPr>
              <w:t xml:space="preserve">Files ready — not yet integrated into Nexus project</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b/>
                <w:bCs/>
                <w:color w:val="334155"/>
                <w:sz w:val="20"/>
                <w:szCs w:val="20"/>
              </w:rPr>
              <w:t xml:space="preserve">MCP Server</w:t>
            </w:r>
          </w:p>
        </w:tc>
        <w:tc>
          <w:tcPr>
            <w:tcW w:type="dxa" w:w="67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b w:val="false"/>
                <w:bCs w:val="false"/>
                <w:color w:val="1E293B"/>
                <w:sz w:val="20"/>
                <w:szCs w:val="20"/>
              </w:rPr>
              <w:t xml:space="preserve">Built — not yet registered in Samaritan gateway or Herald</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b/>
                <w:bCs/>
                <w:color w:val="334155"/>
                <w:sz w:val="20"/>
                <w:szCs w:val="20"/>
              </w:rPr>
              <w:t xml:space="preserve">Cron</w:t>
            </w:r>
          </w:p>
        </w:tc>
        <w:tc>
          <w:tcPr>
            <w:tcW w:type="dxa" w:w="67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b w:val="false"/>
                <w:bCs w:val="false"/>
                <w:color w:val="1E293B"/>
                <w:sz w:val="20"/>
                <w:szCs w:val="20"/>
              </w:rPr>
              <w:t xml:space="preserve">Script ready — not yet installed on Elysium</w:t>
            </w:r>
          </w:p>
        </w:tc>
      </w:tr>
    </w:tbl>
    <w:p>
      <w:r>
        <w:br w:type="page"/>
      </w:r>
    </w:p>
    <w:p>
      <w:pPr>
        <w:pStyle w:val="Heading1"/>
        <w:pBdr>
          <w:bottom w:val="single" w:color="22D3EE" w:sz="8" w:space="6"/>
        </w:pBdr>
        <w:spacing w:after="200" w:before="480"/>
      </w:pPr>
      <w:r>
        <w:rPr>
          <w:b/>
          <w:bCs/>
          <w:color w:val="1E293B"/>
          <w:sz w:val="32"/>
          <w:szCs w:val="32"/>
        </w:rPr>
        <w:t xml:space="preserve">10. Roadmap</w:t>
      </w:r>
    </w:p>
    <w:p>
      <w:pPr>
        <w:spacing w:line="320"/>
      </w:pPr>
      <w:r>
        <w:rPr>
          <w:color w:val="1E293B"/>
          <w:sz w:val="22"/>
          <w:szCs w:val="22"/>
        </w:rPr>
        <w:t xml:space="preserve">The following build order is recommended. Each item is self-contained — completing one does not block the others from being useful, but the ordering reflects logical dependency and increasing leverage.</w:t>
      </w:r>
    </w:p>
    <w:p>
      <w:pPr>
        <w:spacing w:before="120"/>
      </w:pPr>
      <w:r>
        <w:t xml:space="preserve"/>
      </w:r>
    </w:p>
    <w:p>
      <w:pPr>
        <w:pStyle w:val="Heading2"/>
        <w:spacing w:after="120" w:before="360"/>
      </w:pPr>
      <w:r>
        <w:rPr>
          <w:b/>
          <w:bCs/>
          <w:color w:val="1E293B"/>
          <w:sz w:val="26"/>
          <w:szCs w:val="26"/>
        </w:rPr>
        <w:t xml:space="preserve">Phase 1 — KB Deployment (Immediate)</w:t>
      </w:r>
    </w:p>
    <w:p>
      <w:pPr>
        <w:pStyle w:val="ListParagraph"/>
        <w:numPr>
          <w:ilvl w:val="0"/>
          <w:numId w:val="3"/>
        </w:numPr>
        <w:spacing w:after="60" w:line="300"/>
      </w:pPr>
      <w:r>
        <w:rPr>
          <w:color w:val="1E293B"/>
          <w:sz w:val="22"/>
          <w:szCs w:val="22"/>
        </w:rPr>
        <w:t xml:space="preserve">SSH into Elysium and run deploy-hacker-kb.sh. This seeds the KB and sets up daily cron.</w:t>
      </w:r>
    </w:p>
    <w:p>
      <w:pPr>
        <w:pStyle w:val="ListParagraph"/>
        <w:numPr>
          <w:ilvl w:val="0"/>
          <w:numId w:val="3"/>
        </w:numPr>
        <w:spacing w:after="60" w:line="300"/>
      </w:pPr>
      <w:r>
        <w:rPr>
          <w:color w:val="1E293B"/>
          <w:sz w:val="22"/>
          <w:szCs w:val="22"/>
        </w:rPr>
        <w:t xml:space="preserve">Verify with: python /sanctum/hacker-kb/kb_ingest.py --stats</w:t>
      </w:r>
    </w:p>
    <w:p>
      <w:pPr>
        <w:pStyle w:val="ListParagraph"/>
        <w:numPr>
          <w:ilvl w:val="0"/>
          <w:numId w:val="3"/>
        </w:numPr>
        <w:spacing w:after="60" w:line="300"/>
      </w:pPr>
      <w:r>
        <w:rPr>
          <w:color w:val="1E293B"/>
          <w:sz w:val="22"/>
          <w:szCs w:val="22"/>
        </w:rPr>
        <w:t xml:space="preserve">Register kb_mcp_server.py in the Samaritan gateway config so other Nexus agents can query it.</w:t>
      </w:r>
    </w:p>
    <w:p>
      <w:pPr>
        <w:pStyle w:val="ListParagraph"/>
        <w:numPr>
          <w:ilvl w:val="0"/>
          <w:numId w:val="3"/>
        </w:numPr>
        <w:spacing w:after="60" w:line="300"/>
      </w:pPr>
      <w:r>
        <w:rPr>
          <w:color w:val="1E293B"/>
          <w:sz w:val="22"/>
          <w:szCs w:val="22"/>
        </w:rPr>
        <w:t xml:space="preserve">Create a free HackerOne researcher account and generate API credentials to enable the REST enrichment path.</w:t>
      </w:r>
    </w:p>
    <w:p>
      <w:pPr>
        <w:spacing w:before="80"/>
      </w:pPr>
      <w:r>
        <w:t xml:space="preserve"/>
      </w:r>
    </w:p>
    <w:p>
      <w:pPr>
        <w:pStyle w:val="Heading2"/>
        <w:spacing w:after="120" w:before="360"/>
      </w:pPr>
      <w:r>
        <w:rPr>
          <w:b/>
          <w:bCs/>
          <w:color w:val="1E293B"/>
          <w:sz w:val="26"/>
          <w:szCs w:val="26"/>
        </w:rPr>
        <w:t xml:space="preserve">Phase 2 — Nexus Tab Integration</w:t>
      </w:r>
    </w:p>
    <w:p>
      <w:pPr>
        <w:pStyle w:val="ListParagraph"/>
        <w:numPr>
          <w:ilvl w:val="0"/>
          <w:numId w:val="3"/>
        </w:numPr>
        <w:spacing w:after="60" w:line="300"/>
      </w:pPr>
      <w:r>
        <w:rPr>
          <w:color w:val="1E293B"/>
          <w:sz w:val="22"/>
          <w:szCs w:val="22"/>
        </w:rPr>
        <w:t xml:space="preserve">Drop BugBountyTab.jsx into src/components/tabs/ and bugBountyHandler.js into the Nexus root.</w:t>
      </w:r>
    </w:p>
    <w:p>
      <w:pPr>
        <w:pStyle w:val="ListParagraph"/>
        <w:numPr>
          <w:ilvl w:val="0"/>
          <w:numId w:val="3"/>
        </w:numPr>
        <w:spacing w:after="60" w:line="300"/>
      </w:pPr>
      <w:r>
        <w:rPr>
          <w:color w:val="1E293B"/>
          <w:sz w:val="22"/>
          <w:szCs w:val="22"/>
        </w:rPr>
        <w:t xml:space="preserve">Add registerBugBountyHandlers(ipcMain) to main.js and add the tab to the sidebar nav.</w:t>
      </w:r>
    </w:p>
    <w:p>
      <w:pPr>
        <w:pStyle w:val="ListParagraph"/>
        <w:numPr>
          <w:ilvl w:val="0"/>
          <w:numId w:val="3"/>
        </w:numPr>
        <w:spacing w:after="60" w:line="300"/>
      </w:pPr>
      <w:r>
        <w:rPr>
          <w:color w:val="1E293B"/>
          <w:sz w:val="22"/>
          <w:szCs w:val="22"/>
        </w:rPr>
        <w:t xml:space="preserve">Add confidence flag to Bug Finder agent prompt and update output parsing.</w:t>
      </w:r>
    </w:p>
    <w:p>
      <w:pPr>
        <w:pStyle w:val="ListParagraph"/>
        <w:numPr>
          <w:ilvl w:val="0"/>
          <w:numId w:val="3"/>
        </w:numPr>
        <w:spacing w:after="60" w:line="300"/>
      </w:pPr>
      <w:r>
        <w:rPr>
          <w:color w:val="1E293B"/>
          <w:sz w:val="22"/>
          <w:szCs w:val="22"/>
        </w:rPr>
        <w:t xml:space="preserve">Implement streaming for Bug Finder (one-line change to Anthropic API call, then stream tokens back via IPC event).</w:t>
      </w:r>
    </w:p>
    <w:p>
      <w:pPr>
        <w:spacing w:before="80"/>
      </w:pPr>
      <w:r>
        <w:t xml:space="preserve"/>
      </w:r>
    </w:p>
    <w:p>
      <w:pPr>
        <w:pStyle w:val="Heading2"/>
        <w:spacing w:after="120" w:before="360"/>
      </w:pPr>
      <w:r>
        <w:rPr>
          <w:b/>
          <w:bCs/>
          <w:color w:val="1E293B"/>
          <w:sz w:val="26"/>
          <w:szCs w:val="26"/>
        </w:rPr>
        <w:t xml:space="preserve">Phase 3 — KB-Grounded Bug Finder</w:t>
      </w:r>
    </w:p>
    <w:p>
      <w:pPr>
        <w:pStyle w:val="ListParagraph"/>
        <w:numPr>
          <w:ilvl w:val="0"/>
          <w:numId w:val="3"/>
        </w:numPr>
        <w:spacing w:after="60" w:line="300"/>
      </w:pPr>
      <w:r>
        <w:rPr>
          <w:color w:val="1E293B"/>
          <w:sz w:val="22"/>
          <w:szCs w:val="22"/>
        </w:rPr>
        <w:t xml:space="preserve">Update bugBountyHandler.js Bug Finder stage to query kb_mcp_server before forming its analysis.</w:t>
      </w:r>
    </w:p>
    <w:p>
      <w:pPr>
        <w:pStyle w:val="ListParagraph"/>
        <w:numPr>
          <w:ilvl w:val="0"/>
          <w:numId w:val="3"/>
        </w:numPr>
        <w:spacing w:after="60" w:line="300"/>
      </w:pPr>
      <w:r>
        <w:rPr>
          <w:color w:val="1E293B"/>
          <w:sz w:val="22"/>
          <w:szCs w:val="22"/>
        </w:rPr>
        <w:t xml:space="preserve">Pass KB results as context in the Bug Finder user message.</w:t>
      </w:r>
    </w:p>
    <w:p>
      <w:pPr>
        <w:pStyle w:val="ListParagraph"/>
        <w:numPr>
          <w:ilvl w:val="0"/>
          <w:numId w:val="3"/>
        </w:numPr>
        <w:spacing w:after="60" w:line="300"/>
      </w:pPr>
      <w:r>
        <w:rPr>
          <w:color w:val="1E293B"/>
          <w:sz w:val="22"/>
          <w:szCs w:val="22"/>
        </w:rPr>
        <w:t xml:space="preserve">Add web_fetch tool to the Bug Finder Anthropic API call for real HTTP target observation.</w:t>
      </w:r>
    </w:p>
    <w:p>
      <w:pPr>
        <w:pStyle w:val="ListParagraph"/>
        <w:numPr>
          <w:ilvl w:val="0"/>
          <w:numId w:val="3"/>
        </w:numPr>
        <w:spacing w:after="60" w:line="300"/>
      </w:pPr>
      <w:r>
        <w:rPr>
          <w:color w:val="1E293B"/>
          <w:sz w:val="22"/>
          <w:szCs w:val="22"/>
        </w:rPr>
        <w:t xml:space="preserve">Validate confidence flag output aligns with KB query results (confirmed = KB precedent found at matching severity).</w:t>
      </w:r>
    </w:p>
    <w:p>
      <w:pPr>
        <w:spacing w:before="80"/>
      </w:pPr>
      <w:r>
        <w:t xml:space="preserve"/>
      </w:r>
    </w:p>
    <w:p>
      <w:pPr>
        <w:pStyle w:val="Heading2"/>
        <w:spacing w:after="120" w:before="360"/>
      </w:pPr>
      <w:r>
        <w:rPr>
          <w:b/>
          <w:bCs/>
          <w:color w:val="1E293B"/>
          <w:sz w:val="26"/>
          <w:szCs w:val="26"/>
        </w:rPr>
        <w:t xml:space="preserve">Phase 4 — Elysium Migration</w:t>
      </w:r>
    </w:p>
    <w:p>
      <w:pPr>
        <w:pStyle w:val="ListParagraph"/>
        <w:numPr>
          <w:ilvl w:val="0"/>
          <w:numId w:val="3"/>
        </w:numPr>
        <w:spacing w:after="60" w:line="300"/>
      </w:pPr>
      <w:r>
        <w:rPr>
          <w:color w:val="1E293B"/>
          <w:sz w:val="22"/>
          <w:szCs w:val="22"/>
        </w:rPr>
        <w:t xml:space="preserve">Build herald/bugbounty.py endpoint module with pipeline orchestration and SQLite findings storage.</w:t>
      </w:r>
    </w:p>
    <w:p>
      <w:pPr>
        <w:pStyle w:val="ListParagraph"/>
        <w:numPr>
          <w:ilvl w:val="0"/>
          <w:numId w:val="3"/>
        </w:numPr>
        <w:spacing w:after="60" w:line="300"/>
      </w:pPr>
      <w:r>
        <w:rPr>
          <w:color w:val="1E293B"/>
          <w:sz w:val="22"/>
          <w:szCs w:val="22"/>
        </w:rPr>
        <w:t xml:space="preserve">Add Caddy route in /etc/caddy/Caddyfile: reverse_proxy /bugbounty/* localhost:8000</w:t>
      </w:r>
    </w:p>
    <w:p>
      <w:pPr>
        <w:pStyle w:val="ListParagraph"/>
        <w:numPr>
          <w:ilvl w:val="0"/>
          <w:numId w:val="3"/>
        </w:numPr>
        <w:spacing w:after="60" w:line="300"/>
      </w:pPr>
      <w:r>
        <w:rPr>
          <w:color w:val="1E293B"/>
          <w:sz w:val="22"/>
          <w:szCs w:val="22"/>
        </w:rPr>
        <w:t xml:space="preserve">Update Nexus tab to POST to Herald instead of invoking local IPC handler.</w:t>
      </w:r>
    </w:p>
    <w:p>
      <w:pPr>
        <w:pStyle w:val="ListParagraph"/>
        <w:numPr>
          <w:ilvl w:val="0"/>
          <w:numId w:val="3"/>
        </w:numPr>
        <w:spacing w:after="60" w:line="300"/>
      </w:pPr>
      <w:r>
        <w:rPr>
          <w:color w:val="1E293B"/>
          <w:sz w:val="22"/>
          <w:szCs w:val="22"/>
        </w:rPr>
        <w:t xml:space="preserve">Add findings history view to the Nexus tab (query Herald for past engagements by target).</w:t>
      </w:r>
    </w:p>
    <w:p>
      <w:pPr>
        <w:pStyle w:val="Heading1"/>
        <w:pBdr>
          <w:bottom w:val="single" w:color="22D3EE" w:sz="8" w:space="6"/>
        </w:pBdr>
        <w:spacing w:after="200" w:before="480"/>
      </w:pPr>
      <w:r>
        <w:rPr>
          <w:b/>
          <w:bCs/>
          <w:color w:val="1E293B"/>
          <w:sz w:val="32"/>
          <w:szCs w:val="32"/>
        </w:rPr>
        <w:t xml:space="preserve">11. Open Questions</w:t>
      </w:r>
    </w:p>
    <w:p>
      <w:pPr>
        <w:spacing w:line="320"/>
      </w:pPr>
      <w:r>
        <w:rPr>
          <w:color w:val="1E293B"/>
          <w:sz w:val="22"/>
          <w:szCs w:val="22"/>
        </w:rPr>
        <w:t xml:space="preserve">The following questions remain unresolved and will affect design decisions in later phases.</w:t>
      </w:r>
    </w:p>
    <w:p>
      <w:pPr>
        <w:spacing w:before="80"/>
      </w:pPr>
      <w:r>
        <w:t xml:space="preserve"/>
      </w:r>
    </w:p>
    <w:p>
      <w:pPr>
        <w:pStyle w:val="Heading3"/>
        <w:spacing w:after="80" w:before="240"/>
      </w:pPr>
      <w:r>
        <w:rPr>
          <w:b/>
          <w:bCs/>
          <w:color w:val="334155"/>
          <w:sz w:val="22"/>
          <w:szCs w:val="22"/>
        </w:rPr>
        <w:t xml:space="preserve">JSON Baton Schema</w:t>
      </w:r>
    </w:p>
    <w:p>
      <w:pPr>
        <w:spacing w:line="320"/>
      </w:pPr>
      <w:r>
        <w:rPr>
          <w:color w:val="1E293B"/>
          <w:sz w:val="22"/>
          <w:szCs w:val="22"/>
        </w:rPr>
        <w:t xml:space="preserve">The original design specified structured JSON passing between agents. The current implementation uses plain text. For Elysium storage and cross-agent data sharing, a formal baton schema needs to be defined. Key fields to specify: bug_id, bug_type, location, severity, cvss_score, confidence, poc_steps, cwe_id, asset_type, kb_precedents (array of matching report IDs), remediation (array), and report_status.</w:t>
      </w:r>
    </w:p>
    <w:p>
      <w:pPr>
        <w:spacing w:before="80"/>
      </w:pPr>
      <w:r>
        <w:t xml:space="preserve"/>
      </w:r>
    </w:p>
    <w:p>
      <w:pPr>
        <w:pStyle w:val="Heading3"/>
        <w:spacing w:after="80" w:before="240"/>
      </w:pPr>
      <w:r>
        <w:rPr>
          <w:b/>
          <w:bCs/>
          <w:color w:val="334155"/>
          <w:sz w:val="22"/>
          <w:szCs w:val="22"/>
        </w:rPr>
        <w:t xml:space="preserve">HackerOne API Credentials</w:t>
      </w:r>
    </w:p>
    <w:p>
      <w:pPr>
        <w:spacing w:line="320"/>
      </w:pPr>
      <w:r>
        <w:rPr>
          <w:color w:val="1E293B"/>
          <w:sz w:val="22"/>
          <w:szCs w:val="22"/>
        </w:rPr>
        <w:t xml:space="preserve">The REST API enrichment path requires a HackerOne researcher account and API token. The decision to create this account should be made with awareness that it ties the system to a real identity on the platform. If the intent is to submit findings through HackerOne, the account should be the same one used for submissions.</w:t>
      </w:r>
    </w:p>
    <w:p>
      <w:pPr>
        <w:spacing w:before="80"/>
      </w:pPr>
      <w:r>
        <w:t xml:space="preserve"/>
      </w:r>
    </w:p>
    <w:p>
      <w:pPr>
        <w:pStyle w:val="Heading3"/>
        <w:spacing w:after="80" w:before="240"/>
      </w:pPr>
      <w:r>
        <w:rPr>
          <w:b/>
          <w:bCs/>
          <w:color w:val="334155"/>
          <w:sz w:val="22"/>
          <w:szCs w:val="22"/>
        </w:rPr>
        <w:t xml:space="preserve">KB Query Integration Point</w:t>
      </w:r>
    </w:p>
    <w:p>
      <w:pPr>
        <w:spacing w:line="320"/>
      </w:pPr>
      <w:r>
        <w:rPr>
          <w:color w:val="1E293B"/>
          <w:sz w:val="22"/>
          <w:szCs w:val="22"/>
        </w:rPr>
        <w:t xml:space="preserve">When Bug Finder queries the KB, should it issue a single broad semantic query, or should it issue multiple targeted queries (one per vulnerability class it is considering)? Multiple targeted queries produce more precise KB recall but increase API latency and token cost. This needs empirical testing against real target types before a fixed pattern is established.</w:t>
      </w:r>
    </w:p>
    <w:p>
      <w:pPr>
        <w:spacing w:before="80"/>
      </w:pPr>
      <w:r>
        <w:t xml:space="preserve"/>
      </w:r>
    </w:p>
    <w:p>
      <w:pPr>
        <w:pStyle w:val="Heading3"/>
        <w:spacing w:after="80" w:before="240"/>
      </w:pPr>
      <w:r>
        <w:rPr>
          <w:b/>
          <w:bCs/>
          <w:color w:val="334155"/>
          <w:sz w:val="22"/>
          <w:szCs w:val="22"/>
        </w:rPr>
        <w:t xml:space="preserve">Scope of Elysium Migration</w:t>
      </w:r>
    </w:p>
    <w:p>
      <w:pPr>
        <w:spacing w:line="320"/>
      </w:pPr>
      <w:r>
        <w:rPr>
          <w:color w:val="1E293B"/>
          <w:sz w:val="22"/>
          <w:szCs w:val="22"/>
        </w:rPr>
        <w:t xml:space="preserve">Should the Elysium migration be total (all pipeline stages move to Herald) or partial (Bug Finder and Reporter move, Scope Validator and Fix Suggester remain local)? A partial migration could allow offline operation of the lighter stages while only the resource-intensive Bug Finder and the storage-dependent Reporter require server connectivity.</w:t>
      </w:r>
    </w:p>
    <w:p>
      <w:pPr>
        <w:pStyle w:val="Heading1"/>
        <w:pBdr>
          <w:bottom w:val="single" w:color="22D3EE" w:sz="8" w:space="6"/>
        </w:pBdr>
        <w:spacing w:after="200" w:before="480"/>
      </w:pPr>
      <w:r>
        <w:rPr>
          <w:b/>
          <w:bCs/>
          <w:color w:val="1E293B"/>
          <w:sz w:val="32"/>
          <w:szCs w:val="32"/>
        </w:rPr>
        <w:t xml:space="preserve">12.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b/>
                <w:bCs/>
                <w:color w:val="334155"/>
                <w:sz w:val="20"/>
                <w:szCs w:val="20"/>
              </w:rPr>
              <w:t xml:space="preserve">Version</w:t>
            </w:r>
          </w:p>
        </w:tc>
        <w:tc>
          <w:tcPr>
            <w:tcW w:type="dxa" w:w="67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b w:val="false"/>
                <w:bCs w:val="false"/>
                <w:color w:val="1E293B"/>
                <w:sz w:val="20"/>
                <w:szCs w:val="20"/>
              </w:rPr>
              <w:t xml:space="preserve">1.0</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b/>
                <w:bCs/>
                <w:color w:val="334155"/>
                <w:sz w:val="20"/>
                <w:szCs w:val="20"/>
              </w:rPr>
              <w:t xml:space="preserve">Date</w:t>
            </w:r>
          </w:p>
        </w:tc>
        <w:tc>
          <w:tcPr>
            <w:tcW w:type="dxa" w:w="67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b w:val="false"/>
                <w:bCs w:val="false"/>
                <w:color w:val="1E293B"/>
                <w:sz w:val="20"/>
                <w:szCs w:val="20"/>
              </w:rPr>
              <w:t xml:space="preserve">May 2026</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b/>
                <w:bCs/>
                <w:color w:val="334155"/>
                <w:sz w:val="20"/>
                <w:szCs w:val="20"/>
              </w:rPr>
              <w:t xml:space="preserve">Author</w:t>
            </w:r>
          </w:p>
        </w:tc>
        <w:tc>
          <w:tcPr>
            <w:tcW w:type="dxa" w:w="67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b w:val="false"/>
                <w:bCs w:val="false"/>
                <w:color w:val="1E293B"/>
                <w:sz w:val="20"/>
                <w:szCs w:val="20"/>
              </w:rPr>
              <w:t xml:space="preserve">AegisNet Research</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b/>
                <w:bCs/>
                <w:color w:val="334155"/>
                <w:sz w:val="20"/>
                <w:szCs w:val="20"/>
              </w:rPr>
              <w:t xml:space="preserve">Status</w:t>
            </w:r>
          </w:p>
        </w:tc>
        <w:tc>
          <w:tcPr>
            <w:tcW w:type="dxa" w:w="67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b w:val="false"/>
                <w:bCs w:val="false"/>
                <w:color w:val="1E293B"/>
                <w:sz w:val="20"/>
                <w:szCs w:val="20"/>
              </w:rPr>
              <w:t xml:space="preserve">Working Draft</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b/>
                <w:bCs/>
                <w:color w:val="334155"/>
                <w:sz w:val="20"/>
                <w:szCs w:val="20"/>
              </w:rPr>
              <w:t xml:space="preserve">Context</w:t>
            </w:r>
          </w:p>
        </w:tc>
        <w:tc>
          <w:tcPr>
            <w:tcW w:type="dxa" w:w="67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b w:val="false"/>
                <w:bCs w:val="false"/>
                <w:color w:val="1E293B"/>
                <w:sz w:val="20"/>
                <w:szCs w:val="20"/>
              </w:rPr>
              <w:t xml:space="preserve">Nexus / Harmonic Command — Bug Bounty System build series</w:t>
            </w:r>
          </w:p>
        </w:tc>
      </w:tr>
    </w:tbl>
    <w:p>
      <w:pPr>
        <w:spacing w:before="120"/>
      </w:pPr>
      <w:r>
        <w:t xml:space="preserve"/>
      </w:r>
    </w:p>
    <w:p>
      <w:pPr>
        <w:pBdr>
          <w:top w:val="single" w:color="E2E8F0" w:sz="4" w:space="8"/>
        </w:pBdr>
        <w:spacing w:before="240"/>
      </w:pPr>
      <w:r>
        <w:rPr>
          <w:i/>
          <w:iCs/>
          <w:color w:val="AAAAAA"/>
          <w:sz w:val="18"/>
          <w:szCs w:val="18"/>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6"/>
      </w:pBdr>
      <w:tabs>
        <w:tab w:val="right" w:pos="9360"/>
      </w:tabs>
      <w:spacing w:before="160"/>
    </w:pPr>
    <w:r>
      <w:rPr>
        <w:color w:val="AAAAAA"/>
        <w:sz w:val="18"/>
        <w:szCs w:val="18"/>
      </w:rPr>
      <w:t xml:space="preserve">AegisNet Research — aegisnet.org.uk</w:t>
    </w:r>
    <w:r>
      <w:rPr>
        <w:color w:val="AAAAAA"/>
        <w:sz w:val="18"/>
        <w:szCs w:val="18"/>
      </w:rPr>
      <w:t xml:space="preserve">	Page </w:t>
    </w:r>
    <w:fldSimple w:instr="PAGE">
      <w:r>
        <w:rPr>
          <w:color w:val="334155"/>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2D3EE" w:sz="6" w:space="6"/>
      </w:pBdr>
      <w:spacing w:after="200"/>
    </w:pPr>
    <w:r>
      <w:rPr>
        <w:b/>
        <w:bCs/>
        <w:color w:val="334155"/>
        <w:sz w:val="18"/>
        <w:szCs w:val="18"/>
      </w:rPr>
      <w:t xml:space="preserve">NEXUS / HARMONIC COMMAND</w:t>
    </w:r>
    <w:r>
      <w:rPr>
        <w:color w:val="AAAAAA"/>
        <w:sz w:val="18"/>
        <w:szCs w:val="18"/>
      </w:rPr>
      <w:t xml:space="preserve">    |    BUG BOUNTY SYSTEM — PROJECT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293B"/>
      <w:sz w:val="32"/>
      <w:szCs w:val="32"/>
    </w:rPr>
  </w:style>
  <w:style w:type="paragraph" w:styleId="Heading2">
    <w:name w:val="Heading 2"/>
    <w:basedOn w:val="Normal"/>
    <w:next w:val="Normal"/>
    <w:qFormat/>
    <w:pPr>
      <w:spacing w:after="120" w:before="360"/>
      <w:outlineLvl w:val="1"/>
    </w:pPr>
    <w:rPr>
      <w:rFonts w:ascii="Arial" w:cs="Arial" w:eastAsia="Arial" w:hAnsi="Arial"/>
      <w:b/>
      <w:bCs/>
      <w:color w:val="1E293B"/>
      <w:sz w:val="26"/>
      <w:szCs w:val="26"/>
    </w:rPr>
  </w:style>
  <w:style w:type="paragraph" w:styleId="Heading3">
    <w:name w:val="Heading 3"/>
    <w:basedOn w:val="Normal"/>
    <w:next w:val="Normal"/>
    <w:qFormat/>
    <w:pPr>
      <w:spacing w:after="80" w:before="24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2026-05-14T15:20:45.808Z</dcterms:created>
  <dcterms:modified xsi:type="dcterms:W3CDTF">2026-05-14T15:20:45.808Z</dcterms:modified>
</cp:coreProperties>
</file>

<file path=docProps/custom.xml><?xml version="1.0" encoding="utf-8"?>
<Properties xmlns="http://schemas.openxmlformats.org/officeDocument/2006/custom-properties" xmlns:vt="http://schemas.openxmlformats.org/officeDocument/2006/docPropsVTypes"/>
</file>