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微软雅黑"/>
          <w:b/>
          <w:color w:val="0B2545"/>
          <w:sz w:val="44"/>
        </w:rPr>
        <w:t>港股板块轮动选股项目计划书</w:t>
      </w:r>
    </w:p>
    <w:p>
      <w:pPr>
        <w:spacing w:after="280"/>
      </w:pPr>
      <w:r>
        <w:rPr>
          <w:rFonts w:ascii="Calibri" w:hAnsi="Calibri" w:eastAsia="微软雅黑"/>
          <w:color w:val="555555"/>
          <w:sz w:val="24"/>
        </w:rPr>
        <w:t>内部讨论稿 | 以免费数据原型验证为起点，后续可升级至付费数据源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项目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说明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报告定位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内部项目计划，突出可执行路径与技术实现。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投资范围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初期建议以港股通标的为主，并叠加流动性过滤。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实施原则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先识别板块，再筛选板块内历史较平稳股票，最后加入其他因子综合评分。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数据策略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免费数据先做原型和回测框架，生产级应用预留 Wind、Choice、Bloomberg、HKEX 付费数据升级。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一、项目目标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本项目拟建立一套港股板块轮动选股模型，用于识别阶段性占优的港股板块，并在入选板块中优先筛选历史走势较平稳、流动性较好、回撤相对可控的股票，再结合基本面、估值、成长、动量和资金流等因子，形成可解释、可回测、可定期更新的股票池和组合建议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识别当前相对强势或景气改善的港股板块。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在强势板块内优先筛选历史较平稳的股票。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对平稳股票池加入多因子评分，形成候选组合。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通过回测验证收益、回撤、波动率和换手率。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形成月度或周度可复用的板块排名、股票池和风险监控表。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二、总体流程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获取并清洗数据：行情、行业分类、估值、财务、资金流和指数数据。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划分港股板块：建立股票到板块的映射，并构建板块指数。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识别强势板块：用动量、相对强弱、资金流和估值指标打分。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筛选平稳股票：用波动率、最大回撤、下行波动率、Beta 和流动性过滤。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加入其他因子：在平稳股票池中加入质量、估值、成长、动量和资金流因子。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形成综合评分：按板块和个股两层排序，输出候选股票池。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组合构建与回测：设定权重、调仓、交易成本和风险控制规则。</w:t>
      </w:r>
    </w:p>
    <w:p>
      <w:pPr>
        <w:pStyle w:val="ListNumber"/>
        <w:spacing w:after="80" w:line="280" w:lineRule="auto"/>
      </w:pPr>
      <w:r>
        <w:rPr>
          <w:rFonts w:ascii="Calibri" w:hAnsi="Calibri" w:eastAsia="微软雅黑"/>
          <w:sz w:val="22"/>
        </w:rPr>
        <w:t>定期输出：形成板块排名、股票池、组合建议和模型跟踪报告。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三、数据源方案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考虑当前可能只有免费数据可用，项目分为两个阶段：第一阶段使用免费或低成本数据完成原型验证；第二阶段在模型有效后接入付费数据源，提高数据稳定性、历史深度和自动化程度。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200"/>
        <w:gridCol w:w="2500"/>
        <w:gridCol w:w="2500"/>
        <w:gridCol w:w="3160"/>
      </w:tblGrid>
      <w:tr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数据类型</w:t>
            </w:r>
          </w:p>
        </w:tc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免费可用来源</w:t>
            </w:r>
          </w:p>
        </w:tc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后续付费升级</w:t>
            </w:r>
          </w:p>
        </w:tc>
        <w:tc>
          <w:tcPr>
            <w:tcW w:type="dxa" w:w="3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使用说明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日行情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Yahoo Finance、Stooq、东方财富/新浪财经页面数据、AkShare 等开源接口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Wind、Choice、Bloomberg、Refinitiv、FactSet、HKEX Data Marketplace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免费源适合原型，但可能存在字段缺失、调整复权不一致、接口变化等问题。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板块分类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恒生行业分类公开说明、交易所/财经网站行业标签、AkShare/公开行业映射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Wind 行业、申万港股行业、GICS、恒生指数公司数据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需建立股票-板块映射表，并保留人工修正入口。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估值财务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Yahoo Finance、港交所披露易年报/中报、公司公告、财经网站摘要数据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Wind、Choice、Bloomberg、FactSet、一致预期数据库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免费财务数据更新慢，适合低频因子；一致预期通常需要付费。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资金流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港交所 CCASS Shareholding Search、港股通每日成交公开信息、财经网站整理数据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Wind/Choice 南向资金明细、HKEX 历史 CCASS 数据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CCASS 免费查询一般适合近端核验，长历史和批量化更适合付费。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宏观指数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FRED、Yahoo Finance、Investing、央行/统计局公开数据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Bloomberg、Wind、Choice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宏观数据主要用于解释和风格判断，初期不作为硬性交易信号。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技术实现上，建议先用 Python 定时拉取和整理免费数据，将数据统一存入本地 CSV/SQLite/PostgreSQL。若后续接入付费数据源，只替换数据接口层，不改变板块评分、个股评分和回测框架。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四、步骤一：获取并清洗数据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本步骤目标是形成统一、可计算的基础数据表，避免不同来源数据格式不一致影响后续模型。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行情表：股票代码、交易日期、开盘价、最高价、最低价、收盘价、成交量、成交额、复权因子。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行业表：股票代码、股票名称、一级板块、二级板块、生效日期、数据来源。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估值表：市值、PE、PB、PS、股息率及其历史分位数。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财务表：收入、净利润、ROE、资产负债率、经营现金流等。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资金流表：南向资金持股比例、持股数量变化、成交额变化等。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清洗逻辑包括：统一股票代码格式；处理停牌和缺失价格；计算复权收盘价和日收益率；剔除长期无成交股票；检查异常涨跌幅；统一交易日历。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五、步骤二：划分港股板块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板块划分是板块轮动模型的基础。初期建议采用行业分类作为主线，例如互联网科技、金融、地产、医药、消费、能源、电信、汽车、公用事业等；后续可增加高股息央国企、AI、半导体、新能源车等主题板块。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技术实现方式是建立股票与板块映射表，并为每个板块计算等权指数和市值加权指数。等权指数用于观察板块内股票整体表现，市值加权指数用于观察大市值龙头主导下的真实资金表现。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板块日收益率可按以下方式计算：等权板块收益率 = 板块内所有股票日收益率的平均值；市值加权板块收益率 = 个股日收益率乘以个股市值权重后求和。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六、步骤三：识别强势板块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板块识别的目标不是预测单日涨跌，而是选出当前相对占优、资金关注度提升且估值仍有配置空间的板块。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指标类别</w:t>
            </w:r>
          </w:p>
        </w:tc>
        <w:tc>
          <w:tcPr>
            <w:tcW w:type="dxa" w:w="3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核心指标</w:t>
            </w:r>
          </w:p>
        </w:tc>
        <w:tc>
          <w:tcPr>
            <w:tcW w:type="dxa" w:w="4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技术解释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动量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20日、60日、120日板块收益率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识别近期持续走强的板块。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相对强弱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板块收益率 - 恒生指数收益率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判断板块是否跑赢市场。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资金流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南向资金变化、成交额放大倍数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确认资金是否持续关注。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估值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PE/PB/股息率历史分位数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避免买入已经明显过热的板块。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建议初始板块评分公式为：板块总分 = 40% 动量得分 + 25% 相对强弱得分 + 20% 资金流得分 + 15% 估值得分。每周或每月计算一次，选择排名前 3-5 个板块进入个股筛选。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七、步骤四：筛选板块内历史较平稳股票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这是本项目的核心约束。入选板块后，不直接追涨板块内涨幅最高的股票，而是先筛选历史波动较低、最大回撤较小、下跌风险较低且流动性正常的股票。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平稳性指标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计算方式</w:t>
            </w:r>
          </w:p>
        </w:tc>
        <w:tc>
          <w:tcPr>
            <w:tcW w:type="dxa" w:w="4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使用方式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历史波动率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日收益率标准差 × √252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衡量日常价格波动，优先选择低于板块中位数的股票。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最大回撤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区间内从高点到低点的最大跌幅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衡量极端下跌风险，剔除回撤明显过大的股票。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下行波动率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仅统计下跌日收益率波动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更关注坏波动，适合稳健投资要求。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Beta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个股相对恒生指数的敏感度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优先选择 Beta 约 0.6-1.1 的股票，谨慎选择高 Beta 股票。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流动性稳定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60日平均成交额、停牌天数、零成交天数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防止选到因无人交易而看似平稳的股票。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建议平稳性评分公式为：平稳性评分 = 30% 低波动率得分 + 30% 低最大回撤得分 + 15% 低下行波动率得分 + 15% 低 Beta 得分 + 10% 流动性稳定得分。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筛选规则可设置为：仅保留板块内平稳性评分排名前 50% 的股票，或剔除平稳性评分低于 60 分的股票。完成后得到“强势板块内的平稳股票池”。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八、步骤五：加入其他选股因子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平稳性筛选解决的是风险约束问题，但不能保证收益。因此需要在平稳股票池内加入其他因子，提高股票的收益质量和可解释性。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600"/>
        <w:gridCol w:w="4300"/>
        <w:gridCol w:w="3460"/>
      </w:tblGrid>
      <w:tr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因子</w:t>
            </w:r>
          </w:p>
        </w:tc>
        <w:tc>
          <w:tcPr>
            <w:tcW w:type="dxa" w:w="4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可用指标</w:t>
            </w:r>
          </w:p>
        </w:tc>
        <w:tc>
          <w:tcPr>
            <w:tcW w:type="dxa" w:w="3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作用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基本面质量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ROE、毛利率、净利率、经营现金流/净利润、资产负债率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选择经营稳健、盈利质量较好的公司。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估值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PE、PB、PS、股息率、估值历史分位数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选择估值合理、具备安全边际的股票。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成长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收入增速、利润增速、EPS 预测增速、盈利上修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识别基本面改善的公司。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动量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20日、60日、120日收益率，个股相对板块超额收益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确认个股是否为板块内强势标的。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资金流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南向持股比例变化、成交额放大倍数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判断资金是否持续买入。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九、步骤六：综合评分与股票池输出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在平稳股票池中，对每只股票计算综合得分。建议初始权重为：个股总分 = 30% 平稳性得分 + 20% 基本面质量得分 + 15% 估值得分 + 15% 成长得分 + 10% 动量得分 + 10% 资金流得分。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每个入选板块选择综合得分前 3-5 只股票。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总股票数量控制在 10-20 只。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单只股票权重不超过 10%。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单一板块权重不超过 30%。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若免费数据无法稳定覆盖某些因子，先将该因子权重调低或人工复核。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十、步骤七：组合构建与回测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初期组合建议采用“综合评分加权 + 单股权重上限 + 板块权重上限”。这样既能体现模型排序，又能避免单一股票或单一板块过度集中。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调仓频率：以月度调仓为主，每周监控板块排名和风险指标。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交易成本：回测中加入港股交易佣金、印花税、买卖价差和冲击成本，单边成本可先按 0.2%-0.4% 假设。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评价指标：年化收益、超额收益、最大回撤、年化波动率、夏普比率、卡玛比率、月度胜率、换手率。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重点验证：平稳性筛选是否降低最大回撤和波动率，加入其他因子后是否提升收益回撤比。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十一、实施排期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1300"/>
        <w:gridCol w:w="5100"/>
        <w:gridCol w:w="2960"/>
      </w:tblGrid>
      <w:t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时间</w:t>
            </w:r>
          </w:p>
        </w:tc>
        <w:tc>
          <w:tcPr>
            <w:tcW w:type="dxa" w:w="5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工作内容</w:t>
            </w:r>
          </w:p>
        </w:tc>
        <w:tc>
          <w:tcPr>
            <w:tcW w:type="dxa" w:w="29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b/>
                <w:sz w:val="22"/>
              </w:rPr>
              <w:t>阶段成果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第 1 周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免费数据源梳理、样本数据下载、股票池和行业映射表搭建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基础数据表和数据质量检查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第 2 周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构建板块指数，计算板块动量、相对强弱、资金流和估值指标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板块排名表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第 3 周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开发平稳性筛选指标，形成板块内平稳股票池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平稳性评分表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第 4 周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加入基本面、估值、成长、动量和资金流因子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个股综合评分表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第 5-6 周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组合构建、历史回测、参数调整和报告输出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微软雅黑"/>
                <w:sz w:val="21"/>
              </w:rPr>
              <w:t>回测报告和推荐股票池模板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十二、主要风险与应对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免费数据稳定性不足：先用于原型验证，正式应用前接入付费数据或建立人工校验机制。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行业分类不准确：采用公开分类为主，允许投研人员维护内部主题板块映射。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未来函数风险：回测中只使用调仓日前已经可获得的数据，财务数据考虑公告滞后。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低流动性干扰：股票池必须设置成交额、市值、停牌天数等过滤条件。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模型过度拟合：初期使用简单权重，优先验证方向有效性，不追求历史最优参数。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十三、交付成果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港股可投资股票池和行业板块映射表。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港股板块指数和板块排名表。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板块内平稳股票筛选模型。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多因子个股综合评分模型。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组合构建规则和风险控制规则。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历史回测报告。</w:t>
      </w:r>
    </w:p>
    <w:p>
      <w:pPr>
        <w:pStyle w:val="ListBullet"/>
        <w:spacing w:after="80" w:line="280" w:lineRule="auto"/>
      </w:pPr>
      <w:r>
        <w:rPr>
          <w:rFonts w:ascii="Calibri" w:hAnsi="Calibri" w:eastAsia="微软雅黑"/>
          <w:sz w:val="22"/>
        </w:rPr>
        <w:t>月度或周度股票池与组合建议模板。</w:t>
      </w:r>
    </w:p>
    <w:p>
      <w:pPr>
        <w:pStyle w:val="Heading1"/>
        <w:spacing w:before="320" w:after="160"/>
      </w:pPr>
      <w:r>
        <w:rPr>
          <w:rFonts w:ascii="Calibri" w:hAnsi="Calibri" w:eastAsia="微软雅黑"/>
          <w:b/>
          <w:color w:val="2E74B5"/>
          <w:sz w:val="32"/>
        </w:rPr>
        <w:t>十四、结论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本项目建议按“先识别板块、再筛选平稳股票、最后加入其他因子”的顺序推进。这样既能捕捉港股板块轮动机会，又能优先控制个股波动和组合回撤，符合稳健投资和内部可解释汇报的要求。</w:t>
      </w:r>
    </w:p>
    <w:p>
      <w:pPr>
        <w:spacing w:after="120" w:line="264" w:lineRule="auto"/>
      </w:pPr>
      <w:r>
        <w:rPr>
          <w:rFonts w:ascii="Calibri" w:hAnsi="Calibri" w:eastAsia="微软雅黑"/>
          <w:sz w:val="22"/>
        </w:rPr>
        <w:t>在数据条件有限的情况下，免费数据足以支持原型开发、指标验证和流程搭建；若模型回测结果具备稳定性，再逐步升级至付费数据源，以提升数据质量、历史深度和自动化运行能力。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微软雅黑"/>
        <w:color w:val="666666"/>
        <w:sz w:val="18"/>
      </w:rPr>
      <w:t>内部报告 | 港股板块轮动选股项目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