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4AEA" w14:textId="77777777" w:rsidR="007638B4" w:rsidRPr="002743CF" w:rsidRDefault="00000000">
      <w:pPr>
        <w:pStyle w:val="1"/>
        <w:spacing w:before="120" w:after="240"/>
        <w:jc w:val="center"/>
        <w:rPr>
          <w:lang w:val="ru-RU"/>
        </w:rPr>
      </w:pPr>
      <w:r w:rsidRPr="002743CF">
        <w:rPr>
          <w:rFonts w:ascii="Times New Roman" w:eastAsia="黑体" w:hAnsi="Times New Roman"/>
          <w:sz w:val="32"/>
          <w:lang w:val="ru-RU"/>
        </w:rPr>
        <w:t>Глава 1. Введение</w:t>
      </w:r>
    </w:p>
    <w:p w14:paraId="5948A8BB" w14:textId="77777777" w:rsidR="007638B4" w:rsidRPr="002743CF" w:rsidRDefault="00000000">
      <w:pPr>
        <w:spacing w:after="280"/>
        <w:jc w:val="center"/>
        <w:rPr>
          <w:lang w:val="ru-RU"/>
        </w:rPr>
      </w:pPr>
      <w:r w:rsidRPr="002743CF">
        <w:rPr>
          <w:rFonts w:eastAsia="楷体"/>
          <w:sz w:val="24"/>
          <w:lang w:val="ru-RU"/>
        </w:rPr>
        <w:t>Применение цифровых двойников в роботизированных ячейках: предпосылки и значимость исследования</w:t>
      </w:r>
    </w:p>
    <w:p w14:paraId="537DF0D7" w14:textId="77777777" w:rsidR="007638B4" w:rsidRPr="002743CF" w:rsidRDefault="00000000">
      <w:pPr>
        <w:pStyle w:val="21"/>
        <w:spacing w:after="120"/>
        <w:rPr>
          <w:lang w:val="ru-RU"/>
        </w:rPr>
      </w:pPr>
      <w:r w:rsidRPr="002743CF">
        <w:rPr>
          <w:rFonts w:ascii="Times New Roman" w:eastAsia="黑体" w:hAnsi="Times New Roman"/>
          <w:sz w:val="28"/>
          <w:lang w:val="ru-RU"/>
        </w:rPr>
        <w:t>1.1 Предпосылки исследования</w:t>
      </w:r>
    </w:p>
    <w:p w14:paraId="218D38F5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1.1.1 Роботизированная ячейка стала базовым элементом гибкого производства, однако её совместная отладка по-прежнему опирается на натурный перебор</w:t>
      </w:r>
    </w:p>
    <w:p w14:paraId="41CEC21B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Роботизированная ячейка с шестиосевым или коллаборативным роботом в качестве исполнительного звена включает контроллер робота, программируемый логический контроллер (ПЛК), захватное устройство, средства очувствления и периферийное оборудование и способна самостоятельно выполнять операции взятия-укладки, сортировки, сборки, шлифования и контроля, представляя собой воспроизводимый и перекомпонуемый минимальный производственный элемент гибкой автоматизированной линии. В отличие от отдельной единицы оборудования эффективность ячейки определяется не предельной характеристикой одного устройства, а точностью согласования во времени двух классов контроллеров — контроллера робота и ПЛК: ПЛК ведёт диспетчеризацию операций уровня ячейки, блокировки и логику безопасности, контроллер робота — интерполяцию траектории и исполнение движения, а обмен между ними идёт по полевой шине или промышленному </w:t>
      </w:r>
      <w:r>
        <w:t>Ethernet</w:t>
      </w:r>
      <w:r w:rsidRPr="002743CF">
        <w:rPr>
          <w:lang w:val="ru-RU"/>
        </w:rPr>
        <w:t xml:space="preserve"> сигналами номера операции, целевого положения, команды исполнения и признака завершения. При отклонении семантики сигналов или их временной последовательности ячейка проявляет дрейф такта, отказ блокировок и даже столкновения, причём в традиционном процессе такие дефекты выявляются лишь после монтажа оборудования и подачи питания на площадке, что приводит к срыву сроков и переделкам.</w:t>
      </w:r>
    </w:p>
    <w:p w14:paraId="33F95B01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Масштаб распространения подобных ячеек определяет экономические последствия указанной проблемы. По данным Международной федерации робототехники, в 2024 г. мировые годовые установки промышленных роботов составили 542 тыс. ед., а действующий парк — 4,66 млн ед.; в Китае установлено 295 тыс. ед., что составило 54 % мирового объёма, парк достиг 2,03 млн ед., а доля отечественных поставщиков на внутреннем рынке выросла до 57 %[82]. В 2025 г. новые установки в Китае возросли до 354 тыс. ед., или около 59 % мирового объёма[82]; производство промышленных роботов составило 773,1 тыс. ед., продажи — 342,6 тыс. ед.[83], по данным другого источника продажи превысили 300 тыс. ед.[84]. Необходимо оговорить методику: приведённые показатели установок и продаж получены разными организациями по разным методикам, не подлежат взаимному подтверждению, и в настоящей работе каждый из них приводится с указанием источника и методики. Сопряжённое с робототехникой звено очувствления также имеет значительный масштаб: мировой объём рынка машинного (технического) зрения в 2025 г. составил около 5,7 млрд долл. США, что означает рост на 1,5 % </w:t>
      </w:r>
      <w:r w:rsidRPr="002743CF">
        <w:rPr>
          <w:lang w:val="ru-RU"/>
        </w:rPr>
        <w:lastRenderedPageBreak/>
        <w:t>после снижения на 3,9 % в 2024 г.[85]. Помимо масштабов производства, ориентиры заданы и на уровне политики: План действий по применению «Робот+» предусматривает удвоение плотности роботизации обрабатывающей промышленности к 2025 г. по отношению к 2020 г., разработку более 100 видов инновационных технологий и решений для применения роботов и продвижение более 200 типовых сценариев применения, причём в разделе обрабатывающей промышленности прямо указана «разработка новых роботов для сварки, сборки, окраски, транспортировки и шлифования»[56].</w:t>
      </w:r>
    </w:p>
    <w:p w14:paraId="0024FD00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Таким образом, способность к «предварительной проверке» согласованности на уровне ячейки, то есть к отработке логики управления без занятия производственной линии и без риска физического столкновения, становится ключевой переменной инженерной экономичности роботизированной ячейки. Именно здесь находится реальная отправная точка для проникновения технологий виртуального ввода в эксплуатацию и цифровых двойников в робототехнику.</w:t>
      </w:r>
    </w:p>
    <w:p w14:paraId="260A8EFE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1.1.2 Цифровой двойник прошёл путь от понятийного аппарата к системе стандартов, однако расстановка «каркас есть — реализация открыта» пока сохраняется</w:t>
      </w:r>
    </w:p>
    <w:p w14:paraId="7E1C5D45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Идея цифрового двойника (ЦД) восходит к представлению физического изделия виртуальным зеркалом, согласованность которого поддерживается двусторонним обменом данными. </w:t>
      </w:r>
      <w:r>
        <w:t>Kritzinger</w:t>
      </w:r>
      <w:r w:rsidRPr="002743CF">
        <w:rPr>
          <w:lang w:val="ru-RU"/>
        </w:rPr>
        <w:t xml:space="preserve"> и др. выполнили категориальный обзор цифровых двойников в машиностроении и по направлению потоков данных разделили цифровые представления на цифровую модель, цифровую тень и цифровой двойник, что дало наиболее цитируемую понятийную рамку для последующих исследований[1]; </w:t>
      </w:r>
      <w:r>
        <w:t>Negri</w:t>
      </w:r>
      <w:r w:rsidRPr="002743CF">
        <w:rPr>
          <w:lang w:val="ru-RU"/>
        </w:rPr>
        <w:t xml:space="preserve"> и др. систематизировали место ЦД в производственных системах на основе киберфизических систем[2]. В ответ на трудность сопоставления различных двойников, вызванную размыванием терминологии, </w:t>
      </w:r>
      <w:r>
        <w:t>Boyes</w:t>
      </w:r>
      <w:r w:rsidRPr="002743CF">
        <w:rPr>
          <w:lang w:val="ru-RU"/>
        </w:rPr>
        <w:t xml:space="preserve"> и </w:t>
      </w:r>
      <w:r>
        <w:t>Watson</w:t>
      </w:r>
      <w:r w:rsidRPr="002743CF">
        <w:rPr>
          <w:lang w:val="ru-RU"/>
        </w:rPr>
        <w:t xml:space="preserve"> предложили аналитическую рамку, позволяющую отображать признаки произвольного цифрового двойника на единый набор измерений и тем самым сравнивать их между собой[7]; </w:t>
      </w:r>
      <w:r>
        <w:t>Minerva</w:t>
      </w:r>
      <w:r w:rsidRPr="002743CF">
        <w:rPr>
          <w:lang w:val="ru-RU"/>
        </w:rPr>
        <w:t xml:space="preserve"> и др., рассматривая проблему в контексте интернета вещей, показали, что его сущность состоит в «софтизации» физического объекта в соответствующий логический объект[8]. На уровне архитектуры </w:t>
      </w:r>
      <w:r>
        <w:t>Tao</w:t>
      </w:r>
      <w:r w:rsidRPr="002743CF">
        <w:rPr>
          <w:lang w:val="ru-RU"/>
        </w:rPr>
        <w:t xml:space="preserve"> и др. расширили трёхэлементную схему до пятимерной архитектуры цифрового двойника, включающей данные и сервисы, и эта архитектура стала важным ориентиром для последующих работ[20].</w:t>
      </w:r>
    </w:p>
    <w:p w14:paraId="213314BB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В последние годы внедрение искусственного интеллекта дополнительно расширило границы возможностей двойника: соответствующий обзор показывает, что управляемый искусственным интеллектом двойник перешёл от зеркалирования состояния к прогнозированию и оптимизации[4]; обзор автоматизации сборки в дискретном производстве свидетельствует, что ценность двойника на сборочном участке проявляется прежде всего в проверке технологии и оптимизации такта[5]; имеются также работы, рассматривающие путь от концепции к </w:t>
      </w:r>
      <w:r w:rsidRPr="002743CF">
        <w:rPr>
          <w:lang w:val="ru-RU"/>
        </w:rPr>
        <w:lastRenderedPageBreak/>
        <w:t>промышленной реализации[6]. В китайской литературе Лю Дасинь и др. предложили для роботизированной сборочной ячейки метод построения двойника на основе объединения данных и вывода знаний, разделив ячейку на три части — робот с оснасткой, изделие и процесс сборки — с построением модели для каждой из них[33]; эта работа является представительной для данного направления.</w:t>
      </w:r>
    </w:p>
    <w:p w14:paraId="3FAF1CBB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Процесс стандартизации развивается параллельно, но ещё не завершён. Серия </w:t>
      </w:r>
      <w:r>
        <w:t>ISO</w:t>
      </w:r>
      <w:r w:rsidRPr="002743CF">
        <w:rPr>
          <w:lang w:val="ru-RU"/>
        </w:rPr>
        <w:t xml:space="preserve"> 23247, опубликованная Международной организацией по стандартизации, задаёт для цифрового двойника в производстве рамку и эталонную архитектуру[45]; в Китае она введена методом идентичного принятия: «Автоматизированные системы и интеграция. Эталонная архитектура цифрового двойника для производства. Часть 1. Обзор и общие принципы» (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45616.1—2026) идентична </w:t>
      </w:r>
      <w:r>
        <w:t>ISO</w:t>
      </w:r>
      <w:r w:rsidRPr="002743CF">
        <w:rPr>
          <w:lang w:val="ru-RU"/>
        </w:rPr>
        <w:t xml:space="preserve"> 23247-1:2021, часть 2 (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45616.2—2025) идентична </w:t>
      </w:r>
      <w:r>
        <w:t>ISO</w:t>
      </w:r>
      <w:r w:rsidRPr="002743CF">
        <w:rPr>
          <w:lang w:val="ru-RU"/>
        </w:rPr>
        <w:t xml:space="preserve"> 23247-2:2021[39,40]. «Информационные технологии. Цифровой двойник. Часть 1. Общие требования» (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43441.1—2023) задаёт общие требования межотраслевого характера[42]. Однако именно части 5 (цифровая нить) и 6 (композиция цифровых двойников) серии </w:t>
      </w:r>
      <w:r>
        <w:t>ISO</w:t>
      </w:r>
      <w:r w:rsidRPr="002743CF">
        <w:rPr>
          <w:lang w:val="ru-RU"/>
        </w:rPr>
        <w:t xml:space="preserve"> 23247, призванные устранить разрыв между моделями и инструментальными цепочками, вступили в силу лишь 24 июня и 14 июля 2026 г. соответственно[46,47].</w:t>
      </w:r>
    </w:p>
    <w:p w14:paraId="3BEE00C2" w14:textId="77777777" w:rsidR="007638B4" w:rsidRPr="002743CF" w:rsidRDefault="00000000">
      <w:pPr>
        <w:spacing w:before="120" w:after="60" w:line="240" w:lineRule="auto"/>
        <w:jc w:val="center"/>
        <w:rPr>
          <w:lang w:val="ru-RU"/>
        </w:rPr>
      </w:pPr>
      <w:r w:rsidRPr="002743CF">
        <w:rPr>
          <w:rFonts w:eastAsia="黑体"/>
          <w:b/>
          <w:sz w:val="18"/>
          <w:lang w:val="ru-RU"/>
        </w:rPr>
        <w:t>Таблица 1-1. Состояние публикации стандартов в области цифровых двойников, роботизированных ячеек и технического зрения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8"/>
        <w:gridCol w:w="3897"/>
        <w:gridCol w:w="1569"/>
        <w:gridCol w:w="2257"/>
      </w:tblGrid>
      <w:tr w:rsidR="007638B4" w14:paraId="5D40B7EF" w14:textId="77777777">
        <w:trPr>
          <w:jc w:val="center"/>
        </w:trPr>
        <w:tc>
          <w:tcPr>
            <w:tcW w:w="996" w:type="dxa"/>
          </w:tcPr>
          <w:p w14:paraId="349FEF9D" w14:textId="77777777" w:rsidR="007638B4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Стандарт</w:t>
            </w:r>
            <w:proofErr w:type="spellEnd"/>
            <w:r>
              <w:rPr>
                <w:rFonts w:eastAsia="黑体"/>
                <w:b/>
                <w:sz w:val="18"/>
              </w:rPr>
              <w:t xml:space="preserve"> </w:t>
            </w:r>
            <w:proofErr w:type="spellStart"/>
            <w:r>
              <w:rPr>
                <w:rFonts w:eastAsia="黑体"/>
                <w:b/>
                <w:sz w:val="18"/>
              </w:rPr>
              <w:t>или</w:t>
            </w:r>
            <w:proofErr w:type="spellEnd"/>
            <w:r>
              <w:rPr>
                <w:rFonts w:eastAsia="黑体"/>
                <w:b/>
                <w:sz w:val="18"/>
              </w:rPr>
              <w:t xml:space="preserve"> </w:t>
            </w:r>
            <w:proofErr w:type="spellStart"/>
            <w:r>
              <w:rPr>
                <w:rFonts w:eastAsia="黑体"/>
                <w:b/>
                <w:sz w:val="18"/>
              </w:rPr>
              <w:t>план</w:t>
            </w:r>
            <w:proofErr w:type="spellEnd"/>
          </w:p>
        </w:tc>
        <w:tc>
          <w:tcPr>
            <w:tcW w:w="3906" w:type="dxa"/>
          </w:tcPr>
          <w:p w14:paraId="76B82B67" w14:textId="77777777" w:rsidR="007638B4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Наименование</w:t>
            </w:r>
          </w:p>
        </w:tc>
        <w:tc>
          <w:tcPr>
            <w:tcW w:w="1570" w:type="dxa"/>
          </w:tcPr>
          <w:p w14:paraId="126618AA" w14:textId="77777777" w:rsidR="007638B4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Состояние</w:t>
            </w:r>
          </w:p>
        </w:tc>
        <w:tc>
          <w:tcPr>
            <w:tcW w:w="2259" w:type="dxa"/>
          </w:tcPr>
          <w:p w14:paraId="71CCEA2D" w14:textId="77777777" w:rsidR="007638B4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Отношение к настоящей работе</w:t>
            </w:r>
          </w:p>
        </w:tc>
      </w:tr>
      <w:tr w:rsidR="007638B4" w14:paraId="669BB54C" w14:textId="77777777">
        <w:trPr>
          <w:jc w:val="center"/>
        </w:trPr>
        <w:tc>
          <w:tcPr>
            <w:tcW w:w="996" w:type="dxa"/>
          </w:tcPr>
          <w:p w14:paraId="16DD21C5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ISO 23247-1:2021</w:t>
            </w:r>
          </w:p>
        </w:tc>
        <w:tc>
          <w:tcPr>
            <w:tcW w:w="3906" w:type="dxa"/>
          </w:tcPr>
          <w:p w14:paraId="3C654328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Эталонная архитектура цифрового двойника для производства. Часть 1. Обзор и общие принципы</w:t>
            </w:r>
          </w:p>
        </w:tc>
        <w:tc>
          <w:tcPr>
            <w:tcW w:w="1570" w:type="dxa"/>
          </w:tcPr>
          <w:p w14:paraId="13CE1F0A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Опубликован</w:t>
            </w:r>
            <w:proofErr w:type="spellEnd"/>
          </w:p>
        </w:tc>
        <w:tc>
          <w:tcPr>
            <w:tcW w:w="2259" w:type="dxa"/>
          </w:tcPr>
          <w:p w14:paraId="65897D60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Международная рамка парадигмы двойника</w:t>
            </w:r>
          </w:p>
        </w:tc>
      </w:tr>
      <w:tr w:rsidR="007638B4" w:rsidRPr="002743CF" w14:paraId="03E589DB" w14:textId="77777777">
        <w:trPr>
          <w:jc w:val="center"/>
        </w:trPr>
        <w:tc>
          <w:tcPr>
            <w:tcW w:w="996" w:type="dxa"/>
          </w:tcPr>
          <w:p w14:paraId="7E871440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GB/T 45616.1—2026</w:t>
            </w:r>
          </w:p>
        </w:tc>
        <w:tc>
          <w:tcPr>
            <w:tcW w:w="3906" w:type="dxa"/>
          </w:tcPr>
          <w:p w14:paraId="1F20CDD1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То же, идентично ISO 23247-1:2021</w:t>
            </w:r>
          </w:p>
        </w:tc>
        <w:tc>
          <w:tcPr>
            <w:tcW w:w="1570" w:type="dxa"/>
          </w:tcPr>
          <w:p w14:paraId="48849A6D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Опубликован 27.02.2026, введён 01.09.2026</w:t>
            </w:r>
          </w:p>
        </w:tc>
        <w:tc>
          <w:tcPr>
            <w:tcW w:w="2259" w:type="dxa"/>
          </w:tcPr>
          <w:p w14:paraId="222516B9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Доступное в КНР обоснование рамки</w:t>
            </w:r>
          </w:p>
        </w:tc>
      </w:tr>
      <w:tr w:rsidR="007638B4" w14:paraId="0B36F619" w14:textId="77777777">
        <w:trPr>
          <w:jc w:val="center"/>
        </w:trPr>
        <w:tc>
          <w:tcPr>
            <w:tcW w:w="996" w:type="dxa"/>
          </w:tcPr>
          <w:p w14:paraId="17E65773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GB/T 45616.2—2025</w:t>
            </w:r>
          </w:p>
        </w:tc>
        <w:tc>
          <w:tcPr>
            <w:tcW w:w="3906" w:type="dxa"/>
          </w:tcPr>
          <w:p w14:paraId="7AB595CA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 xml:space="preserve">Часть 2. Эталонная архитектура, идентична </w:t>
            </w:r>
            <w:r>
              <w:rPr>
                <w:sz w:val="18"/>
              </w:rPr>
              <w:t>ISO</w:t>
            </w:r>
            <w:r w:rsidRPr="002743CF">
              <w:rPr>
                <w:sz w:val="18"/>
                <w:lang w:val="ru-RU"/>
              </w:rPr>
              <w:t xml:space="preserve"> 23247-2:2021</w:t>
            </w:r>
          </w:p>
        </w:tc>
        <w:tc>
          <w:tcPr>
            <w:tcW w:w="1570" w:type="dxa"/>
          </w:tcPr>
          <w:p w14:paraId="23405D5F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Опубликован</w:t>
            </w:r>
            <w:proofErr w:type="spellEnd"/>
            <w:r>
              <w:rPr>
                <w:sz w:val="18"/>
              </w:rPr>
              <w:t xml:space="preserve"> 29.08.2025, </w:t>
            </w:r>
            <w:proofErr w:type="spellStart"/>
            <w:r>
              <w:rPr>
                <w:sz w:val="18"/>
              </w:rPr>
              <w:t>введён</w:t>
            </w:r>
            <w:proofErr w:type="spellEnd"/>
            <w:r>
              <w:rPr>
                <w:sz w:val="18"/>
              </w:rPr>
              <w:t xml:space="preserve"> 01.03.2026</w:t>
            </w:r>
          </w:p>
        </w:tc>
        <w:tc>
          <w:tcPr>
            <w:tcW w:w="2259" w:type="dxa"/>
          </w:tcPr>
          <w:p w14:paraId="774ACA11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Обоснование эталонной архитектуры</w:t>
            </w:r>
          </w:p>
        </w:tc>
      </w:tr>
      <w:tr w:rsidR="007638B4" w:rsidRPr="002743CF" w14:paraId="6B9A7AE8" w14:textId="77777777">
        <w:trPr>
          <w:jc w:val="center"/>
        </w:trPr>
        <w:tc>
          <w:tcPr>
            <w:tcW w:w="996" w:type="dxa"/>
          </w:tcPr>
          <w:p w14:paraId="568BE3BD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ISO 23247-5:2026 / -6:2026</w:t>
            </w:r>
          </w:p>
        </w:tc>
        <w:tc>
          <w:tcPr>
            <w:tcW w:w="3906" w:type="dxa"/>
          </w:tcPr>
          <w:p w14:paraId="4FACAE83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Часть 5. Цифровая нить; часть 6. Композиция цифровых двойников</w:t>
            </w:r>
          </w:p>
        </w:tc>
        <w:tc>
          <w:tcPr>
            <w:tcW w:w="1570" w:type="dxa"/>
          </w:tcPr>
          <w:p w14:paraId="2EAFC42A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Вступили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силу</w:t>
            </w:r>
            <w:proofErr w:type="spellEnd"/>
            <w:r>
              <w:rPr>
                <w:sz w:val="18"/>
              </w:rPr>
              <w:t xml:space="preserve"> 24.06.2026 и 14.07.2026</w:t>
            </w:r>
          </w:p>
        </w:tc>
        <w:tc>
          <w:tcPr>
            <w:tcW w:w="2259" w:type="dxa"/>
          </w:tcPr>
          <w:p w14:paraId="28053A4E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Стандартизация механизма устранения разрыва только началась</w:t>
            </w:r>
          </w:p>
        </w:tc>
      </w:tr>
      <w:tr w:rsidR="007638B4" w14:paraId="0F022C9D" w14:textId="77777777">
        <w:trPr>
          <w:jc w:val="center"/>
        </w:trPr>
        <w:tc>
          <w:tcPr>
            <w:tcW w:w="996" w:type="dxa"/>
          </w:tcPr>
          <w:p w14:paraId="2069F571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GB/T 43441.1—2023</w:t>
            </w:r>
          </w:p>
        </w:tc>
        <w:tc>
          <w:tcPr>
            <w:tcW w:w="3906" w:type="dxa"/>
          </w:tcPr>
          <w:p w14:paraId="1BF9BDE7" w14:textId="77777777" w:rsidR="007638B4" w:rsidRDefault="00000000">
            <w:pPr>
              <w:spacing w:before="30" w:after="30" w:line="240" w:lineRule="auto"/>
            </w:pPr>
            <w:r w:rsidRPr="002743CF">
              <w:rPr>
                <w:sz w:val="18"/>
                <w:lang w:val="ru-RU"/>
              </w:rPr>
              <w:t xml:space="preserve">Информационные технологии. Цифровой двойник. Часть 1. </w:t>
            </w:r>
            <w:proofErr w:type="spellStart"/>
            <w:r>
              <w:rPr>
                <w:sz w:val="18"/>
              </w:rPr>
              <w:t>Общие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1570" w:type="dxa"/>
          </w:tcPr>
          <w:p w14:paraId="56F71631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Опубликован 27.11.2023, введён 01.06.2024</w:t>
            </w:r>
          </w:p>
        </w:tc>
        <w:tc>
          <w:tcPr>
            <w:tcW w:w="2259" w:type="dxa"/>
          </w:tcPr>
          <w:p w14:paraId="601B3662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Обоснование общих требований</w:t>
            </w:r>
          </w:p>
        </w:tc>
      </w:tr>
      <w:tr w:rsidR="007638B4" w:rsidRPr="002743CF" w14:paraId="5AAF7D2A" w14:textId="77777777">
        <w:trPr>
          <w:jc w:val="center"/>
        </w:trPr>
        <w:tc>
          <w:tcPr>
            <w:tcW w:w="996" w:type="dxa"/>
          </w:tcPr>
          <w:p w14:paraId="617642CC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GB/T 45501—2025</w:t>
            </w:r>
          </w:p>
        </w:tc>
        <w:tc>
          <w:tcPr>
            <w:tcW w:w="3906" w:type="dxa"/>
          </w:tcPr>
          <w:p w14:paraId="10ED7C0E" w14:textId="77777777" w:rsidR="007638B4" w:rsidRDefault="00000000">
            <w:pPr>
              <w:spacing w:before="30" w:after="30" w:line="240" w:lineRule="auto"/>
            </w:pPr>
            <w:r w:rsidRPr="002743CF">
              <w:rPr>
                <w:sz w:val="18"/>
                <w:lang w:val="ru-RU"/>
              </w:rPr>
              <w:t xml:space="preserve">Промышленные роботы. Системы трёхмерного технического зрения. </w:t>
            </w:r>
            <w:proofErr w:type="spellStart"/>
            <w:r>
              <w:rPr>
                <w:sz w:val="18"/>
              </w:rPr>
              <w:t>Общие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технические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1570" w:type="dxa"/>
          </w:tcPr>
          <w:p w14:paraId="01BCE6CD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Опубликован 28.03.2025, введён 01.10.2025</w:t>
            </w:r>
          </w:p>
        </w:tc>
        <w:tc>
          <w:tcPr>
            <w:tcW w:w="2259" w:type="dxa"/>
          </w:tcPr>
          <w:p w14:paraId="46EF056A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Дословно соответствует зрительному звену работы</w:t>
            </w:r>
          </w:p>
        </w:tc>
      </w:tr>
      <w:tr w:rsidR="007638B4" w14:paraId="45C6FEE4" w14:textId="77777777">
        <w:trPr>
          <w:jc w:val="center"/>
        </w:trPr>
        <w:tc>
          <w:tcPr>
            <w:tcW w:w="996" w:type="dxa"/>
          </w:tcPr>
          <w:p w14:paraId="196193F2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GB/T 32197—2025</w:t>
            </w:r>
          </w:p>
        </w:tc>
        <w:tc>
          <w:tcPr>
            <w:tcW w:w="3906" w:type="dxa"/>
          </w:tcPr>
          <w:p w14:paraId="4F755CAA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Промышленные роботы. Спецификация открытых коммуникационных интерфейсов контроллера</w:t>
            </w:r>
          </w:p>
        </w:tc>
        <w:tc>
          <w:tcPr>
            <w:tcW w:w="1570" w:type="dxa"/>
          </w:tcPr>
          <w:p w14:paraId="6470D6F9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Опубликован</w:t>
            </w:r>
            <w:proofErr w:type="spellEnd"/>
            <w:r>
              <w:rPr>
                <w:sz w:val="18"/>
              </w:rPr>
              <w:t xml:space="preserve"> 25.04.2025, </w:t>
            </w:r>
            <w:proofErr w:type="spellStart"/>
            <w:r>
              <w:rPr>
                <w:sz w:val="18"/>
              </w:rPr>
              <w:t>введён</w:t>
            </w:r>
            <w:proofErr w:type="spellEnd"/>
            <w:r>
              <w:rPr>
                <w:sz w:val="18"/>
              </w:rPr>
              <w:t xml:space="preserve"> 01.11.2025</w:t>
            </w:r>
          </w:p>
        </w:tc>
        <w:tc>
          <w:tcPr>
            <w:tcW w:w="2259" w:type="dxa"/>
          </w:tcPr>
          <w:p w14:paraId="57F3F9E7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Обоснование коммуникационного интерфейса контроллера</w:t>
            </w:r>
          </w:p>
        </w:tc>
      </w:tr>
      <w:tr w:rsidR="007638B4" w:rsidRPr="002743CF" w14:paraId="19314602" w14:textId="77777777">
        <w:trPr>
          <w:jc w:val="center"/>
        </w:trPr>
        <w:tc>
          <w:tcPr>
            <w:tcW w:w="996" w:type="dxa"/>
          </w:tcPr>
          <w:p w14:paraId="7E2D40D9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ISO 9283:1998</w:t>
            </w:r>
          </w:p>
        </w:tc>
        <w:tc>
          <w:tcPr>
            <w:tcW w:w="3906" w:type="dxa"/>
          </w:tcPr>
          <w:p w14:paraId="291DC4BD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Критерии рабочих характеристик промышленных манипуляционных роботов и соответствующие методы испытаний</w:t>
            </w:r>
          </w:p>
        </w:tc>
        <w:tc>
          <w:tcPr>
            <w:tcW w:w="1570" w:type="dxa"/>
          </w:tcPr>
          <w:p w14:paraId="76113C88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Опубликован</w:t>
            </w:r>
            <w:proofErr w:type="spellEnd"/>
          </w:p>
        </w:tc>
        <w:tc>
          <w:tcPr>
            <w:tcW w:w="2259" w:type="dxa"/>
          </w:tcPr>
          <w:p w14:paraId="0E4C1E40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Источник методики оценки повторяемости позиционирования</w:t>
            </w:r>
          </w:p>
        </w:tc>
      </w:tr>
      <w:tr w:rsidR="007638B4" w14:paraId="798CE2A0" w14:textId="77777777">
        <w:trPr>
          <w:jc w:val="center"/>
        </w:trPr>
        <w:tc>
          <w:tcPr>
            <w:tcW w:w="996" w:type="dxa"/>
          </w:tcPr>
          <w:p w14:paraId="12577C84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 xml:space="preserve">ISO </w:t>
            </w:r>
            <w:r>
              <w:rPr>
                <w:sz w:val="18"/>
              </w:rPr>
              <w:lastRenderedPageBreak/>
              <w:t>10218-1/-2:2025</w:t>
            </w:r>
          </w:p>
        </w:tc>
        <w:tc>
          <w:tcPr>
            <w:tcW w:w="3906" w:type="dxa"/>
          </w:tcPr>
          <w:p w14:paraId="415099DD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lastRenderedPageBreak/>
              <w:t>Роботы. Требования безопасности. Части 1 и 2</w:t>
            </w:r>
          </w:p>
        </w:tc>
        <w:tc>
          <w:tcPr>
            <w:tcW w:w="1570" w:type="dxa"/>
          </w:tcPr>
          <w:p w14:paraId="4C2B78D1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Опубликованы</w:t>
            </w:r>
            <w:proofErr w:type="spellEnd"/>
            <w:r>
              <w:rPr>
                <w:sz w:val="18"/>
              </w:rPr>
              <w:t xml:space="preserve"> в </w:t>
            </w:r>
            <w:r>
              <w:rPr>
                <w:sz w:val="18"/>
              </w:rPr>
              <w:lastRenderedPageBreak/>
              <w:t>2025 г.</w:t>
            </w:r>
          </w:p>
        </w:tc>
        <w:tc>
          <w:tcPr>
            <w:tcW w:w="2259" w:type="dxa"/>
          </w:tcPr>
          <w:p w14:paraId="3AC6D958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lastRenderedPageBreak/>
              <w:t xml:space="preserve">Обоснование </w:t>
            </w:r>
            <w:r>
              <w:rPr>
                <w:sz w:val="18"/>
              </w:rPr>
              <w:lastRenderedPageBreak/>
              <w:t>проектирования безопасности ячейки</w:t>
            </w:r>
          </w:p>
        </w:tc>
      </w:tr>
      <w:tr w:rsidR="007638B4" w14:paraId="47C3E313" w14:textId="77777777">
        <w:trPr>
          <w:jc w:val="center"/>
        </w:trPr>
        <w:tc>
          <w:tcPr>
            <w:tcW w:w="996" w:type="dxa"/>
          </w:tcPr>
          <w:p w14:paraId="2CDF1647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lastRenderedPageBreak/>
              <w:t>IEC 61131-3:2025</w:t>
            </w:r>
          </w:p>
        </w:tc>
        <w:tc>
          <w:tcPr>
            <w:tcW w:w="3906" w:type="dxa"/>
          </w:tcPr>
          <w:p w14:paraId="056668E7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Программируемые контроллеры. Часть 3. Языки программирования</w:t>
            </w:r>
          </w:p>
        </w:tc>
        <w:tc>
          <w:tcPr>
            <w:tcW w:w="1570" w:type="dxa"/>
          </w:tcPr>
          <w:p w14:paraId="44D327DB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Издан</w:t>
            </w:r>
            <w:proofErr w:type="spellEnd"/>
            <w:r>
              <w:rPr>
                <w:sz w:val="18"/>
              </w:rPr>
              <w:t xml:space="preserve"> 22.05.2025</w:t>
            </w:r>
          </w:p>
        </w:tc>
        <w:tc>
          <w:tcPr>
            <w:tcW w:w="2259" w:type="dxa"/>
          </w:tcPr>
          <w:p w14:paraId="73ACD067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Обоснование языков программирования ПЛК</w:t>
            </w:r>
          </w:p>
        </w:tc>
      </w:tr>
      <w:tr w:rsidR="007638B4" w14:paraId="27AA7A97" w14:textId="77777777">
        <w:trPr>
          <w:jc w:val="center"/>
        </w:trPr>
        <w:tc>
          <w:tcPr>
            <w:tcW w:w="996" w:type="dxa"/>
          </w:tcPr>
          <w:p w14:paraId="40EB19DB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OPC 40010-1 / OPC 40001-1</w:t>
            </w:r>
          </w:p>
        </w:tc>
        <w:tc>
          <w:tcPr>
            <w:tcW w:w="3906" w:type="dxa"/>
          </w:tcPr>
          <w:p w14:paraId="164BCB1D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 xml:space="preserve">Информационные модели </w:t>
            </w:r>
            <w:r>
              <w:rPr>
                <w:sz w:val="18"/>
              </w:rPr>
              <w:t>OPC</w:t>
            </w:r>
            <w:r w:rsidRPr="002743C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UA</w:t>
            </w:r>
            <w:r w:rsidRPr="002743CF">
              <w:rPr>
                <w:sz w:val="18"/>
                <w:lang w:val="ru-RU"/>
              </w:rPr>
              <w:t xml:space="preserve"> для робототехники и машин</w:t>
            </w:r>
          </w:p>
        </w:tc>
        <w:tc>
          <w:tcPr>
            <w:tcW w:w="1570" w:type="dxa"/>
          </w:tcPr>
          <w:p w14:paraId="74BBE83B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v1.02 / v1.04.1</w:t>
            </w:r>
          </w:p>
        </w:tc>
        <w:tc>
          <w:tcPr>
            <w:tcW w:w="2259" w:type="dxa"/>
          </w:tcPr>
          <w:p w14:paraId="67C91153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Обоснование семантической интероперабельности</w:t>
            </w:r>
          </w:p>
        </w:tc>
      </w:tr>
      <w:tr w:rsidR="007638B4" w14:paraId="375F31AA" w14:textId="77777777">
        <w:trPr>
          <w:jc w:val="center"/>
        </w:trPr>
        <w:tc>
          <w:tcPr>
            <w:tcW w:w="996" w:type="dxa"/>
          </w:tcPr>
          <w:p w14:paraId="522DB9BD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План № 20263910-T-604</w:t>
            </w:r>
          </w:p>
        </w:tc>
        <w:tc>
          <w:tcPr>
            <w:tcW w:w="3906" w:type="dxa"/>
          </w:tcPr>
          <w:p w14:paraId="3F3B5B0E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Виртуальный ввод в эксплуатацию и методы моделирования цифрового двойника промышленного робота</w:t>
            </w:r>
          </w:p>
        </w:tc>
        <w:tc>
          <w:tcPr>
            <w:tcW w:w="1570" w:type="dxa"/>
          </w:tcPr>
          <w:p w14:paraId="6321084B" w14:textId="77777777" w:rsidR="007638B4" w:rsidRDefault="00000000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Задан</w:t>
            </w:r>
            <w:proofErr w:type="spellEnd"/>
            <w:r>
              <w:rPr>
                <w:sz w:val="18"/>
              </w:rPr>
              <w:t xml:space="preserve"> 30.07.2026, в </w:t>
            </w:r>
            <w:proofErr w:type="spellStart"/>
            <w:r>
              <w:rPr>
                <w:sz w:val="18"/>
              </w:rPr>
              <w:t>стадии</w:t>
            </w:r>
            <w:proofErr w:type="spellEnd"/>
            <w:r>
              <w:rPr>
                <w:sz w:val="18"/>
              </w:rPr>
              <w:t xml:space="preserve"> разработки</w:t>
            </w:r>
          </w:p>
        </w:tc>
        <w:tc>
          <w:tcPr>
            <w:tcW w:w="2259" w:type="dxa"/>
          </w:tcPr>
          <w:p w14:paraId="054807C8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Непосредственно соответствующий разрабатываемый стандарт</w:t>
            </w:r>
          </w:p>
        </w:tc>
      </w:tr>
      <w:tr w:rsidR="007638B4" w14:paraId="02F4C330" w14:textId="77777777">
        <w:trPr>
          <w:jc w:val="center"/>
        </w:trPr>
        <w:tc>
          <w:tcPr>
            <w:tcW w:w="996" w:type="dxa"/>
          </w:tcPr>
          <w:p w14:paraId="5A010E77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План № 20250658-T-604</w:t>
            </w:r>
          </w:p>
        </w:tc>
        <w:tc>
          <w:tcPr>
            <w:tcW w:w="3906" w:type="dxa"/>
          </w:tcPr>
          <w:p w14:paraId="7594BE8C" w14:textId="77777777" w:rsidR="007638B4" w:rsidRPr="002743CF" w:rsidRDefault="00000000">
            <w:pPr>
              <w:spacing w:before="30" w:after="30" w:line="240" w:lineRule="auto"/>
              <w:rPr>
                <w:lang w:val="ru-RU"/>
              </w:rPr>
            </w:pPr>
            <w:r w:rsidRPr="002743CF">
              <w:rPr>
                <w:sz w:val="18"/>
                <w:lang w:val="ru-RU"/>
              </w:rPr>
              <w:t>Общие требования к системам офлайн-программирования промышленных роботов</w:t>
            </w:r>
          </w:p>
        </w:tc>
        <w:tc>
          <w:tcPr>
            <w:tcW w:w="1570" w:type="dxa"/>
          </w:tcPr>
          <w:p w14:paraId="665F0076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разработке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опубликован</w:t>
            </w:r>
            <w:proofErr w:type="spellEnd"/>
          </w:p>
        </w:tc>
        <w:tc>
          <w:tcPr>
            <w:tcW w:w="2259" w:type="dxa"/>
          </w:tcPr>
          <w:p w14:paraId="65A19598" w14:textId="77777777" w:rsidR="007638B4" w:rsidRDefault="00000000">
            <w:pPr>
              <w:spacing w:before="30" w:after="30" w:line="240" w:lineRule="auto"/>
            </w:pPr>
            <w:r>
              <w:rPr>
                <w:sz w:val="18"/>
              </w:rPr>
              <w:t>Пробел стандартизации офлайн-программирования</w:t>
            </w:r>
          </w:p>
        </w:tc>
      </w:tr>
    </w:tbl>
    <w:p w14:paraId="02F0A92F" w14:textId="77777777" w:rsidR="007638B4" w:rsidRDefault="007638B4">
      <w:pPr>
        <w:spacing w:after="120" w:line="240" w:lineRule="auto"/>
      </w:pPr>
    </w:p>
    <w:p w14:paraId="65973203" w14:textId="77777777" w:rsidR="007638B4" w:rsidRPr="002743CF" w:rsidRDefault="00000000">
      <w:pPr>
        <w:spacing w:before="60" w:after="120" w:line="240" w:lineRule="auto"/>
        <w:ind w:firstLine="360"/>
        <w:rPr>
          <w:lang w:val="ru-RU"/>
        </w:rPr>
      </w:pPr>
      <w:r w:rsidRPr="002743CF">
        <w:rPr>
          <w:rFonts w:eastAsia="楷体"/>
          <w:sz w:val="18"/>
          <w:lang w:val="ru-RU"/>
        </w:rPr>
        <w:t>Примечание. Состояние и даты приведены по данным государственной информационной службы стандартов КНР и открытых публикаций; разрабатываемый план не тождествен опубликованному стандарту, и при цитировании это различие необходимо указывать.</w:t>
      </w:r>
    </w:p>
    <w:p w14:paraId="746687EE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Из табл. 1-1 видно, что нормативная ситуация в области цифровых двойников характеризуется формулой «каркас уже есть — реализация пока открыта»: на уровне понятий и эталонной архитектуры обоснования уже достаточны, тогда как механизм, действительно обеспечивающий интероперабельность между инструментальными цепочками, только что вступил в силу. Такая ситуация означает, что любая работа по созданию двойника, использующая в качестве движка конкретное программное обеспечение имитации и включающая в контур код управления, не может напрямую опереться на готовый стандарт и вынуждена самостоятельно закрывать на методическом уровне интерфейсы, временные характеристики и критерии оценки.</w:t>
      </w:r>
    </w:p>
    <w:p w14:paraId="1C79AEC6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Одновременно необходимо разграничивать виртуальный ввод в эксплуатацию и цифровой двойник. </w:t>
      </w:r>
      <w:proofErr w:type="spellStart"/>
      <w:r>
        <w:t>Ferle</w:t>
      </w:r>
      <w:proofErr w:type="spellEnd"/>
      <w:r w:rsidRPr="002743CF">
        <w:rPr>
          <w:lang w:val="ru-RU"/>
        </w:rPr>
        <w:t xml:space="preserve"> и др. отмечают, что модель виртуального ввода в эксплуатацию по своему замыслу не входит в эксплуатационную среду, а для её превращения в цифровой двойник отсутствуют три элемента — согласованность системы и модели, подключение эксплуатационных данных и предоставление эксплуатационных сервисов, — причём структурированный метод такого превращения до сих пор не предложен[20]. Это разграничение накладывает ограничение и на настоящую работу: если исследование останавливается на уровне «код управления отработан на виртуальной модели», оно по своей природе является виртуальным вводом в эксплуатацию; цифровым двойником оно становится лишь тогда, когда двойник непрерывно принимает эксплуатационные данные и возвращает пригодные к исполнению рекомендации.</w:t>
      </w:r>
    </w:p>
    <w:p w14:paraId="03329868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lastRenderedPageBreak/>
        <w:t xml:space="preserve">1.1.3 Виртуальный ввод в эксплуатацию — инженерный вход в цифровой двойник роботизированной ячейки; </w:t>
      </w:r>
      <w:r>
        <w:rPr>
          <w:rFonts w:ascii="Times New Roman" w:eastAsia="黑体" w:hAnsi="Times New Roman"/>
          <w:sz w:val="24"/>
        </w:rPr>
        <w:t>RobotStudio</w:t>
      </w:r>
      <w:r w:rsidRPr="002743CF">
        <w:rPr>
          <w:rFonts w:ascii="Times New Roman" w:eastAsia="黑体" w:hAnsi="Times New Roman"/>
          <w:sz w:val="24"/>
          <w:lang w:val="ru-RU"/>
        </w:rPr>
        <w:t xml:space="preserve"> — его представительная платформа</w:t>
      </w:r>
    </w:p>
    <w:p w14:paraId="470D8348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Виртуальный ввод в эксплуатацию, позволяя реальному коду управления приводить в действие виртуальную модель до физической реализации, переносит интеграцию трёх областей — механики, электрики и программного обеспечения — на стадию проектирования. Систематизация, выполненная </w:t>
      </w:r>
      <w:r>
        <w:t>Kuhn</w:t>
      </w:r>
      <w:r w:rsidRPr="002743CF">
        <w:rPr>
          <w:lang w:val="ru-RU"/>
        </w:rPr>
        <w:t xml:space="preserve"> и др., показывает, что подключение ПЛК к виртуальной модели методами аппаратного (</w:t>
      </w:r>
      <w:r>
        <w:t>hardware</w:t>
      </w:r>
      <w:r w:rsidRPr="002743CF">
        <w:rPr>
          <w:lang w:val="ru-RU"/>
        </w:rPr>
        <w:t>-</w:t>
      </w:r>
      <w:r>
        <w:t>in</w:t>
      </w:r>
      <w:r w:rsidRPr="002743CF">
        <w:rPr>
          <w:lang w:val="ru-RU"/>
        </w:rPr>
        <w:t>-</w:t>
      </w:r>
      <w:r>
        <w:t>the</w:t>
      </w:r>
      <w:r w:rsidRPr="002743CF">
        <w:rPr>
          <w:lang w:val="ru-RU"/>
        </w:rPr>
        <w:t>-</w:t>
      </w:r>
      <w:r>
        <w:t>loop</w:t>
      </w:r>
      <w:r w:rsidRPr="002743CF">
        <w:rPr>
          <w:lang w:val="ru-RU"/>
        </w:rPr>
        <w:t>) или программного (</w:t>
      </w:r>
      <w:r>
        <w:t>software</w:t>
      </w:r>
      <w:r w:rsidRPr="002743CF">
        <w:rPr>
          <w:lang w:val="ru-RU"/>
        </w:rPr>
        <w:t>-</w:t>
      </w:r>
      <w:r>
        <w:t>in</w:t>
      </w:r>
      <w:r w:rsidRPr="002743CF">
        <w:rPr>
          <w:lang w:val="ru-RU"/>
        </w:rPr>
        <w:t>-</w:t>
      </w:r>
      <w:r>
        <w:t>the</w:t>
      </w:r>
      <w:r w:rsidRPr="002743CF">
        <w:rPr>
          <w:lang w:val="ru-RU"/>
        </w:rPr>
        <w:t>-</w:t>
      </w:r>
      <w:r>
        <w:t>loop</w:t>
      </w:r>
      <w:r w:rsidRPr="002743CF">
        <w:rPr>
          <w:lang w:val="ru-RU"/>
        </w:rPr>
        <w:t>) замыкания позволяет устранить до 70 % ошибок программного обеспечения[19]. Эта величина является наиболее прямым аргументом в пользу рассматриваемого технологического маршрута.</w:t>
      </w:r>
    </w:p>
    <w:p w14:paraId="6C722F28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В области робототехники представительной платформой для построения двойника ячейки стал </w:t>
      </w:r>
      <w:r>
        <w:t>ABB</w:t>
      </w:r>
      <w:r w:rsidRPr="002743CF">
        <w:rPr>
          <w:lang w:val="ru-RU"/>
        </w:rPr>
        <w:t xml:space="preserve"> </w:t>
      </w:r>
      <w:r>
        <w:t>RobotStudio</w:t>
      </w:r>
      <w:r w:rsidRPr="002743CF">
        <w:rPr>
          <w:lang w:val="ru-RU"/>
        </w:rPr>
        <w:t xml:space="preserve">, виртуальный контроллер которого исполняет ту же </w:t>
      </w:r>
      <w:proofErr w:type="spellStart"/>
      <w:r>
        <w:t>RobotWare</w:t>
      </w:r>
      <w:proofErr w:type="spellEnd"/>
      <w:r w:rsidRPr="002743CF">
        <w:rPr>
          <w:lang w:val="ru-RU"/>
        </w:rPr>
        <w:t xml:space="preserve"> и те же реальные программы </w:t>
      </w:r>
      <w:r>
        <w:t>RAPID</w:t>
      </w:r>
      <w:r w:rsidRPr="002743CF">
        <w:rPr>
          <w:lang w:val="ru-RU"/>
        </w:rPr>
        <w:t xml:space="preserve">, что и физический контроллер. </w:t>
      </w:r>
      <w:r>
        <w:t>Raffaeli</w:t>
      </w:r>
      <w:r w:rsidRPr="002743CF">
        <w:rPr>
          <w:lang w:val="ru-RU"/>
        </w:rPr>
        <w:t xml:space="preserve"> и др. использовали </w:t>
      </w:r>
      <w:r>
        <w:t>RobotStudio</w:t>
      </w:r>
      <w:r w:rsidRPr="002743CF">
        <w:rPr>
          <w:lang w:val="ru-RU"/>
        </w:rPr>
        <w:t xml:space="preserve"> в качестве платформы виртуального прототипирования и через собственный компонент </w:t>
      </w:r>
      <w:r>
        <w:t>Smart</w:t>
      </w:r>
      <w:r w:rsidRPr="002743CF">
        <w:rPr>
          <w:lang w:val="ru-RU"/>
        </w:rPr>
        <w:t xml:space="preserve"> </w:t>
      </w:r>
      <w:r>
        <w:t>Component</w:t>
      </w:r>
      <w:r w:rsidRPr="002743CF">
        <w:rPr>
          <w:lang w:val="ru-RU"/>
        </w:rPr>
        <w:t xml:space="preserve"> установили связь с </w:t>
      </w:r>
      <w:r>
        <w:t>TwinCAT</w:t>
      </w:r>
      <w:r w:rsidRPr="002743CF">
        <w:rPr>
          <w:lang w:val="ru-RU"/>
        </w:rPr>
        <w:t xml:space="preserve"> фирмы </w:t>
      </w:r>
      <w:r>
        <w:t>Beckhoff</w:t>
      </w:r>
      <w:r w:rsidRPr="002743CF">
        <w:rPr>
          <w:lang w:val="ru-RU"/>
        </w:rPr>
        <w:t>, обеспечив совместную имитацию реального кода управления ПЛК и кода управления роботом; в их примере сборочной ячейки коробки передач после оптимизации последовательности операций время цикла снизилось с 101 с до 71 с, то есть на 30 %, энергопотребление — с 17 067 Дж до 16 556 Дж, то есть на 3 %, а в виртуальной среде было выявлено столкновение двух роботов в общем рабочем пространстве[15]. Эта работа установила принцип моделирования «один к одному» для отображения физического компонента на цифровой при полном соответствии интерфейсов реальному оборудованию, а также метод безнастроечного отображения «имя сигнала равно полному пути переменной ПЛК».</w:t>
      </w:r>
    </w:p>
    <w:p w14:paraId="738805BE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Последующие исследования развивались по нескольким направлениям: </w:t>
      </w:r>
      <w:r>
        <w:t>Ionescu</w:t>
      </w:r>
      <w:r w:rsidRPr="002743CF">
        <w:rPr>
          <w:lang w:val="ru-RU"/>
        </w:rPr>
        <w:t xml:space="preserve"> и др., используя ПЛК в качестве сервера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, построили двойник роботизированной ячейки с аппаратным замыканием, обратной кинематикой и облачным мониторингом[16]; </w:t>
      </w:r>
      <w:r>
        <w:t>Andrei</w:t>
      </w:r>
      <w:r w:rsidRPr="002743CF">
        <w:rPr>
          <w:lang w:val="ru-RU"/>
        </w:rPr>
        <w:t xml:space="preserve"> и др. для преодоления проблем совместимости между инструментальными цепочками </w:t>
      </w:r>
      <w:r>
        <w:t>ABB</w:t>
      </w:r>
      <w:r w:rsidRPr="002743CF">
        <w:rPr>
          <w:lang w:val="ru-RU"/>
        </w:rPr>
        <w:t xml:space="preserve"> и </w:t>
      </w:r>
      <w:r>
        <w:t>Siemens</w:t>
      </w:r>
      <w:r w:rsidRPr="002743CF">
        <w:rPr>
          <w:lang w:val="ru-RU"/>
        </w:rPr>
        <w:t xml:space="preserve"> разработали гибридное программное решение[18]; </w:t>
      </w:r>
      <w:r>
        <w:t>Anghel</w:t>
      </w:r>
      <w:r w:rsidRPr="002743CF">
        <w:rPr>
          <w:lang w:val="ru-RU"/>
        </w:rPr>
        <w:t xml:space="preserve"> проверил в </w:t>
      </w:r>
      <w:r>
        <w:t>RobotStudio</w:t>
      </w:r>
      <w:r w:rsidRPr="002743CF">
        <w:rPr>
          <w:lang w:val="ru-RU"/>
        </w:rPr>
        <w:t xml:space="preserve"> траектории гибкой ячейки сборки и разборки[25]; </w:t>
      </w:r>
      <w:proofErr w:type="spellStart"/>
      <w:r>
        <w:t>Minc</w:t>
      </w:r>
      <w:proofErr w:type="spellEnd"/>
      <w:r w:rsidRPr="002743CF">
        <w:rPr>
          <w:lang w:val="ru-RU"/>
        </w:rPr>
        <w:t>ă и др. включили мобильный датчик технического зрения в двойник гибкой сборки[12]; Ž</w:t>
      </w:r>
      <w:proofErr w:type="spellStart"/>
      <w:r>
        <w:t>idek</w:t>
      </w:r>
      <w:proofErr w:type="spellEnd"/>
      <w:r w:rsidRPr="002743CF">
        <w:rPr>
          <w:lang w:val="ru-RU"/>
        </w:rPr>
        <w:t xml:space="preserve"> и др. предложили экспериментальную платформу двойника сборочной системы в концепции «Индустрия 4.0»[13]; </w:t>
      </w:r>
      <w:r>
        <w:t>Konstantinov</w:t>
      </w:r>
      <w:r w:rsidRPr="002743CF">
        <w:rPr>
          <w:lang w:val="ru-RU"/>
        </w:rPr>
        <w:t xml:space="preserve"> и др. рассмотрели роль виртуального проектирования и отладки с точки зрения жизненного цикла[14]. В Китае также выполнен ряд работ по имитации рабочих станций средствами </w:t>
      </w:r>
      <w:r>
        <w:t>RobotStudio</w:t>
      </w:r>
      <w:r w:rsidRPr="002743CF">
        <w:rPr>
          <w:lang w:val="ru-RU"/>
        </w:rPr>
        <w:t xml:space="preserve">, охватывающих сортировку материалов[35], визуальную сортировку со шлифованием[34] и совместную имитацию </w:t>
      </w:r>
      <w:r>
        <w:t>RobotStudio</w:t>
      </w:r>
      <w:r w:rsidRPr="002743CF">
        <w:rPr>
          <w:lang w:val="ru-RU"/>
        </w:rPr>
        <w:t xml:space="preserve"> с </w:t>
      </w:r>
      <w:r>
        <w:t>TIA</w:t>
      </w:r>
      <w:r w:rsidRPr="002743CF">
        <w:rPr>
          <w:lang w:val="ru-RU"/>
        </w:rPr>
        <w:t xml:space="preserve"> </w:t>
      </w:r>
      <w:r>
        <w:t>Portal</w:t>
      </w:r>
      <w:r w:rsidRPr="002743CF">
        <w:rPr>
          <w:lang w:val="ru-RU"/>
        </w:rPr>
        <w:t>[36].</w:t>
      </w:r>
    </w:p>
    <w:p w14:paraId="44513FBC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Следует отметить, что перечисленные работы в контексте </w:t>
      </w:r>
      <w:r>
        <w:t>RobotStudio</w:t>
      </w:r>
      <w:r w:rsidRPr="002743CF">
        <w:rPr>
          <w:lang w:val="ru-RU"/>
        </w:rPr>
        <w:t xml:space="preserve"> сосредоточены преимущественно на единичных функциональных рабочих станциях либо на самой форме «сопряжения двух программных продуктов», и до сих пор отсутствуют сообщения о том, чтобы </w:t>
      </w:r>
      <w:r w:rsidRPr="002743CF">
        <w:rPr>
          <w:lang w:val="ru-RU"/>
        </w:rPr>
        <w:lastRenderedPageBreak/>
        <w:t>цепочка «визуальная сортировка — классификация — сборка» была выстроена в сквозную технологическую последовательность и отлажена с ПЛК в рамках одного и того же двойника. Это наблюдение составляет одну из точек входа настоящей работы, а его систематическое обоснование на уровне литературы приведено в главе 2.</w:t>
      </w:r>
    </w:p>
    <w:p w14:paraId="7C06F6EB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1.1.4 Интеграция с ПЛК — одновременно ключевое звено и главное узкое место</w:t>
      </w:r>
    </w:p>
    <w:p w14:paraId="323B9D98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Двойник ячейки обязан охватывать два класса контроллеров, поэтому качество канала между ПЛК и движком двойника напрямую определяет его пригодность. Официальный путь </w:t>
      </w:r>
      <w:r>
        <w:t>ABB</w:t>
      </w:r>
      <w:r w:rsidRPr="002743CF">
        <w:rPr>
          <w:lang w:val="ru-RU"/>
        </w:rPr>
        <w:t xml:space="preserve"> состоит в том, что клиентский компонент </w:t>
      </w:r>
      <w:r>
        <w:t>Smart</w:t>
      </w:r>
      <w:r w:rsidRPr="002743CF">
        <w:rPr>
          <w:lang w:val="ru-RU"/>
        </w:rPr>
        <w:t xml:space="preserve"> </w:t>
      </w:r>
      <w:r>
        <w:t>Component</w:t>
      </w:r>
      <w:r w:rsidRPr="002743CF">
        <w:rPr>
          <w:lang w:val="ru-RU"/>
        </w:rPr>
        <w:t xml:space="preserve">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в </w:t>
      </w:r>
      <w:r>
        <w:t>RobotStudio</w:t>
      </w:r>
      <w:r w:rsidRPr="002743CF">
        <w:rPr>
          <w:lang w:val="ru-RU"/>
        </w:rPr>
        <w:t xml:space="preserve"> выступает в роли клиента и обменивается сигналами рабочей станции с ПЛК, работающим в роли сервера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; в руководстве по эксплуатации </w:t>
      </w:r>
      <w:r>
        <w:t>RobotStudio</w:t>
      </w:r>
      <w:r w:rsidRPr="002743CF">
        <w:rPr>
          <w:lang w:val="ru-RU"/>
        </w:rPr>
        <w:t xml:space="preserve"> это изложено в разделе 7.6 под заголовком «</w:t>
      </w:r>
      <w:r>
        <w:t>Virtual</w:t>
      </w:r>
      <w:r w:rsidRPr="002743CF">
        <w:rPr>
          <w:lang w:val="ru-RU"/>
        </w:rPr>
        <w:t xml:space="preserve"> </w:t>
      </w:r>
      <w:r>
        <w:t>commissioning</w:t>
      </w:r>
      <w:r w:rsidRPr="002743CF">
        <w:rPr>
          <w:lang w:val="ru-RU"/>
        </w:rPr>
        <w:t xml:space="preserve"> </w:t>
      </w:r>
      <w:r>
        <w:t>using</w:t>
      </w:r>
      <w:r w:rsidRPr="002743CF">
        <w:rPr>
          <w:lang w:val="ru-RU"/>
        </w:rPr>
        <w:t xml:space="preserve"> </w:t>
      </w:r>
      <w:r>
        <w:t>the</w:t>
      </w:r>
      <w:r w:rsidRPr="002743CF">
        <w:rPr>
          <w:lang w:val="ru-RU"/>
        </w:rPr>
        <w:t xml:space="preserve">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</w:t>
      </w:r>
      <w:r>
        <w:t>Client</w:t>
      </w:r>
      <w:r w:rsidRPr="002743CF">
        <w:rPr>
          <w:lang w:val="ru-RU"/>
        </w:rPr>
        <w:t xml:space="preserve"> </w:t>
      </w:r>
      <w:r>
        <w:t>Smart</w:t>
      </w:r>
      <w:r w:rsidRPr="002743CF">
        <w:rPr>
          <w:lang w:val="ru-RU"/>
        </w:rPr>
        <w:t xml:space="preserve"> </w:t>
      </w:r>
      <w:r>
        <w:t>Component</w:t>
      </w:r>
      <w:r w:rsidRPr="002743CF">
        <w:rPr>
          <w:lang w:val="ru-RU"/>
        </w:rPr>
        <w:t xml:space="preserve">»[61]. Однако официальный путь не означает бесшовного сопряжения: </w:t>
      </w:r>
      <w:r>
        <w:t>Andrei</w:t>
      </w:r>
      <w:r w:rsidRPr="002743CF">
        <w:rPr>
          <w:lang w:val="ru-RU"/>
        </w:rPr>
        <w:t xml:space="preserve"> и др. указывают, что прямой совместимости между </w:t>
      </w:r>
      <w:r>
        <w:t>ABB</w:t>
      </w:r>
      <w:r w:rsidRPr="002743CF">
        <w:rPr>
          <w:lang w:val="ru-RU"/>
        </w:rPr>
        <w:t xml:space="preserve"> </w:t>
      </w:r>
      <w:r>
        <w:t>RobotStudio</w:t>
      </w:r>
      <w:r w:rsidRPr="002743CF">
        <w:rPr>
          <w:lang w:val="ru-RU"/>
        </w:rPr>
        <w:t xml:space="preserve"> и </w:t>
      </w:r>
      <w:r>
        <w:t>Siemens</w:t>
      </w:r>
      <w:r w:rsidRPr="002743CF">
        <w:rPr>
          <w:lang w:val="ru-RU"/>
        </w:rPr>
        <w:t xml:space="preserve"> </w:t>
      </w:r>
      <w:r>
        <w:t>TIA</w:t>
      </w:r>
      <w:r w:rsidRPr="002743CF">
        <w:rPr>
          <w:lang w:val="ru-RU"/>
        </w:rPr>
        <w:t xml:space="preserve"> </w:t>
      </w:r>
      <w:r>
        <w:t>Portal</w:t>
      </w:r>
      <w:r w:rsidRPr="002743CF">
        <w:rPr>
          <w:lang w:val="ru-RU"/>
        </w:rPr>
        <w:t xml:space="preserve"> в настоящее время нет, а </w:t>
      </w:r>
      <w:r>
        <w:t>ABB</w:t>
      </w:r>
      <w:r w:rsidRPr="002743CF">
        <w:rPr>
          <w:lang w:val="ru-RU"/>
        </w:rPr>
        <w:t xml:space="preserve"> и </w:t>
      </w:r>
      <w:r>
        <w:t>FANUC</w:t>
      </w:r>
      <w:r w:rsidRPr="002743CF">
        <w:rPr>
          <w:lang w:val="ru-RU"/>
        </w:rPr>
        <w:t xml:space="preserve"> пока не создали стандартизированный интерфейс в платформе </w:t>
      </w:r>
      <w:r>
        <w:t>Simatic</w:t>
      </w:r>
      <w:r w:rsidRPr="002743CF">
        <w:rPr>
          <w:lang w:val="ru-RU"/>
        </w:rPr>
        <w:t xml:space="preserve"> </w:t>
      </w:r>
      <w:r>
        <w:t>Robot</w:t>
      </w:r>
      <w:r w:rsidRPr="002743CF">
        <w:rPr>
          <w:lang w:val="ru-RU"/>
        </w:rPr>
        <w:t xml:space="preserve"> </w:t>
      </w:r>
      <w:r>
        <w:t>Integrator</w:t>
      </w:r>
      <w:r w:rsidRPr="002743CF">
        <w:rPr>
          <w:lang w:val="ru-RU"/>
        </w:rPr>
        <w:t xml:space="preserve"> фирмы </w:t>
      </w:r>
      <w:r>
        <w:t>Siemens</w:t>
      </w:r>
      <w:r w:rsidRPr="002743CF">
        <w:rPr>
          <w:lang w:val="ru-RU"/>
        </w:rPr>
        <w:t xml:space="preserve">[18]; технический ответ официального сообщества </w:t>
      </w:r>
      <w:r>
        <w:t>ABB</w:t>
      </w:r>
      <w:r w:rsidRPr="002743CF">
        <w:rPr>
          <w:lang w:val="ru-RU"/>
        </w:rPr>
        <w:t xml:space="preserve"> дополнительно уточняет, что виртуальный контроллер не имеет аппаратной поддержки </w:t>
      </w:r>
      <w:r>
        <w:t>PROFINET</w:t>
      </w:r>
      <w:r w:rsidRPr="002743CF">
        <w:rPr>
          <w:lang w:val="ru-RU"/>
        </w:rPr>
        <w:t xml:space="preserve"> и не может быть подключён к реальному </w:t>
      </w:r>
      <w:r>
        <w:t>S</w:t>
      </w:r>
      <w:r w:rsidRPr="002743CF">
        <w:rPr>
          <w:lang w:val="ru-RU"/>
        </w:rPr>
        <w:t xml:space="preserve">7-1200 напрямую, а возможны лишь три опосредованных пути, каждый из которых требует введения промежуточного слоя </w:t>
      </w:r>
      <w:r>
        <w:t>SIMIT</w:t>
      </w:r>
      <w:r w:rsidRPr="002743CF">
        <w:rPr>
          <w:lang w:val="ru-RU"/>
        </w:rPr>
        <w:t xml:space="preserve">, </w:t>
      </w:r>
      <w:r>
        <w:t>WINMOD</w:t>
      </w:r>
      <w:r w:rsidRPr="002743CF">
        <w:rPr>
          <w:lang w:val="ru-RU"/>
        </w:rPr>
        <w:t xml:space="preserve"> или </w:t>
      </w:r>
      <w:r>
        <w:t>PLCSIM</w:t>
      </w:r>
      <w:r w:rsidRPr="002743CF">
        <w:rPr>
          <w:lang w:val="ru-RU"/>
        </w:rPr>
        <w:t xml:space="preserve"> </w:t>
      </w:r>
      <w:r>
        <w:t>Advanced</w:t>
      </w:r>
      <w:r w:rsidRPr="002743CF">
        <w:rPr>
          <w:lang w:val="ru-RU"/>
        </w:rPr>
        <w:t>[66].</w:t>
      </w:r>
    </w:p>
    <w:p w14:paraId="34198C63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На уровне инженерных деталей деградация проявляется ещё конкретнее. Контроллер </w:t>
      </w:r>
      <w:r>
        <w:t>IRC</w:t>
      </w:r>
      <w:r w:rsidRPr="002743CF">
        <w:rPr>
          <w:lang w:val="ru-RU"/>
        </w:rPr>
        <w:t xml:space="preserve">5 допускал применение опций 888-2 или 888-3, тогда как для </w:t>
      </w:r>
      <w:proofErr w:type="spellStart"/>
      <w:r>
        <w:t>OmniCore</w:t>
      </w:r>
      <w:proofErr w:type="spellEnd"/>
      <w:r w:rsidRPr="002743CF">
        <w:rPr>
          <w:lang w:val="ru-RU"/>
        </w:rPr>
        <w:t xml:space="preserve"> осталась единственная опция устройства </w:t>
      </w:r>
      <w:r>
        <w:t>PROFINET</w:t>
      </w:r>
      <w:r w:rsidRPr="002743CF">
        <w:rPr>
          <w:lang w:val="ru-RU"/>
        </w:rPr>
        <w:t xml:space="preserve"> 3020-2; поддерживавшееся в эпоху </w:t>
      </w:r>
      <w:r>
        <w:t>IRC</w:t>
      </w:r>
      <w:r w:rsidRPr="002743CF">
        <w:rPr>
          <w:lang w:val="ru-RU"/>
        </w:rPr>
        <w:t xml:space="preserve">5 отображение байтовых диапазонов </w:t>
      </w:r>
      <w:r>
        <w:t>DO</w:t>
      </w:r>
      <w:r w:rsidRPr="002743CF">
        <w:rPr>
          <w:lang w:val="ru-RU"/>
        </w:rPr>
        <w:t>_64_</w:t>
      </w:r>
      <w:r>
        <w:t>bytes</w:t>
      </w:r>
      <w:r w:rsidRPr="002743CF">
        <w:rPr>
          <w:lang w:val="ru-RU"/>
        </w:rPr>
        <w:t xml:space="preserve"> и </w:t>
      </w:r>
      <w:r>
        <w:t>DI</w:t>
      </w:r>
      <w:r w:rsidRPr="002743CF">
        <w:rPr>
          <w:lang w:val="ru-RU"/>
        </w:rPr>
        <w:t>_64_</w:t>
      </w:r>
      <w:r>
        <w:t>bytes</w:t>
      </w:r>
      <w:r w:rsidRPr="002743CF">
        <w:rPr>
          <w:lang w:val="ru-RU"/>
        </w:rPr>
        <w:t xml:space="preserve"> в </w:t>
      </w:r>
      <w:proofErr w:type="spellStart"/>
      <w:r>
        <w:t>OmniCore</w:t>
      </w:r>
      <w:proofErr w:type="spellEnd"/>
      <w:r w:rsidRPr="002743CF">
        <w:rPr>
          <w:lang w:val="ru-RU"/>
        </w:rPr>
        <w:t xml:space="preserve"> отменено, все каналы ввода-вывода объединены в единый объект устройства, а на стороне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остаётся лишь побитное перетаскивание, что пользователи оценивают так: «для реальной карты ввода-вывода робота это утомительно и трудоёмко»[67]. На протокольном уровне также воспроизводимы отказы, например тайм-аут непериодических служб </w:t>
      </w:r>
      <w:r>
        <w:t>PROFINET</w:t>
      </w:r>
      <w:r w:rsidRPr="002743CF">
        <w:rPr>
          <w:lang w:val="ru-RU"/>
        </w:rPr>
        <w:t xml:space="preserve"> у </w:t>
      </w:r>
      <w:r>
        <w:t>S</w:t>
      </w:r>
      <w:r w:rsidRPr="002743CF">
        <w:rPr>
          <w:lang w:val="ru-RU"/>
        </w:rPr>
        <w:t xml:space="preserve">7-1500 с </w:t>
      </w:r>
      <w:proofErr w:type="spellStart"/>
      <w:r>
        <w:t>OmniCore</w:t>
      </w:r>
      <w:proofErr w:type="spellEnd"/>
      <w:r w:rsidRPr="002743CF">
        <w:rPr>
          <w:lang w:val="ru-RU"/>
        </w:rPr>
        <w:t xml:space="preserve"> </w:t>
      </w:r>
      <w:r>
        <w:t>V</w:t>
      </w:r>
      <w:r w:rsidRPr="002743CF">
        <w:rPr>
          <w:lang w:val="ru-RU"/>
        </w:rPr>
        <w:t>250</w:t>
      </w:r>
      <w:r>
        <w:t>XT</w:t>
      </w:r>
      <w:r w:rsidRPr="002743CF">
        <w:rPr>
          <w:lang w:val="ru-RU"/>
        </w:rPr>
        <w:t xml:space="preserve"> в </w:t>
      </w:r>
      <w:r>
        <w:t>TIA</w:t>
      </w:r>
      <w:r w:rsidRPr="002743CF">
        <w:rPr>
          <w:lang w:val="ru-RU"/>
        </w:rPr>
        <w:t xml:space="preserve"> </w:t>
      </w:r>
      <w:r>
        <w:t>Portal</w:t>
      </w:r>
      <w:r w:rsidRPr="002743CF">
        <w:rPr>
          <w:lang w:val="ru-RU"/>
        </w:rPr>
        <w:t xml:space="preserve"> </w:t>
      </w:r>
      <w:r>
        <w:t>V</w:t>
      </w:r>
      <w:r w:rsidRPr="002743CF">
        <w:rPr>
          <w:lang w:val="ru-RU"/>
        </w:rPr>
        <w:t>19[66].</w:t>
      </w:r>
    </w:p>
    <w:p w14:paraId="532B8655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Однако глубже любого отдельного отказа лежит несопоставимость временных семантик. Документация </w:t>
      </w:r>
      <w:r>
        <w:t>ABB</w:t>
      </w:r>
      <w:r w:rsidRPr="002743CF">
        <w:rPr>
          <w:lang w:val="ru-RU"/>
        </w:rPr>
        <w:t xml:space="preserve"> поясняет, что время имитации в </w:t>
      </w:r>
      <w:r>
        <w:t>RobotStudio</w:t>
      </w:r>
      <w:r w:rsidRPr="002743CF">
        <w:rPr>
          <w:lang w:val="ru-RU"/>
        </w:rPr>
        <w:t xml:space="preserve"> управляется одним из двух режимов — </w:t>
      </w:r>
      <w:r>
        <w:t>Free</w:t>
      </w:r>
      <w:r w:rsidRPr="002743CF">
        <w:rPr>
          <w:lang w:val="ru-RU"/>
        </w:rPr>
        <w:t xml:space="preserve"> </w:t>
      </w:r>
      <w:r>
        <w:t>runtime</w:t>
      </w:r>
      <w:r w:rsidRPr="002743CF">
        <w:rPr>
          <w:lang w:val="ru-RU"/>
        </w:rPr>
        <w:t xml:space="preserve"> или </w:t>
      </w:r>
      <w:r>
        <w:t>Time</w:t>
      </w:r>
      <w:r w:rsidRPr="002743CF">
        <w:rPr>
          <w:lang w:val="ru-RU"/>
        </w:rPr>
        <w:t xml:space="preserve"> </w:t>
      </w:r>
      <w:r>
        <w:t>slice</w:t>
      </w:r>
      <w:r w:rsidRPr="002743CF">
        <w:rPr>
          <w:lang w:val="ru-RU"/>
        </w:rPr>
        <w:t xml:space="preserve">, — причём в режиме </w:t>
      </w:r>
      <w:r>
        <w:t>Free</w:t>
      </w:r>
      <w:r w:rsidRPr="002743CF">
        <w:rPr>
          <w:lang w:val="ru-RU"/>
        </w:rPr>
        <w:t xml:space="preserve"> </w:t>
      </w:r>
      <w:r>
        <w:t>runtime</w:t>
      </w:r>
      <w:r w:rsidRPr="002743CF">
        <w:rPr>
          <w:lang w:val="ru-RU"/>
        </w:rPr>
        <w:t xml:space="preserve"> «моменты установки сигналов и запуска событий могут быть неточными»[64]; по оценке </w:t>
      </w:r>
      <w:r>
        <w:t>ABB</w:t>
      </w:r>
      <w:r w:rsidRPr="002743CF">
        <w:rPr>
          <w:lang w:val="ru-RU"/>
        </w:rPr>
        <w:t xml:space="preserve">, время выполнения программы в имитации и на реальном роботе различается в пределах нескольких процентов, но эта оценка относится к времени цикла, а не к временной последовательности уровня цикла[65]. Напротив, ПЛК выполняет задачи жёсткого реального времени. Связь между ними обеспечивается сессией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</w:t>
      </w:r>
      <w:r>
        <w:t>TCP</w:t>
      </w:r>
      <w:r w:rsidRPr="002743CF">
        <w:rPr>
          <w:lang w:val="ru-RU"/>
        </w:rPr>
        <w:t xml:space="preserve">, не обладающей детерминизмом: спецификация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не задаёт нижнюю границу интервала публикации[54], тогда как промышленные реализации её задают — </w:t>
      </w:r>
      <w:proofErr w:type="spellStart"/>
      <w:r>
        <w:t>PLCnext</w:t>
      </w:r>
      <w:proofErr w:type="spellEnd"/>
      <w:r w:rsidRPr="002743CF">
        <w:rPr>
          <w:lang w:val="ru-RU"/>
        </w:rPr>
        <w:t xml:space="preserve"> фирмы </w:t>
      </w:r>
      <w:r>
        <w:t>Phoenix</w:t>
      </w:r>
      <w:r w:rsidRPr="002743CF">
        <w:rPr>
          <w:lang w:val="ru-RU"/>
        </w:rPr>
        <w:t xml:space="preserve"> </w:t>
      </w:r>
      <w:r>
        <w:t>Contact</w:t>
      </w:r>
      <w:r w:rsidRPr="002743CF">
        <w:rPr>
          <w:lang w:val="ru-RU"/>
        </w:rPr>
        <w:t xml:space="preserve"> требует интервала публикации не менее 20 мс, а </w:t>
      </w:r>
      <w:r w:rsidRPr="002743CF">
        <w:rPr>
          <w:lang w:val="ru-RU"/>
        </w:rPr>
        <w:lastRenderedPageBreak/>
        <w:t xml:space="preserve">пример в руководстве по связи </w:t>
      </w:r>
      <w:r>
        <w:t>S</w:t>
      </w:r>
      <w:r w:rsidRPr="002743CF">
        <w:rPr>
          <w:lang w:val="ru-RU"/>
        </w:rPr>
        <w:t xml:space="preserve">7-1500 фирмы </w:t>
      </w:r>
      <w:r>
        <w:t>Siemens</w:t>
      </w:r>
      <w:r w:rsidRPr="002743CF">
        <w:rPr>
          <w:lang w:val="ru-RU"/>
        </w:rPr>
        <w:t xml:space="preserve"> использует 50 мс[54,72]. Детерминизм на уровне ниже миллисекунды должен обеспечиваться механизмом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</w:t>
      </w:r>
      <w:proofErr w:type="spellStart"/>
      <w:r>
        <w:t>PubSub</w:t>
      </w:r>
      <w:proofErr w:type="spellEnd"/>
      <w:r w:rsidRPr="002743CF">
        <w:rPr>
          <w:lang w:val="ru-RU"/>
        </w:rPr>
        <w:t xml:space="preserve"> совместно с сетью, чувствительной ко времени, для которой в литературе приводится время кругового обмена порядка 1–2,5 мс[23]; в то же время цикл полевой шины жёсткого реального времени </w:t>
      </w:r>
      <w:proofErr w:type="spellStart"/>
      <w:r>
        <w:t>EtherCAT</w:t>
      </w:r>
      <w:proofErr w:type="spellEnd"/>
      <w:r w:rsidRPr="002743CF">
        <w:rPr>
          <w:lang w:val="ru-RU"/>
        </w:rPr>
        <w:t xml:space="preserve"> достигает 12,5 мкс[75]. Отсюда возникает структурное противоречие: к детерминированному каналу имитатор не подключается, а канал, к которому он подключается, детерминизмом не обладает.</w:t>
      </w:r>
    </w:p>
    <w:p w14:paraId="47CD58F3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Данный вывод не является принадлежностью только настоящей работы. В обосновании национального стандарта «Виртуальный ввод в эксплуатацию и методы моделирования цифрового двойника промышленного робота» (план № 20263910-</w:t>
      </w:r>
      <w:r>
        <w:t>T</w:t>
      </w:r>
      <w:r w:rsidRPr="002743CF">
        <w:rPr>
          <w:lang w:val="ru-RU"/>
        </w:rPr>
        <w:t>-604) прямо указано, что в отрасли форматы цифровых двойников разных производителей несовместимы, механизм синхронизации виртуального и физического представлений не унифицирован, общепризнанных критериев оценки точности результатов имитации нет, вследствие чего результаты виртуального ввода в эксплуатацию существенно расходятся с фактической работой на площадке, а стоимость промышленного внедрения остаётся высокой[60]. Отмеченная отраслью проблематика полностью совпадает с объектом анализа настоящей работы.</w:t>
      </w:r>
    </w:p>
    <w:p w14:paraId="2BDA3599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1.1.5 Техническое зрение переводит ячейку от «воспроизведения» к «очувствлению» и вводит новые ограничения по точности и такту</w:t>
      </w:r>
    </w:p>
    <w:p w14:paraId="6D4707D2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Если виртуальный ввод в эксплуатацию отвечает на вопрос «верна ли логика управления», то техническое зрение отвечает на вопрос «где находится объект». Промышленное применение технического зрения для очувствления роботов освещено в систематическом сравнительном обзоре, охватывающем границы применимости двумерного и трёхмерного зрения в задачах наведения[29]; методология калибровки «рука–глаз» также имеет отдельный обзор, задающий методическую основу отображения системы координат камеры в систему координат робота[30]. На стороне захвата методы оценки позы на основе сопоставления изображений и облаков точек непрерывно развиваются[31,32], а в последнее время появились и системные попытки непосредственного сопряжения двойника с визуальным взятием-укладкой[28].</w:t>
      </w:r>
    </w:p>
    <w:p w14:paraId="5903E9F1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Первое ограничение, вносимое техническим зрением, — точность, причём это ограничение легко интерпретировать ошибочно. Промышленные роботы, как правило, обладают высокой повторяемостью позиционирования: например, повторяемость позы </w:t>
      </w:r>
      <w:r>
        <w:t>UR</w:t>
      </w:r>
      <w:r w:rsidRPr="002743CF">
        <w:rPr>
          <w:lang w:val="ru-RU"/>
        </w:rPr>
        <w:t>5</w:t>
      </w:r>
      <w:r>
        <w:t>e</w:t>
      </w:r>
      <w:r w:rsidRPr="002743CF">
        <w:rPr>
          <w:lang w:val="ru-RU"/>
        </w:rPr>
        <w:t xml:space="preserve"> составляет ±0,03 мм и явно отнесена к стандарту </w:t>
      </w:r>
      <w:r>
        <w:t>ISO</w:t>
      </w:r>
      <w:r w:rsidRPr="002743CF">
        <w:rPr>
          <w:lang w:val="ru-RU"/>
        </w:rPr>
        <w:t xml:space="preserve"> 9283[79]; однако его абсолютная точность типично составляет лишь 0,5–1,5 мм[81], то есть величины различаются на один–два порядка. Точность измерения трёхмерной камеры также зависит от методики: в соответствии с </w:t>
      </w:r>
      <w:r>
        <w:t>VDI</w:t>
      </w:r>
      <w:r w:rsidRPr="002743CF">
        <w:rPr>
          <w:lang w:val="ru-RU"/>
        </w:rPr>
        <w:t>/</w:t>
      </w:r>
      <w:r>
        <w:t>VDE</w:t>
      </w:r>
      <w:r w:rsidRPr="002743CF">
        <w:rPr>
          <w:lang w:val="ru-RU"/>
        </w:rPr>
        <w:t xml:space="preserve"> 2634, часть 2, точность измерения разных моделей лежит в диапазоне от 0,1 мм при рабочем расстоянии 0,5 м до 3,0 мм при рабочем расстоянии 3,0 м, то есть различается в 30 раз, причём официальные условия испытаний предусматривают белую керамическую пластину и полностью отключённую постобработку облака точек[76]. Следовательно, нижняя граница погрешности калибровки «рука–глаз» определяется абсолютной, а не повторяемостной точностью, и </w:t>
      </w:r>
      <w:r w:rsidRPr="002743CF">
        <w:rPr>
          <w:lang w:val="ru-RU"/>
        </w:rPr>
        <w:lastRenderedPageBreak/>
        <w:t>сообщение только о невязке перепроецирования при калибровке не тождественно реальной погрешности позиционирования схвата.</w:t>
      </w:r>
    </w:p>
    <w:p w14:paraId="063296B3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Второе ограничение — такт, причём он образует с точностью содержательный компромисс. В открытом эталоне оценки шестимерной позы </w:t>
      </w:r>
      <w:r>
        <w:t>BOP</w:t>
      </w:r>
      <w:r w:rsidRPr="002743CF">
        <w:rPr>
          <w:lang w:val="ru-RU"/>
        </w:rPr>
        <w:t xml:space="preserve"> </w:t>
      </w:r>
      <w:r>
        <w:t>Challenge</w:t>
      </w:r>
      <w:r w:rsidRPr="002743CF">
        <w:rPr>
          <w:lang w:val="ru-RU"/>
        </w:rPr>
        <w:t xml:space="preserve"> 2024 инженерно ориентированный метод обеспечивает 0,8 с на кадр, тогда как высокоточный метод требует 24,9 с на кадр, то есть различие составляет 31 раз[26]; время однократного съёма большинства моделей камер составляет 0,5–1,1 с, а у новых моделей снижается до 0,08 с[76]. В сумме зрительное звено на одно изделие составляет примерно 0,9–26 с. Для сравнения, реально развёрнутая сортировка изделий в прозрачных пакетах обеспечивает средний такт менее 15 с на изделие[80], а решение для разбора штабелей на основе искусственного интеллекта по заявлению производителя достигает 1 300 коробок в час при точности около 5 мм и успешности захвата до 99,7 %[77]. Данные показывают, что высокоточные методы в принципе не вписываются в производственную линию, а инженерно ориентированные методы с учётом времени съёма уже практически исчерпывают бюджет такта рабочей позиции. Кроме того, при переносе замкнутого контура на беспроводную и граничную инфраструктуру эксперимент с роботизированной ячейкой, управляемой через граничные облачные вычисления 5</w:t>
      </w:r>
      <w:r>
        <w:t>G</w:t>
      </w:r>
      <w:r w:rsidRPr="002743CF">
        <w:rPr>
          <w:lang w:val="ru-RU"/>
        </w:rPr>
        <w:t xml:space="preserve"> на основе </w:t>
      </w:r>
      <w:r>
        <w:t>MQTT</w:t>
      </w:r>
      <w:r w:rsidRPr="002743CF">
        <w:rPr>
          <w:lang w:val="ru-RU"/>
        </w:rPr>
        <w:t xml:space="preserve"> и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, показал увеличение времени производственного цикла на 8–9 % по сравнению с базовым уровнем для проводного </w:t>
      </w:r>
      <w:r>
        <w:t>Ethernet</w:t>
      </w:r>
      <w:r w:rsidRPr="002743CF">
        <w:rPr>
          <w:lang w:val="ru-RU"/>
        </w:rPr>
        <w:t>[22]: затраты на очувствление и связь в конечном счёте пересчитываются в такт.</w:t>
      </w:r>
    </w:p>
    <w:p w14:paraId="5DCC03D4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1.1.6 Резюме: в точке пересечения трёх линий существует реальный пробел</w:t>
      </w:r>
    </w:p>
    <w:p w14:paraId="76BBBBB2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Итак, цифровой двойник предоставляет парадигму отображения виртуального на физическое, виртуальный ввод в эксплуатацию — инженерное средство предварительной проверки кода управления, техническое зрение — способность ячейки воспринимать внешние изделия; каждое из трёх направлений уже располагает достаточно зрелым массивом литературы и стандартной поддержкой. Однако слияние трёх линий на масштабе роботизированной ячейки ещё не завершено: исследования двойников сосредоточены на парадигме моделирования и архитектуре системы, исследования виртуального ввода в эксплуатацию — на верификации программного обеспечения управления, исследования зрения — на точности и робастности алгоритмов, тогда как работ, действительно включающих технологическую цепочку «визуальная сортировка — классификация — сборка» в единый цифровой двойник робота и отлаживающих её совместно с ПЛК, по-прежнему мало. Этот пробел является как объектом настоящего исследования, так и источником его значимости.</w:t>
      </w:r>
    </w:p>
    <w:p w14:paraId="1B1C9A25" w14:textId="77777777" w:rsidR="007638B4" w:rsidRPr="002743CF" w:rsidRDefault="00000000">
      <w:pPr>
        <w:pStyle w:val="21"/>
        <w:spacing w:after="120"/>
        <w:rPr>
          <w:lang w:val="ru-RU"/>
        </w:rPr>
      </w:pPr>
      <w:r w:rsidRPr="002743CF">
        <w:rPr>
          <w:rFonts w:ascii="Times New Roman" w:eastAsia="黑体" w:hAnsi="Times New Roman"/>
          <w:sz w:val="28"/>
          <w:lang w:val="ru-RU"/>
        </w:rPr>
        <w:t>1.2 Значимость исследования</w:t>
      </w:r>
    </w:p>
    <w:p w14:paraId="3352484C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1.2.1 Теоретическая значимость</w:t>
      </w:r>
    </w:p>
    <w:p w14:paraId="76AC50B1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 xml:space="preserve">(1) Устранение разобщённости трёх исследовательских линий и построение единой аналитической рамки. Существующие работы сформировали собственные парадигмы и </w:t>
      </w:r>
      <w:r w:rsidRPr="002743CF">
        <w:rPr>
          <w:lang w:val="ru-RU"/>
        </w:rPr>
        <w:lastRenderedPageBreak/>
        <w:t>способы оценки в области моделирования двойников, виртуального ввода в эксплуатацию и алгоритмов зрения, однако отсутствует рамка, рассматривающая все три направления в пределах одной ячейки и на единой временной основе. В настоящей работе в качестве объекта принята роботизированная ячейка визуальной сортировки и сборки, а принципы моделирования, коммуникационные каналы, зрительное звено и критерии оценки сведены в единую аналитическую структуру, что даёт воспроизводимый способ организации таких систем.</w:t>
      </w:r>
    </w:p>
    <w:p w14:paraId="4BA08246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(2) Перевод «несопоставимости временных семантик различных доменов» из инженерного наблюдения в доказуемое положение. Согласованность виртуального и физического долгое время описывалась расплывчатой формулировкой «большая задержка»; опираясь на три группы свидетельств — режимы виртуального времени имитатора, циклы жёсткого реального времени ПЛК и нижние границы интервала публикации на протокольном уровне, — работа показывает, что суть проблемы состоит не в величине задержки, а в отсутствии единой временной основы для трёх временных доменов. Благодаря этому вопрос «какие функции можно включить в двойник, а какие нельзя» становится разрешимым, а не решается на основе опыта.</w:t>
      </w:r>
    </w:p>
    <w:p w14:paraId="67B28787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(3) Формулирование отчётливой методики показателей согласованности виртуального и физического. В работе обосновывается необходимость послойного представления точности, а именно последовательного разграничения повторяемости позиционирования робота, абсолютной точности, дополнительной погрешности калибровки «рука–глаз» и точности измерения камеры с явным указанием методики и условий испытаний каждого слоя; такая послойная модель даёт операционализируемую структуру показателей для количественной оценки согласованности виртуального и физического и создаёт основу для обсуждения последующей унификации критериев.</w:t>
      </w:r>
    </w:p>
    <w:p w14:paraId="4706268D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(4) Выделение трёх пробелов, в которых имеются единичные методики, но отсутствует единый стандарт. Оценка достоверности цифрового двойника, детерминированный показатель задержки синхронизации виртуального и физического, а также количественные критерии разрыва между моделью и реальностью в настоящее время обсуждаются лишь на уровне отдельных случаев и не имеют пригодных для цитирования унифицированных норм; мотивы разработки национального стандарта подтверждают это состояние[60]. Явное выделение указанных пробелов формирует перечень задач для последующих исследований и исключает подмену универсальных базовых значений показателями отдельных примеров.</w:t>
      </w:r>
    </w:p>
    <w:p w14:paraId="5201C743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1.2.2 Практическая значимость</w:t>
      </w:r>
    </w:p>
    <w:p w14:paraId="29463F97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 xml:space="preserve">(1) Снижение затрат на отладку и физических рисков. Виртуальный ввод в эксплуатацию позволяет устранить до 70 % ошибок программного обеспечения ещё до монтажа оборудования[19]; в примере на платформе </w:t>
      </w:r>
      <w:r>
        <w:t>RobotStudio</w:t>
      </w:r>
      <w:r w:rsidRPr="002743CF">
        <w:rPr>
          <w:lang w:val="ru-RU"/>
        </w:rPr>
        <w:t xml:space="preserve"> после оптимизации последовательности операций время цикла сократилось на 30 %, энергопотребление — на </w:t>
      </w:r>
      <w:r w:rsidRPr="002743CF">
        <w:rPr>
          <w:lang w:val="ru-RU"/>
        </w:rPr>
        <w:lastRenderedPageBreak/>
        <w:t>3 %, а столкновение в общем рабочем пространстве было выявлено заранее в виртуальной среде[15]. Для ячеек, характерных мелкосерийным многономенклатурным производством, эта способность непосредственно сокращает сроки и затраты на переделки.</w:t>
      </w:r>
    </w:p>
    <w:p w14:paraId="07024D10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 xml:space="preserve">(2) Поддержка комплексной отладки технологической цепочки «визуальная сортировка — классификация — сборка». Существующие работы в контексте </w:t>
      </w:r>
      <w:r>
        <w:t>RobotStudio</w:t>
      </w:r>
      <w:r w:rsidRPr="002743CF">
        <w:rPr>
          <w:lang w:val="ru-RU"/>
        </w:rPr>
        <w:t xml:space="preserve"> относятся преимущественно к единичным функциональным рабочим станциям, а переключение технологических ветвей и переход операций под управлением результатов зрения не имеют воспроизводимого способа кодирования. В ячейке, рассматриваемой в настоящей работе, результаты зрения кодируются номером операции и включаются в единый сигнальный контракт, благодаря чему передача позы захвата средствами зрения во время выполнения становится штатным процессом внутри двойника и обладает ценностью прямой переносимости на однотипные ячейки.</w:t>
      </w:r>
    </w:p>
    <w:p w14:paraId="7E53240B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(3) Согласование с действующими национальными стандартами. Зрительное звено может быть согласовано с «Промышленные роботы. Системы трёхмерного технического зрения. Общие технические требования» (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45501—2025)[38], коммуникация управления — с «Промышленные роботы. Спецификация открытых коммуникационных интерфейсов контроллера» (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32197—2025)[43], рамка двойника — с серией 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45616, идентичной </w:t>
      </w:r>
      <w:r>
        <w:t>ISO</w:t>
      </w:r>
      <w:r w:rsidRPr="002743CF">
        <w:rPr>
          <w:lang w:val="ru-RU"/>
        </w:rPr>
        <w:t xml:space="preserve"> 23247[39,40]. В то же время «Общие требования к системам офлайн-программирования промышленных роботов» (план № 20250658-</w:t>
      </w:r>
      <w:r>
        <w:t>T</w:t>
      </w:r>
      <w:r w:rsidRPr="002743CF">
        <w:rPr>
          <w:lang w:val="ru-RU"/>
        </w:rPr>
        <w:t>-604) находятся на стадии разработки, что свидетельствует об отсутствии действующего национального стандарта в области офлайн-программирования; практика настоящей работы может послужить инженерным образцом для стандартизации в этом направлении.</w:t>
      </w:r>
    </w:p>
    <w:p w14:paraId="569AB3E7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(4) Формирование проверяемого количественного базиса для бюджета такта производственной линии. Приведённые в работе время съёма камеры, длительность вывода позы и такт реального развёртывания образуют сопоставимую количественную цепочку, благодаря чему вопрос «может ли зрение войти в замкнутый контур реального времени» перестаёт зависеть от качественного суждения и может рассчитываться напрямую по длительности отдельных этапов и бюджету рабочей позиции.</w:t>
      </w:r>
    </w:p>
    <w:p w14:paraId="07F49324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(5) Возможность переноса в учебный и тренировочный процесс. Состав оборудования, количество сигналов и процедура отладки ячейки сортировки и сборки близки к тренажёрам виртуального ввода в эксплуатацию в профессиональных учебных заведениях, а отладка в форме двойника позволяет снизить занятость физического оборудования в учебном процессе.</w:t>
      </w:r>
    </w:p>
    <w:p w14:paraId="4CBD86F9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1.2.3 Актуальность и своевременность темы</w:t>
      </w:r>
    </w:p>
    <w:p w14:paraId="1DEFCF75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С производственной стороны Китай стал крупнейшим в мире рынком промышленных роботов: действующий парк в 2024 г. достиг 2,03 млн ед., а новые установки в 2025 г. составили </w:t>
      </w:r>
      <w:r w:rsidRPr="002743CF">
        <w:rPr>
          <w:lang w:val="ru-RU"/>
        </w:rPr>
        <w:lastRenderedPageBreak/>
        <w:t>около 59 % мирового объёма[82], поэтому даже небольшое повышение эффективности отладки на уровне ячейки многократно усиливается на таком масштабе.</w:t>
      </w:r>
    </w:p>
    <w:p w14:paraId="13F67C8B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В области политики План действий по применению «Робот+» прямо требует разработки новых роботов для сборки и продвижения типовых сценариев применения[56], а «Мнения Государственного совета КНР об углублённой реализации действий „ИИ+“» требуют усиления интеллектуального восприятия и способности к выработке и исполнению решений в промышленных системах[57]; два документа называют соответственно «сборку» и «интеллектуальное восприятие», и настоящая тема находится ровно в точке их пересечения.</w:t>
      </w:r>
    </w:p>
    <w:p w14:paraId="7214AD72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С точки зрения стандартизации непосредственно соответствующая теме работа — национальный стандарт «Виртуальный ввод в эксплуатацию и методы моделирования цифрового двойника промышленного робота» — получила план лишь 30 июля 2026 г. и находится в стадии разработки[60], тогда как национальный стандарт на системы трёхмерного технического зрения уже введён в действие 1 октября 2025 г.[38]. Это означает, что нормативное окно открывается: пригодные для цитирования обоснования уже имеются, а методическая норма, специально посвящённая виртуальному вводу в эксплуатацию и методам имитации, ещё формируется, и проведение систематического исследования с накоплением инженерных свидетельств именно сейчас имеет отчётливую временную ценность.</w:t>
      </w:r>
    </w:p>
    <w:p w14:paraId="1E4EDD29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С академической стороны библиометрический анализ в главе 2 показывает, что публикаций, одновременно охватывающих шесть элементов — </w:t>
      </w:r>
      <w:r>
        <w:t>RobotStudio</w:t>
      </w:r>
      <w:r w:rsidRPr="002743CF">
        <w:rPr>
          <w:lang w:val="ru-RU"/>
        </w:rPr>
        <w:t>, цифровой двойник, техническое зрение, ПЛК, сортировку и сборку, — до сих пор не появилось, а при рассмотрении данного подраздела методом кластеризации цитирований устойчивое научное сообщество не сформировалось. Одновременное наличие пробела и потребности и составляет обоснование выбора темы.</w:t>
      </w:r>
    </w:p>
    <w:p w14:paraId="5287335A" w14:textId="77777777" w:rsidR="007638B4" w:rsidRPr="002743CF" w:rsidRDefault="00000000">
      <w:pPr>
        <w:pStyle w:val="21"/>
        <w:spacing w:after="120"/>
        <w:rPr>
          <w:lang w:val="ru-RU"/>
        </w:rPr>
      </w:pPr>
      <w:r w:rsidRPr="002743CF">
        <w:rPr>
          <w:rFonts w:ascii="Times New Roman" w:eastAsia="黑体" w:hAnsi="Times New Roman"/>
          <w:sz w:val="28"/>
          <w:lang w:val="ru-RU"/>
        </w:rPr>
        <w:t>1.3 Содержание исследования и структура работы</w:t>
      </w:r>
    </w:p>
    <w:p w14:paraId="27C9EC26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1.3.1 Содержание исследования</w:t>
      </w:r>
    </w:p>
    <w:p w14:paraId="0875293A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 xml:space="preserve">Работа посвящена цифровому двойнику роботизированной ячейки визуальной сортировки и сборки на базе </w:t>
      </w:r>
      <w:r>
        <w:t>RobotStudio</w:t>
      </w:r>
      <w:r w:rsidRPr="002743CF">
        <w:rPr>
          <w:lang w:val="ru-RU"/>
        </w:rPr>
        <w:t xml:space="preserve"> и включает три взаимосвязанные части.</w:t>
      </w:r>
    </w:p>
    <w:p w14:paraId="11BB4B1F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(1) Метод моделирования и интеграции двойника ячейки. Исходя из принципа отображения «один к одному» физического компонента на цифровой, строится виртуальная ячейка с интерфейсами, идентичными реальному оборудованию, определяются набор сигналов зрительного звена и механизм передачи позы во время выполнения, а также устанавливается способ кодирования перехода операций под управлением результатов зрения.</w:t>
      </w:r>
    </w:p>
    <w:p w14:paraId="593DAED0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 xml:space="preserve">(2) Проектирование и проверка канала связи виртуального и физического. Основным маршрутом принят клиентский компонент </w:t>
      </w:r>
      <w:r>
        <w:t>Smart</w:t>
      </w:r>
      <w:r w:rsidRPr="002743CF">
        <w:rPr>
          <w:lang w:val="ru-RU"/>
        </w:rPr>
        <w:t xml:space="preserve"> </w:t>
      </w:r>
      <w:r>
        <w:t>Component</w:t>
      </w:r>
      <w:r w:rsidRPr="002743CF">
        <w:rPr>
          <w:lang w:val="ru-RU"/>
        </w:rPr>
        <w:t xml:space="preserve">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в </w:t>
      </w:r>
      <w:r>
        <w:t>RobotStudio</w:t>
      </w:r>
      <w:r w:rsidRPr="002743CF">
        <w:rPr>
          <w:lang w:val="ru-RU"/>
        </w:rPr>
        <w:t xml:space="preserve"> с подключением виртуального ПЛК и использованием на семантическом уровне </w:t>
      </w:r>
      <w:r w:rsidRPr="002743CF">
        <w:rPr>
          <w:lang w:val="ru-RU"/>
        </w:rPr>
        <w:lastRenderedPageBreak/>
        <w:t xml:space="preserve">информационных моделей </w:t>
      </w:r>
      <w:r>
        <w:t>OPC</w:t>
      </w:r>
      <w:r w:rsidRPr="002743CF">
        <w:rPr>
          <w:lang w:val="ru-RU"/>
        </w:rPr>
        <w:t xml:space="preserve"> </w:t>
      </w:r>
      <w:r>
        <w:t>UA</w:t>
      </w:r>
      <w:r w:rsidRPr="002743CF">
        <w:rPr>
          <w:lang w:val="ru-RU"/>
        </w:rPr>
        <w:t xml:space="preserve"> для робототехники и машин; для канала выполняются измерения и послойная оценка задержки, детерминизма и масштабируемости.</w:t>
      </w:r>
    </w:p>
    <w:p w14:paraId="2E685780" w14:textId="77777777" w:rsidR="007638B4" w:rsidRPr="002743CF" w:rsidRDefault="00000000">
      <w:pPr>
        <w:spacing w:after="60"/>
        <w:ind w:left="420"/>
        <w:rPr>
          <w:lang w:val="ru-RU"/>
        </w:rPr>
      </w:pPr>
      <w:r w:rsidRPr="002743CF">
        <w:rPr>
          <w:lang w:val="ru-RU"/>
        </w:rPr>
        <w:t>(3) Количественная оценка точности и такта. Строится послойная модель погрешностей, приводятся процедура и показатели точности калибровки камеры и калибровки «рука–глаз», измеряется длительность отдельных этапов зрительного звена, на основании чего рассчитывается бюджет такта ячейки и формируются отчётливые показатели согласованности виртуального и физического.</w:t>
      </w:r>
    </w:p>
    <w:p w14:paraId="73F19F97" w14:textId="77777777" w:rsidR="007638B4" w:rsidRPr="002743CF" w:rsidRDefault="00000000">
      <w:pPr>
        <w:pStyle w:val="31"/>
        <w:spacing w:before="160" w:after="80"/>
        <w:rPr>
          <w:lang w:val="ru-RU"/>
        </w:rPr>
      </w:pPr>
      <w:r w:rsidRPr="002743CF">
        <w:rPr>
          <w:rFonts w:ascii="Times New Roman" w:eastAsia="黑体" w:hAnsi="Times New Roman"/>
          <w:sz w:val="24"/>
          <w:lang w:val="ru-RU"/>
        </w:rPr>
        <w:t>1.3.2 Структура работы</w:t>
      </w:r>
    </w:p>
    <w:p w14:paraId="178458BF" w14:textId="77777777" w:rsidR="007638B4" w:rsidRPr="002743CF" w:rsidRDefault="00000000">
      <w:pPr>
        <w:spacing w:after="0"/>
        <w:ind w:firstLine="420"/>
        <w:rPr>
          <w:lang w:val="ru-RU"/>
        </w:rPr>
      </w:pPr>
      <w:r w:rsidRPr="002743CF">
        <w:rPr>
          <w:lang w:val="ru-RU"/>
        </w:rPr>
        <w:t>В главе 1 изложены предпосылки и значимость исследования и определены его границы; в главе 2 с четырёх позиций — моделирование цифровых двойников, техническое зрение и калибровка, связь с ПЛК и виртуальный ввод в эксплуатацию, применение и верификация — систематизировано современное состояние исследований и выведена точка входа настоящей работы; в главе 3 строится модель двойника ячейки и проектируется схема интеграции зрения и ПЛК; в главе 4 приводится реализация канала связи виртуального и физического и результаты измерения задержки; в главе 5 выполняется количественная оценка точности и такта и экспериментальная верификация; в главе 6 подводятся итоги работы, указываются её ограничения и направления дальнейших исследований.</w:t>
      </w:r>
    </w:p>
    <w:p w14:paraId="4B4D58A6" w14:textId="77777777" w:rsidR="007638B4" w:rsidRPr="002743CF" w:rsidRDefault="00000000">
      <w:pPr>
        <w:rPr>
          <w:lang w:val="ru-RU"/>
        </w:rPr>
      </w:pPr>
      <w:r w:rsidRPr="002743CF">
        <w:rPr>
          <w:lang w:val="ru-RU"/>
        </w:rPr>
        <w:br w:type="page"/>
      </w:r>
    </w:p>
    <w:p w14:paraId="714EBA29" w14:textId="77777777" w:rsidR="007638B4" w:rsidRPr="002743CF" w:rsidRDefault="00000000">
      <w:pPr>
        <w:pStyle w:val="1"/>
        <w:spacing w:before="120" w:after="240"/>
        <w:jc w:val="center"/>
        <w:rPr>
          <w:lang w:val="ru-RU"/>
        </w:rPr>
      </w:pPr>
      <w:r w:rsidRPr="002743CF">
        <w:rPr>
          <w:rFonts w:ascii="Times New Roman" w:eastAsia="黑体" w:hAnsi="Times New Roman"/>
          <w:sz w:val="32"/>
          <w:lang w:val="ru-RU"/>
        </w:rPr>
        <w:lastRenderedPageBreak/>
        <w:t>Литература, цитируемая в главе</w:t>
      </w:r>
    </w:p>
    <w:p w14:paraId="202CFF4E" w14:textId="77777777" w:rsidR="007638B4" w:rsidRDefault="00000000">
      <w:pPr>
        <w:spacing w:after="60"/>
        <w:ind w:left="420" w:hanging="420"/>
      </w:pPr>
      <w:r w:rsidRPr="002743CF">
        <w:rPr>
          <w:lang w:val="ru-RU"/>
        </w:rPr>
        <w:t xml:space="preserve">[1] </w:t>
      </w:r>
      <w:r>
        <w:t>Kritzinger</w:t>
      </w:r>
      <w:r w:rsidRPr="002743CF">
        <w:rPr>
          <w:lang w:val="ru-RU"/>
        </w:rPr>
        <w:t xml:space="preserve"> </w:t>
      </w:r>
      <w:r>
        <w:t>W</w:t>
      </w:r>
      <w:r w:rsidRPr="002743CF">
        <w:rPr>
          <w:lang w:val="ru-RU"/>
        </w:rPr>
        <w:t xml:space="preserve">, </w:t>
      </w:r>
      <w:r>
        <w:t>Karner</w:t>
      </w:r>
      <w:r w:rsidRPr="002743CF">
        <w:rPr>
          <w:lang w:val="ru-RU"/>
        </w:rPr>
        <w:t xml:space="preserve"> </w:t>
      </w:r>
      <w:r>
        <w:t>M</w:t>
      </w:r>
      <w:r w:rsidRPr="002743CF">
        <w:rPr>
          <w:lang w:val="ru-RU"/>
        </w:rPr>
        <w:t xml:space="preserve">, </w:t>
      </w:r>
      <w:proofErr w:type="spellStart"/>
      <w:r>
        <w:t>Traar</w:t>
      </w:r>
      <w:proofErr w:type="spellEnd"/>
      <w:r w:rsidRPr="002743CF">
        <w:rPr>
          <w:lang w:val="ru-RU"/>
        </w:rPr>
        <w:t xml:space="preserve"> </w:t>
      </w:r>
      <w:r>
        <w:t>G</w:t>
      </w:r>
      <w:r w:rsidRPr="002743CF">
        <w:rPr>
          <w:lang w:val="ru-RU"/>
        </w:rPr>
        <w:t xml:space="preserve">, и др. </w:t>
      </w:r>
      <w:r>
        <w:t>Digital Twin in manufacturing: A categorical literature review and classification[J]. IFAC-PapersOnLine, 2018. DOI: 10.1016/J.IFACOL.2018.08.474.</w:t>
      </w:r>
    </w:p>
    <w:p w14:paraId="794B03F6" w14:textId="77777777" w:rsidR="007638B4" w:rsidRDefault="00000000">
      <w:pPr>
        <w:spacing w:after="60"/>
        <w:ind w:left="420" w:hanging="420"/>
      </w:pPr>
      <w:r>
        <w:t>[2] Negri E, Fumagalli L, Macchi M. A Review of the Roles of Digital Twin in CPS-based Production Systems[J]. Procedia Manufacturing, 2017, 11: 939–948. DOI: 10.1016/j.promfg.2017.07.198.</w:t>
      </w:r>
    </w:p>
    <w:p w14:paraId="4DE3F026" w14:textId="77777777" w:rsidR="007638B4" w:rsidRDefault="00000000">
      <w:pPr>
        <w:spacing w:after="60"/>
        <w:ind w:left="420" w:hanging="420"/>
      </w:pPr>
      <w:r>
        <w:t>[4] Huang Z, Shen Y, Li J, и др. A Survey on AI-Driven Digital Twins in Industry 4.0: Smart Manufacturing and Advanced Robotics[J]. Sensors, 2021. DOI: 10.3390/s21196340.</w:t>
      </w:r>
    </w:p>
    <w:p w14:paraId="3C80BE57" w14:textId="77777777" w:rsidR="007638B4" w:rsidRDefault="00000000">
      <w:pPr>
        <w:spacing w:after="60"/>
        <w:ind w:left="420" w:hanging="420"/>
      </w:pPr>
      <w:r>
        <w:t>[5] Webb L, Tokhi OM, Alkan B. State of the art and future directions of digital twin-enabled smart assembly automation in discrete manufacturing industries[J]. International Journal of Computer Integrated Manufacturing, 2024. DOI: 10.1080/0951192X.2024.2387775.</w:t>
      </w:r>
    </w:p>
    <w:p w14:paraId="3212F5F5" w14:textId="77777777" w:rsidR="007638B4" w:rsidRDefault="00000000">
      <w:pPr>
        <w:spacing w:after="60"/>
        <w:ind w:left="420" w:hanging="420"/>
      </w:pPr>
      <w:r>
        <w:t>[6] Lattanzi L, Raffaeli R, Peruzzini M, и др. Digital twin for smart manufacturing: a review of concepts towards a practical industrial implementation[J]. International Journal of Computer Integrated Manufacturing, 2021. DOI: 10.1080/0951192X.2021.1911003.</w:t>
      </w:r>
    </w:p>
    <w:p w14:paraId="1C72967E" w14:textId="77777777" w:rsidR="007638B4" w:rsidRDefault="00000000">
      <w:pPr>
        <w:spacing w:after="60"/>
        <w:ind w:left="420" w:hanging="420"/>
      </w:pPr>
      <w:r>
        <w:t>[7] Boyes H, Watson T. Digital twins: An analysis framework and open issues[J]. Computers in Industry, 2022. DOI: 10.1016/j.compind.2022.103763.</w:t>
      </w:r>
    </w:p>
    <w:p w14:paraId="7304151F" w14:textId="77777777" w:rsidR="007638B4" w:rsidRDefault="00000000">
      <w:pPr>
        <w:spacing w:after="60"/>
        <w:ind w:left="420" w:hanging="420"/>
      </w:pPr>
      <w:r>
        <w:t>[8] Minerva R, Lee GM, Crespi N. Digital Twin in the IoT Context: A Survey on Technical Features, Scenarios, and Architectural Models[J]. Proceedings of the IEEE, 2020. DOI: 10.1109/JPROC.2020.2998530.</w:t>
      </w:r>
    </w:p>
    <w:p w14:paraId="7EAB2CAF" w14:textId="77777777" w:rsidR="007638B4" w:rsidRDefault="00000000">
      <w:pPr>
        <w:spacing w:after="60"/>
        <w:ind w:left="420" w:hanging="420"/>
      </w:pPr>
      <w:r>
        <w:t>[12] Mincă E, Filipescu A, Cernega D, и др. Digital Twin for a Multifunctional Technology of Flexible Assembly on a Mechatronics Line with Integrated Robotic Systems and Mobile Visual Sensor—Challenges towards Industry 5.0[J]. Sensors, 2022. DOI: 10.3390/s22218153.</w:t>
      </w:r>
    </w:p>
    <w:p w14:paraId="07DE4178" w14:textId="77777777" w:rsidR="007638B4" w:rsidRDefault="00000000">
      <w:pPr>
        <w:spacing w:after="60"/>
        <w:ind w:left="420" w:hanging="420"/>
      </w:pPr>
      <w:r>
        <w:t>[13] Židek K, Pitel' J, Adamek M, и др. Digital Twin of Experimental Smart Manufacturing Assembly System for Industry 4.0 Concept[J]. Sustainability, 2020. DOI: 10.3390/su12093658.</w:t>
      </w:r>
    </w:p>
    <w:p w14:paraId="748250DD" w14:textId="77777777" w:rsidR="007638B4" w:rsidRDefault="00000000">
      <w:pPr>
        <w:spacing w:after="60"/>
        <w:ind w:left="420" w:hanging="420"/>
      </w:pPr>
      <w:r>
        <w:t>[14] Konstantinov S, Assad F, Ahmad B, и др. Virtual Engineering and Commissioning to Support the Lifecycle of a Manufacturing Assembly System[J]. Machines, 2022. DOI: 10.3390/machines10100939.</w:t>
      </w:r>
    </w:p>
    <w:p w14:paraId="466517EF" w14:textId="77777777" w:rsidR="007638B4" w:rsidRDefault="00000000">
      <w:pPr>
        <w:spacing w:after="60"/>
        <w:ind w:left="420" w:hanging="420"/>
      </w:pPr>
      <w:r>
        <w:t>[15] Raffaeli R, Bilancia P, Neri F, и др. Engineering Method and Tool for the Complete Virtual Commissioning of Robotic Cells[J]. Applied Sciences, 2022. DOI: 10.3390/app12063164.</w:t>
      </w:r>
    </w:p>
    <w:p w14:paraId="2F540A29" w14:textId="77777777" w:rsidR="007638B4" w:rsidRDefault="00000000">
      <w:pPr>
        <w:spacing w:after="60"/>
        <w:ind w:left="420" w:hanging="420"/>
      </w:pPr>
      <w:r>
        <w:t>[16] Ionescu D, Filipescu A, Simion G, и др. Internet of Things-Cloud Control of a Robotic Cell Based on Inverse Kinematics, Hardware-in-the-Loop, Digital Twin, and Industry 4.0/5.0[J]. Sensors, 2025. DOI: 10.3390/s25061821.</w:t>
      </w:r>
    </w:p>
    <w:p w14:paraId="461694AC" w14:textId="77777777" w:rsidR="007638B4" w:rsidRDefault="00000000">
      <w:pPr>
        <w:spacing w:after="60"/>
        <w:ind w:left="420" w:hanging="420"/>
      </w:pPr>
      <w:r>
        <w:t>[18] Andrei A, Nicolescu F-A, Pupăză C, и др. Applicability of Virtual Commissioning Concepts in Industrial Robotics as a Solution for Compatibility Issues Between Virtual Simulation and Logic Control Software[J]. Applied Sciences, 2025, 15(4): 2033. DOI: 10.3390/app15042033.</w:t>
      </w:r>
    </w:p>
    <w:p w14:paraId="6B5252CA" w14:textId="77777777" w:rsidR="007638B4" w:rsidRDefault="00000000">
      <w:pPr>
        <w:spacing w:after="60"/>
        <w:ind w:left="420" w:hanging="420"/>
      </w:pPr>
      <w:r>
        <w:lastRenderedPageBreak/>
        <w:t>[19] Kuhn AM, May MC, Liu Y, и др. Towards narrowing the reality gap in electromechanical systems: error modeling in virtual commissioning[J]. Production Engineering, 2023, 17: 535–545. DOI: 10.1007/s11740-022-01160-9.</w:t>
      </w:r>
    </w:p>
    <w:p w14:paraId="503EF416" w14:textId="77777777" w:rsidR="007638B4" w:rsidRDefault="00000000">
      <w:pPr>
        <w:spacing w:after="60"/>
        <w:ind w:left="420" w:hanging="420"/>
      </w:pPr>
      <w:r>
        <w:t>[20] Ferle F, Chen S, Kuhn AM, и др. Continued use of virtual commissioning models: A novel approach toward digital twins for automated production systems[J]. The International Journal of Advanced Manufacturing Technology, 2026, 142: 4609–4626. DOI: 10.1007/s00170-025-17195-y.</w:t>
      </w:r>
    </w:p>
    <w:p w14:paraId="1A26CEA1" w14:textId="77777777" w:rsidR="007638B4" w:rsidRDefault="00000000">
      <w:pPr>
        <w:spacing w:after="60"/>
        <w:ind w:left="420" w:hanging="420"/>
      </w:pPr>
      <w:r>
        <w:t>[22] An Operational 5G Edge Cloud-Controlled Robotic Cell Environment Based on MQTT and OPC UA[C]. IEEE ICAR, 2023. DOI: 10.1109/ICAR58858.2023.10406936.</w:t>
      </w:r>
    </w:p>
    <w:p w14:paraId="5DD1B9C6" w14:textId="77777777" w:rsidR="007638B4" w:rsidRDefault="00000000">
      <w:pPr>
        <w:spacing w:after="60"/>
        <w:ind w:left="420" w:hanging="420"/>
      </w:pPr>
      <w:r>
        <w:t>[23] Tang, Ma'arof, Chala. Computer Numerical Control Machining Process Simulation in Brownfield Environments: Digital Twin, Artificial Intelligence Optimisation, and Implementation Roadmap[J]. Automation, 2026, 7(3): 66. DOI: 10.3390/automation7030066.</w:t>
      </w:r>
    </w:p>
    <w:p w14:paraId="51D0BF1D" w14:textId="77777777" w:rsidR="007638B4" w:rsidRDefault="00000000">
      <w:pPr>
        <w:spacing w:after="60"/>
        <w:ind w:left="420" w:hanging="420"/>
      </w:pPr>
      <w:r>
        <w:t>[25] Anghel M-C. A Digital Twin application for an assembly/disassembly flexible robotic cell assisted by ABB IRB 120 robotic manipulator generating the optimal trajectory for the smallest errors using RobotStudio[C]. IEEE ACDSA, 2025. DOI: 10.1109/ACDSA65407.2025.11166380.</w:t>
      </w:r>
    </w:p>
    <w:p w14:paraId="5040A1BD" w14:textId="77777777" w:rsidR="007638B4" w:rsidRDefault="00000000">
      <w:pPr>
        <w:spacing w:after="60"/>
        <w:ind w:left="420" w:hanging="420"/>
      </w:pPr>
      <w:r>
        <w:t>[26] Nguyen VN, Tyree S, Guo A, и др. BOP Challenge 2024 on Model-Based and Model-Free 6D Object Pose Estimation[EB/OL]. (2025)[15.10.2026]. https://arxiv.org/abs/2504.02812.</w:t>
      </w:r>
    </w:p>
    <w:p w14:paraId="5A89A035" w14:textId="77777777" w:rsidR="007638B4" w:rsidRDefault="00000000">
      <w:pPr>
        <w:spacing w:after="60"/>
        <w:ind w:left="420" w:hanging="420"/>
      </w:pPr>
      <w:r>
        <w:t>[28] Chen Z, Huang X, Qin X, и др. A digital-twin-driven vision-based robotic pick-and-place system[C]. ACM ICIAR, 2025. DOI: 10.1145/3778886.3778895.</w:t>
      </w:r>
    </w:p>
    <w:p w14:paraId="6CD3F535" w14:textId="77777777" w:rsidR="007638B4" w:rsidRDefault="00000000">
      <w:pPr>
        <w:spacing w:after="60"/>
        <w:ind w:left="420" w:hanging="420"/>
      </w:pPr>
      <w:r>
        <w:t>[29] Pérez L, Rodríguez Í, Rodríguez N, и др. Robot Guidance Using Machine Vision Techniques in Industrial Environments: A Comparative Review[J]. Sensors, 2016. DOI: 10.3390/s16030335.</w:t>
      </w:r>
    </w:p>
    <w:p w14:paraId="1A72D7EF" w14:textId="77777777" w:rsidR="007638B4" w:rsidRDefault="00000000">
      <w:pPr>
        <w:spacing w:after="60"/>
        <w:ind w:left="420" w:hanging="420"/>
      </w:pPr>
      <w:r>
        <w:t>[30] Enebuse I, Foo M, Ibrahim BSK, и др. A Comparative Review of Hand-Eye Calibration Techniques for Vision Guided Robots[J]. IEEE Access, 2021. DOI: 10.1109/ACCESS.2021.3104514.</w:t>
      </w:r>
    </w:p>
    <w:p w14:paraId="42D2B208" w14:textId="77777777" w:rsidR="007638B4" w:rsidRDefault="00000000">
      <w:pPr>
        <w:spacing w:after="60"/>
        <w:ind w:left="420" w:hanging="420"/>
      </w:pPr>
      <w:r>
        <w:t>[31] Wunti AU, Yu L, Li G, Li J. Vision-Guided Robotic Bin-Picking of Disordered Workpieces via Image-Matching Pose Estimation[J]. Applied Sciences, 2026. DOI: 10.3390/app16178594.</w:t>
      </w:r>
    </w:p>
    <w:p w14:paraId="2804BE51" w14:textId="77777777" w:rsidR="007638B4" w:rsidRDefault="00000000">
      <w:pPr>
        <w:spacing w:after="60"/>
        <w:ind w:left="420" w:hanging="420"/>
      </w:pPr>
      <w:r>
        <w:t>[32] Khalil M, Dietrich V, Ilic S. Multi-Layer Feature Exchange Transformer for Multi-View 6D Object Pose Estimation in Robot Bin Picking[C]. IEEE ICRA, 2025. DOI: 10.1109/ICRA55743.2025.11127530.</w:t>
      </w:r>
    </w:p>
    <w:p w14:paraId="5905E1FF" w14:textId="77777777" w:rsidR="007638B4" w:rsidRPr="002743CF" w:rsidRDefault="00000000">
      <w:pPr>
        <w:spacing w:after="60"/>
        <w:ind w:left="420" w:hanging="420"/>
        <w:rPr>
          <w:lang w:val="ru-RU"/>
        </w:rPr>
      </w:pPr>
      <w:r>
        <w:t xml:space="preserve">[33] Лю Дасинь, Ван Кэ, Лю Чжэньюй, и др. </w:t>
      </w:r>
      <w:r w:rsidRPr="002743CF">
        <w:rPr>
          <w:lang w:val="ru-RU"/>
        </w:rPr>
        <w:t>Метод построения цифрового двойника роботизированной сборочной ячейки на основе объединения данных и вывода знаний[</w:t>
      </w:r>
      <w:r>
        <w:t>J</w:t>
      </w:r>
      <w:r w:rsidRPr="002743CF">
        <w:rPr>
          <w:lang w:val="ru-RU"/>
        </w:rPr>
        <w:t xml:space="preserve">]. Цзисе гунчэн сюэбао (Вестник машиностроения), 2024, 60(5): 36–50. </w:t>
      </w:r>
      <w:r>
        <w:t>DOI</w:t>
      </w:r>
      <w:r w:rsidRPr="002743CF">
        <w:rPr>
          <w:lang w:val="ru-RU"/>
        </w:rPr>
        <w:t>: 10.3901/</w:t>
      </w:r>
      <w:r>
        <w:t>JME</w:t>
      </w:r>
      <w:r w:rsidRPr="002743CF">
        <w:rPr>
          <w:lang w:val="ru-RU"/>
        </w:rPr>
        <w:t>.2024.05.036.</w:t>
      </w:r>
    </w:p>
    <w:p w14:paraId="51BBD2CB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[34] Лу Е, Ван Кай, Хуан Хэмин. Проектирование имитации рабочей станции визуальной сортировки и шлифования на базе </w:t>
      </w:r>
      <w:r>
        <w:t>RobotStudio</w:t>
      </w:r>
      <w:r w:rsidRPr="002743CF">
        <w:rPr>
          <w:lang w:val="ru-RU"/>
        </w:rPr>
        <w:t>[</w:t>
      </w:r>
      <w:r>
        <w:t>J</w:t>
      </w:r>
      <w:r w:rsidRPr="002743CF">
        <w:rPr>
          <w:lang w:val="ru-RU"/>
        </w:rPr>
        <w:t xml:space="preserve">]. Цзидянь гунчэн цзишу (Электромеханическая техника и технология), 2024, 53(2): 193–197. </w:t>
      </w:r>
      <w:r>
        <w:t>DOI</w:t>
      </w:r>
      <w:r w:rsidRPr="002743CF">
        <w:rPr>
          <w:lang w:val="ru-RU"/>
        </w:rPr>
        <w:t>: 10.3969/</w:t>
      </w:r>
      <w:r>
        <w:t>j</w:t>
      </w:r>
      <w:r w:rsidRPr="002743CF">
        <w:rPr>
          <w:lang w:val="ru-RU"/>
        </w:rPr>
        <w:t>.</w:t>
      </w:r>
      <w:proofErr w:type="spellStart"/>
      <w:r>
        <w:t>issn</w:t>
      </w:r>
      <w:proofErr w:type="spellEnd"/>
      <w:r w:rsidRPr="002743CF">
        <w:rPr>
          <w:lang w:val="ru-RU"/>
        </w:rPr>
        <w:t>.1009-9492.2024.02.042.</w:t>
      </w:r>
    </w:p>
    <w:p w14:paraId="2D92A9D0" w14:textId="77777777" w:rsidR="007638B4" w:rsidRDefault="00000000">
      <w:pPr>
        <w:spacing w:after="60"/>
        <w:ind w:left="420" w:hanging="420"/>
      </w:pPr>
      <w:r>
        <w:lastRenderedPageBreak/>
        <w:t>[35] Zhou Y, Xiao J. Simulation Design and Commissioning of a Material Sorting Workstation Based on RobotStudio[C]. IEEE MAIC, 2025. DOI: 10.1109/MAIC67965.2025.11468474.</w:t>
      </w:r>
    </w:p>
    <w:p w14:paraId="6E8951E6" w14:textId="77777777" w:rsidR="007638B4" w:rsidRDefault="00000000">
      <w:pPr>
        <w:spacing w:after="60"/>
        <w:ind w:left="420" w:hanging="420"/>
      </w:pPr>
      <w:r>
        <w:t>[36] Zhou L, Che L, Dong Z, Mo M. Design of Joint Simulation System of Industrial Robot Training Equipment Based on RobotStudio and TIA Portal[C]. IEEE ISoIRS, 2024. DOI: 10.1109/ISoIRS63136.2024.00059.</w:t>
      </w:r>
    </w:p>
    <w:p w14:paraId="2517CD62" w14:textId="77777777" w:rsidR="007638B4" w:rsidRPr="002743CF" w:rsidRDefault="00000000">
      <w:pPr>
        <w:spacing w:after="60"/>
        <w:ind w:left="420" w:hanging="420"/>
        <w:rPr>
          <w:lang w:val="ru-RU"/>
        </w:rPr>
      </w:pPr>
      <w:r>
        <w:t xml:space="preserve">[38] GB/T 45501—2025 Промышленные роботы. </w:t>
      </w:r>
      <w:r w:rsidRPr="002743CF">
        <w:rPr>
          <w:lang w:val="ru-RU"/>
        </w:rPr>
        <w:t>Системы трёхмерного технического зрения. Общие технические требования[</w:t>
      </w:r>
      <w:r>
        <w:t>S</w:t>
      </w:r>
      <w:r w:rsidRPr="002743CF">
        <w:rPr>
          <w:lang w:val="ru-RU"/>
        </w:rPr>
        <w:t>]. Пекин: Издательство стандартов КНР, 2025.</w:t>
      </w:r>
    </w:p>
    <w:p w14:paraId="1D2EE093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[39] 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45616.1—2026 Автоматизированные системы и интеграция. Эталонная архитектура цифрового двойника для производства. Часть 1. Обзор и общие принципы[</w:t>
      </w:r>
      <w:r>
        <w:t>S</w:t>
      </w:r>
      <w:r w:rsidRPr="002743CF">
        <w:rPr>
          <w:lang w:val="ru-RU"/>
        </w:rPr>
        <w:t>]. Пекин: Издательство стандартов КНР, 2026.</w:t>
      </w:r>
    </w:p>
    <w:p w14:paraId="2A6A352E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[40] 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45616.2—2025 Автоматизированные системы и интеграция. Эталонная архитектура цифрового двойника для производства. Часть 2. Эталонная архитектура[</w:t>
      </w:r>
      <w:r>
        <w:t>S</w:t>
      </w:r>
      <w:r w:rsidRPr="002743CF">
        <w:rPr>
          <w:lang w:val="ru-RU"/>
        </w:rPr>
        <w:t>]. Пекин: Издательство стандартов КНР, 2025.</w:t>
      </w:r>
    </w:p>
    <w:p w14:paraId="4786EE04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[42] 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43441.1—2023 Информационные технологии. Цифровой двойник. Часть 1. Общие требования[</w:t>
      </w:r>
      <w:r>
        <w:t>S</w:t>
      </w:r>
      <w:r w:rsidRPr="002743CF">
        <w:rPr>
          <w:lang w:val="ru-RU"/>
        </w:rPr>
        <w:t>]. Пекин: Издательство стандартов КНР, 2023.</w:t>
      </w:r>
    </w:p>
    <w:p w14:paraId="1E65F429" w14:textId="77777777" w:rsidR="007638B4" w:rsidRDefault="00000000">
      <w:pPr>
        <w:spacing w:after="60"/>
        <w:ind w:left="420" w:hanging="420"/>
      </w:pPr>
      <w:r w:rsidRPr="002743CF">
        <w:rPr>
          <w:lang w:val="ru-RU"/>
        </w:rPr>
        <w:t xml:space="preserve">[43] </w:t>
      </w:r>
      <w:r>
        <w:t>GB</w:t>
      </w:r>
      <w:r w:rsidRPr="002743CF">
        <w:rPr>
          <w:lang w:val="ru-RU"/>
        </w:rPr>
        <w:t>/</w:t>
      </w:r>
      <w:r>
        <w:t>T</w:t>
      </w:r>
      <w:r w:rsidRPr="002743CF">
        <w:rPr>
          <w:lang w:val="ru-RU"/>
        </w:rPr>
        <w:t xml:space="preserve"> 32197—2025 Промышленные роботы. Спецификация открытых коммуникационных интерфейсов контроллера[</w:t>
      </w:r>
      <w:r>
        <w:t>S</w:t>
      </w:r>
      <w:r w:rsidRPr="002743CF">
        <w:rPr>
          <w:lang w:val="ru-RU"/>
        </w:rPr>
        <w:t xml:space="preserve">]. </w:t>
      </w:r>
      <w:r>
        <w:t>Пекин: Издательство стандартов КНР, 2025.</w:t>
      </w:r>
    </w:p>
    <w:p w14:paraId="4854812A" w14:textId="77777777" w:rsidR="007638B4" w:rsidRDefault="00000000">
      <w:pPr>
        <w:spacing w:after="60"/>
        <w:ind w:left="420" w:hanging="420"/>
      </w:pPr>
      <w:r>
        <w:t>[45] ISO 23247-1:2021 Automation systems and integration — Digital twin framework for manufacturing — Part 1: Overview and general principles[S]. Geneva: ISO, 2021.</w:t>
      </w:r>
    </w:p>
    <w:p w14:paraId="6CEC11E7" w14:textId="77777777" w:rsidR="007638B4" w:rsidRDefault="00000000">
      <w:pPr>
        <w:spacing w:after="60"/>
        <w:ind w:left="420" w:hanging="420"/>
      </w:pPr>
      <w:r>
        <w:t>[46] ISO 23247-5:2026 Automation systems and integration — Digital twin framework for manufacturing — Part 5: Digital thread for digital twin[S]. Geneva: ISO, 2026.</w:t>
      </w:r>
    </w:p>
    <w:p w14:paraId="3777CF78" w14:textId="77777777" w:rsidR="007638B4" w:rsidRDefault="00000000">
      <w:pPr>
        <w:spacing w:after="60"/>
        <w:ind w:left="420" w:hanging="420"/>
      </w:pPr>
      <w:r>
        <w:t>[47] ISO 23247-6:2026 Automation systems and integration — Digital twin framework for manufacturing — Part 6: Digital twin composition[S]. Geneva: ISO, 2026.</w:t>
      </w:r>
    </w:p>
    <w:p w14:paraId="0A5EEE83" w14:textId="77777777" w:rsidR="007638B4" w:rsidRPr="002743CF" w:rsidRDefault="00000000">
      <w:pPr>
        <w:spacing w:after="60"/>
        <w:ind w:left="420" w:hanging="420"/>
        <w:rPr>
          <w:lang w:val="ru-RU"/>
        </w:rPr>
      </w:pPr>
      <w:r>
        <w:t>[54] OPC 10000-14 OPC Unified Architecture — Part 14: PubSub[S/OL]. OPC</w:t>
      </w:r>
      <w:r w:rsidRPr="002743CF">
        <w:rPr>
          <w:lang w:val="ru-RU"/>
        </w:rPr>
        <w:t xml:space="preserve"> </w:t>
      </w:r>
      <w:r>
        <w:t>Foundation</w:t>
      </w:r>
      <w:r w:rsidRPr="002743CF">
        <w:rPr>
          <w:lang w:val="ru-RU"/>
        </w:rPr>
        <w:t xml:space="preserve">. </w:t>
      </w:r>
      <w:r>
        <w:t>https</w:t>
      </w:r>
      <w:r w:rsidRPr="002743CF">
        <w:rPr>
          <w:lang w:val="ru-RU"/>
        </w:rPr>
        <w:t>://</w:t>
      </w:r>
      <w:r>
        <w:t>reference</w:t>
      </w:r>
      <w:r w:rsidRPr="002743CF">
        <w:rPr>
          <w:lang w:val="ru-RU"/>
        </w:rPr>
        <w:t>.</w:t>
      </w:r>
      <w:proofErr w:type="spellStart"/>
      <w:r>
        <w:t>opcfoundation</w:t>
      </w:r>
      <w:proofErr w:type="spellEnd"/>
      <w:r w:rsidRPr="002743CF">
        <w:rPr>
          <w:lang w:val="ru-RU"/>
        </w:rPr>
        <w:t>.</w:t>
      </w:r>
      <w:r>
        <w:t>org</w:t>
      </w:r>
      <w:r w:rsidRPr="002743CF">
        <w:rPr>
          <w:lang w:val="ru-RU"/>
        </w:rPr>
        <w:t>/</w:t>
      </w:r>
      <w:r>
        <w:t>specs</w:t>
      </w:r>
      <w:r w:rsidRPr="002743CF">
        <w:rPr>
          <w:lang w:val="ru-RU"/>
        </w:rPr>
        <w:t>/</w:t>
      </w:r>
      <w:r>
        <w:t>OPC</w:t>
      </w:r>
      <w:r w:rsidRPr="002743CF">
        <w:rPr>
          <w:lang w:val="ru-RU"/>
        </w:rPr>
        <w:t>-10000-14/6.2.6.</w:t>
      </w:r>
    </w:p>
    <w:p w14:paraId="76F0C8BD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[56] План действий по применению «Робот+»: совместный документ семнадцати ведомств во главе с Министерством промышленности и информатизации КНР, № </w:t>
      </w:r>
      <w:proofErr w:type="spellStart"/>
      <w:r>
        <w:t>工信部联通装</w:t>
      </w:r>
      <w:proofErr w:type="spellEnd"/>
      <w:r>
        <w:t>〔</w:t>
      </w:r>
      <w:r w:rsidRPr="002743CF">
        <w:rPr>
          <w:lang w:val="ru-RU"/>
        </w:rPr>
        <w:t>2022</w:t>
      </w:r>
      <w:r>
        <w:t>〕</w:t>
      </w:r>
      <w:r w:rsidRPr="002743CF">
        <w:rPr>
          <w:lang w:val="ru-RU"/>
        </w:rPr>
        <w:t>187</w:t>
      </w:r>
      <w:r>
        <w:t>号</w:t>
      </w:r>
      <w:r w:rsidRPr="002743CF">
        <w:rPr>
          <w:lang w:val="ru-RU"/>
        </w:rPr>
        <w:t>[</w:t>
      </w:r>
      <w:r>
        <w:t>A</w:t>
      </w:r>
      <w:r w:rsidRPr="002743CF">
        <w:rPr>
          <w:lang w:val="ru-RU"/>
        </w:rPr>
        <w:t>/</w:t>
      </w:r>
      <w:r>
        <w:t>OL</w:t>
      </w:r>
      <w:r w:rsidRPr="002743CF">
        <w:rPr>
          <w:lang w:val="ru-RU"/>
        </w:rPr>
        <w:t xml:space="preserve">]. (18.01.2023). </w:t>
      </w:r>
      <w:r>
        <w:t>https</w:t>
      </w:r>
      <w:r w:rsidRPr="002743CF">
        <w:rPr>
          <w:lang w:val="ru-RU"/>
        </w:rPr>
        <w:t>://</w:t>
      </w:r>
      <w:r>
        <w:t>www</w:t>
      </w:r>
      <w:r w:rsidRPr="002743CF">
        <w:rPr>
          <w:lang w:val="ru-RU"/>
        </w:rPr>
        <w:t>.</w:t>
      </w:r>
      <w:proofErr w:type="spellStart"/>
      <w:r>
        <w:t>miit</w:t>
      </w:r>
      <w:proofErr w:type="spellEnd"/>
      <w:r w:rsidRPr="002743CF">
        <w:rPr>
          <w:lang w:val="ru-RU"/>
        </w:rPr>
        <w:t>.</w:t>
      </w:r>
      <w:r>
        <w:t>gov</w:t>
      </w:r>
      <w:r w:rsidRPr="002743CF">
        <w:rPr>
          <w:lang w:val="ru-RU"/>
        </w:rPr>
        <w:t>.</w:t>
      </w:r>
      <w:proofErr w:type="spellStart"/>
      <w:r>
        <w:t>cn</w:t>
      </w:r>
      <w:proofErr w:type="spellEnd"/>
      <w:r w:rsidRPr="002743CF">
        <w:rPr>
          <w:lang w:val="ru-RU"/>
        </w:rPr>
        <w:t>/.</w:t>
      </w:r>
    </w:p>
    <w:p w14:paraId="0E5200DC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[57] Мнения Государственного совета КНР об углублённой реализации действий «ИИ+», № </w:t>
      </w:r>
      <w:proofErr w:type="spellStart"/>
      <w:r>
        <w:t>国发</w:t>
      </w:r>
      <w:proofErr w:type="spellEnd"/>
      <w:r>
        <w:t>〔</w:t>
      </w:r>
      <w:r w:rsidRPr="002743CF">
        <w:rPr>
          <w:lang w:val="ru-RU"/>
        </w:rPr>
        <w:t>2025</w:t>
      </w:r>
      <w:r>
        <w:t>〕</w:t>
      </w:r>
      <w:r w:rsidRPr="002743CF">
        <w:rPr>
          <w:lang w:val="ru-RU"/>
        </w:rPr>
        <w:t>11</w:t>
      </w:r>
      <w:r>
        <w:t>号</w:t>
      </w:r>
      <w:r w:rsidRPr="002743CF">
        <w:rPr>
          <w:lang w:val="ru-RU"/>
        </w:rPr>
        <w:t>[</w:t>
      </w:r>
      <w:r>
        <w:t>A</w:t>
      </w:r>
      <w:r w:rsidRPr="002743CF">
        <w:rPr>
          <w:lang w:val="ru-RU"/>
        </w:rPr>
        <w:t>/</w:t>
      </w:r>
      <w:r>
        <w:t>OL</w:t>
      </w:r>
      <w:r w:rsidRPr="002743CF">
        <w:rPr>
          <w:lang w:val="ru-RU"/>
        </w:rPr>
        <w:t xml:space="preserve">]. (21.08.2025). </w:t>
      </w:r>
      <w:r>
        <w:t>https</w:t>
      </w:r>
      <w:r w:rsidRPr="002743CF">
        <w:rPr>
          <w:lang w:val="ru-RU"/>
        </w:rPr>
        <w:t>://</w:t>
      </w:r>
      <w:r>
        <w:t>www</w:t>
      </w:r>
      <w:r w:rsidRPr="002743CF">
        <w:rPr>
          <w:lang w:val="ru-RU"/>
        </w:rPr>
        <w:t>.</w:t>
      </w:r>
      <w:r>
        <w:t>gov</w:t>
      </w:r>
      <w:r w:rsidRPr="002743CF">
        <w:rPr>
          <w:lang w:val="ru-RU"/>
        </w:rPr>
        <w:t>.</w:t>
      </w:r>
      <w:proofErr w:type="spellStart"/>
      <w:r>
        <w:t>cn</w:t>
      </w:r>
      <w:proofErr w:type="spellEnd"/>
      <w:r w:rsidRPr="002743CF">
        <w:rPr>
          <w:lang w:val="ru-RU"/>
        </w:rPr>
        <w:t>/.</w:t>
      </w:r>
    </w:p>
    <w:p w14:paraId="7AF7B7AF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[60] Государственное управление по стандартизации КНР. Уведомление о доведении седьмой партии планов рекомендательных национальных стандартов 2026 года и планов их иноязычных версий, № </w:t>
      </w:r>
      <w:proofErr w:type="spellStart"/>
      <w:r>
        <w:t>国标委发</w:t>
      </w:r>
      <w:proofErr w:type="spellEnd"/>
      <w:r>
        <w:t>〔</w:t>
      </w:r>
      <w:r w:rsidRPr="002743CF">
        <w:rPr>
          <w:lang w:val="ru-RU"/>
        </w:rPr>
        <w:t>2026</w:t>
      </w:r>
      <w:r>
        <w:t>〕</w:t>
      </w:r>
      <w:r w:rsidRPr="002743CF">
        <w:rPr>
          <w:lang w:val="ru-RU"/>
        </w:rPr>
        <w:t>44</w:t>
      </w:r>
      <w:r>
        <w:t>号</w:t>
      </w:r>
      <w:r w:rsidRPr="002743CF">
        <w:rPr>
          <w:lang w:val="ru-RU"/>
        </w:rPr>
        <w:t>[</w:t>
      </w:r>
      <w:r>
        <w:t>Z</w:t>
      </w:r>
      <w:r w:rsidRPr="002743CF">
        <w:rPr>
          <w:lang w:val="ru-RU"/>
        </w:rPr>
        <w:t>]. 2026. Включает план № 20263910-</w:t>
      </w:r>
      <w:r>
        <w:t>T</w:t>
      </w:r>
      <w:r w:rsidRPr="002743CF">
        <w:rPr>
          <w:lang w:val="ru-RU"/>
        </w:rPr>
        <w:t>-604 «Виртуальный ввод в эксплуатацию и методы моделирования цифрового двойника промышленного робота».</w:t>
      </w:r>
    </w:p>
    <w:p w14:paraId="0C4EA485" w14:textId="77777777" w:rsidR="007638B4" w:rsidRDefault="00000000">
      <w:pPr>
        <w:spacing w:after="60"/>
        <w:ind w:left="420" w:hanging="420"/>
      </w:pPr>
      <w:r>
        <w:lastRenderedPageBreak/>
        <w:t>[61] ABB. Operating manual — RobotStudio: 3HAC032104[Z]. Содержит раздел 7.6 «Virtual commissioning using the OPC UA Client Smart Component».</w:t>
      </w:r>
    </w:p>
    <w:p w14:paraId="400A442E" w14:textId="77777777" w:rsidR="007638B4" w:rsidRDefault="00000000">
      <w:pPr>
        <w:spacing w:after="60"/>
        <w:ind w:left="420" w:hanging="420"/>
      </w:pPr>
      <w:r>
        <w:t>[64] ABB. Simulation, in RobotStudio API Concepts[EB/OL]. ABB Developer Center. https://developercenter.robotstudio.com/api/robotstudio/articles/Concepts/Simulation.html.</w:t>
      </w:r>
    </w:p>
    <w:p w14:paraId="64E66596" w14:textId="77777777" w:rsidR="007638B4" w:rsidRDefault="00000000">
      <w:pPr>
        <w:spacing w:after="60"/>
        <w:ind w:left="420" w:hanging="420"/>
      </w:pPr>
      <w:r>
        <w:t>[65] ABB Robotics Community. Does ABB robot support to real time control?[EB/OL]. (23.02.2012). https://tech-community.robotics.abb.com/t/does-abb-robot-support-to-real-time-control/4698.</w:t>
      </w:r>
    </w:p>
    <w:p w14:paraId="75D41344" w14:textId="77777777" w:rsidR="007638B4" w:rsidRDefault="00000000">
      <w:pPr>
        <w:spacing w:after="60"/>
        <w:ind w:left="420" w:hanging="420"/>
      </w:pPr>
      <w:r>
        <w:t>[66] ABB Robotics Community. Virtual controller — Siemens PLC communication via Profinet[EB/OL]. (02.04.2025). https://tech-community.robotics.abb.com/t/virtual-controller-siemens-plc-communication-via-profinet/11858. См. также тему 15086 того же форума.</w:t>
      </w:r>
    </w:p>
    <w:p w14:paraId="63F4077F" w14:textId="77777777" w:rsidR="007638B4" w:rsidRDefault="00000000">
      <w:pPr>
        <w:spacing w:after="60"/>
        <w:ind w:left="420" w:hanging="420"/>
      </w:pPr>
      <w:r>
        <w:t>[67] ABB Robotics Community. Has OPUA Client in OmniCore retired I/O Mapping byte ranges?[EB/OL]. (05.12.2025). https://tech-community.robotics.abb.com/t/has-opua-client-in-omnicore-retired-i-o-mapping-byte-ranges/12099.</w:t>
      </w:r>
    </w:p>
    <w:p w14:paraId="23D06D47" w14:textId="77777777" w:rsidR="007638B4" w:rsidRDefault="00000000">
      <w:pPr>
        <w:spacing w:after="60"/>
        <w:ind w:left="420" w:hanging="420"/>
      </w:pPr>
      <w:r>
        <w:t>[72] Siemens. SIMATIC S7-1500 Communication Function Manual: 59192925[Z].</w:t>
      </w:r>
    </w:p>
    <w:p w14:paraId="0DFD03FA" w14:textId="77777777" w:rsidR="007638B4" w:rsidRDefault="00000000">
      <w:pPr>
        <w:spacing w:after="60"/>
        <w:ind w:left="420" w:hanging="420"/>
      </w:pPr>
      <w:r>
        <w:t>[75] EtherCAT Technology Group. PC-Control: EtherCAT PLC with 12.5 μs cycle time[EB/OL]. (2012). https://www.ethercat.org/.</w:t>
      </w:r>
    </w:p>
    <w:p w14:paraId="3E8E56BA" w14:textId="77777777" w:rsidR="007638B4" w:rsidRDefault="00000000">
      <w:pPr>
        <w:spacing w:after="60"/>
        <w:ind w:left="420" w:hanging="420"/>
      </w:pPr>
      <w:r>
        <w:t>[76] Mech-Mind Robotics. Технические характеристики трёхмерных камер Mech-Eye[EB/OL]. https://docs.mech-mind.net/. См. также пресс-релиз Mech-Eye ULTRA M-GL[EB/OL]. (12.08.2026).</w:t>
      </w:r>
    </w:p>
    <w:p w14:paraId="75A1ED4B" w14:textId="77777777" w:rsidR="007638B4" w:rsidRDefault="00000000">
      <w:pPr>
        <w:spacing w:after="60"/>
        <w:ind w:left="420" w:hanging="420"/>
      </w:pPr>
      <w:r>
        <w:t>[77] Photoneo. AI-Powered Depalletization[EB/OL]. https://ai.photoneo.com/ai-powered-depalletization.</w:t>
      </w:r>
    </w:p>
    <w:p w14:paraId="60193A46" w14:textId="77777777" w:rsidR="007638B4" w:rsidRDefault="00000000">
      <w:pPr>
        <w:spacing w:after="60"/>
        <w:ind w:left="420" w:hanging="420"/>
      </w:pPr>
      <w:r>
        <w:t>[79] Universal Robots. UR5e Technical Specifications[EB/OL]. https://www.universal-robots.com/manuals/.</w:t>
      </w:r>
    </w:p>
    <w:p w14:paraId="42DD7C27" w14:textId="77777777" w:rsidR="007638B4" w:rsidRDefault="00000000">
      <w:pPr>
        <w:spacing w:after="60"/>
        <w:ind w:left="420" w:hanging="420"/>
      </w:pPr>
      <w:r>
        <w:t>[80] KORTHOS. YK-Robotics deploys sub-15-second translucent-bag bin picking[EB/OL]. (24.03.2026). https://korthosrobotics.com/intelligence/feed/23402.</w:t>
      </w:r>
    </w:p>
    <w:p w14:paraId="45F0AD26" w14:textId="77777777" w:rsidR="007638B4" w:rsidRDefault="00000000">
      <w:pPr>
        <w:spacing w:after="60"/>
        <w:ind w:left="420" w:hanging="420"/>
      </w:pPr>
      <w:r>
        <w:t>[81] The Robot Report. High-precision robots: What to do when absolute accuracy is poor?[EB/OL]. (15.02.2026). https://www.therobotreport.com/.</w:t>
      </w:r>
    </w:p>
    <w:p w14:paraId="3D2F617F" w14:textId="77777777" w:rsidR="007638B4" w:rsidRPr="002743CF" w:rsidRDefault="00000000">
      <w:pPr>
        <w:spacing w:after="60"/>
        <w:ind w:left="420" w:hanging="420"/>
        <w:rPr>
          <w:lang w:val="ru-RU"/>
        </w:rPr>
      </w:pPr>
      <w:r>
        <w:t>[82] International Federation of Robotics. World Robotics 2025 — Industrial Robots[R/OL]. Frankfurt</w:t>
      </w:r>
      <w:r w:rsidRPr="002743CF">
        <w:rPr>
          <w:lang w:val="ru-RU"/>
        </w:rPr>
        <w:t xml:space="preserve">: </w:t>
      </w:r>
      <w:r>
        <w:t>IFR</w:t>
      </w:r>
      <w:r w:rsidRPr="002743CF">
        <w:rPr>
          <w:lang w:val="ru-RU"/>
        </w:rPr>
        <w:t xml:space="preserve">, 2025. </w:t>
      </w:r>
      <w:r>
        <w:t>https</w:t>
      </w:r>
      <w:r w:rsidRPr="002743CF">
        <w:rPr>
          <w:lang w:val="ru-RU"/>
        </w:rPr>
        <w:t>://</w:t>
      </w:r>
      <w:proofErr w:type="spellStart"/>
      <w:r>
        <w:t>ifr</w:t>
      </w:r>
      <w:proofErr w:type="spellEnd"/>
      <w:r w:rsidRPr="002743CF">
        <w:rPr>
          <w:lang w:val="ru-RU"/>
        </w:rPr>
        <w:t>.</w:t>
      </w:r>
      <w:r>
        <w:t>org</w:t>
      </w:r>
      <w:r w:rsidRPr="002743CF">
        <w:rPr>
          <w:lang w:val="ru-RU"/>
        </w:rPr>
        <w:t>/.</w:t>
      </w:r>
    </w:p>
    <w:p w14:paraId="5DBC250B" w14:textId="77777777" w:rsidR="007638B4" w:rsidRPr="002743CF" w:rsidRDefault="00000000">
      <w:pPr>
        <w:spacing w:after="60"/>
        <w:ind w:left="420" w:hanging="420"/>
        <w:rPr>
          <w:lang w:val="ru-RU"/>
        </w:rPr>
      </w:pPr>
      <w:r w:rsidRPr="002743CF">
        <w:rPr>
          <w:lang w:val="ru-RU"/>
        </w:rPr>
        <w:t xml:space="preserve">[83] Исследовательский институт робототехники </w:t>
      </w:r>
      <w:r>
        <w:t>GGII</w:t>
      </w:r>
      <w:r w:rsidRPr="002743CF">
        <w:rPr>
          <w:lang w:val="ru-RU"/>
        </w:rPr>
        <w:t>. Отчёт об исследовании отрасли промышленных роботов Китая 2026 года[</w:t>
      </w:r>
      <w:r>
        <w:t>R</w:t>
      </w:r>
      <w:r w:rsidRPr="002743CF">
        <w:rPr>
          <w:lang w:val="ru-RU"/>
        </w:rPr>
        <w:t>]. 2026. Приведено по публикации в средствах массовой информации.</w:t>
      </w:r>
    </w:p>
    <w:p w14:paraId="15E60405" w14:textId="77777777" w:rsidR="007638B4" w:rsidRDefault="00000000">
      <w:pPr>
        <w:spacing w:after="60"/>
        <w:ind w:left="420" w:hanging="420"/>
      </w:pPr>
      <w:r w:rsidRPr="002743CF">
        <w:rPr>
          <w:lang w:val="ru-RU"/>
        </w:rPr>
        <w:t xml:space="preserve">[84] </w:t>
      </w:r>
      <w:r>
        <w:t>MIR</w:t>
      </w:r>
      <w:r w:rsidRPr="002743CF">
        <w:rPr>
          <w:lang w:val="ru-RU"/>
        </w:rPr>
        <w:t xml:space="preserve"> </w:t>
      </w:r>
      <w:r>
        <w:t>DATABANK</w:t>
      </w:r>
      <w:r w:rsidRPr="002743CF">
        <w:rPr>
          <w:lang w:val="ru-RU"/>
        </w:rPr>
        <w:t>. Рейтинг десяти ведущих производителей промышленных роботов Китая 2025 года[</w:t>
      </w:r>
      <w:r>
        <w:t>R</w:t>
      </w:r>
      <w:r w:rsidRPr="002743CF">
        <w:rPr>
          <w:lang w:val="ru-RU"/>
        </w:rPr>
        <w:t xml:space="preserve">]. 2026. </w:t>
      </w:r>
      <w:proofErr w:type="spellStart"/>
      <w:r>
        <w:t>Приведено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публикации</w:t>
      </w:r>
      <w:proofErr w:type="spellEnd"/>
      <w:r>
        <w:t xml:space="preserve"> в средствах массовой информации.</w:t>
      </w:r>
    </w:p>
    <w:p w14:paraId="3434F24F" w14:textId="77777777" w:rsidR="007638B4" w:rsidRDefault="00000000">
      <w:pPr>
        <w:spacing w:after="60"/>
        <w:ind w:left="420" w:hanging="420"/>
      </w:pPr>
      <w:r>
        <w:t>[85] Interact Analysis. Return to growth forecast for machine vision in 2025[R/OL]. (2025). https://www.interactanalysis.com/.</w:t>
      </w:r>
    </w:p>
    <w:sectPr w:rsidR="007638B4" w:rsidSect="00034616">
      <w:footerReference w:type="default" r:id="rId8"/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B5A2" w14:textId="77777777" w:rsidR="00D35756" w:rsidRDefault="00D35756">
      <w:pPr>
        <w:spacing w:after="0" w:line="240" w:lineRule="auto"/>
      </w:pPr>
      <w:r>
        <w:separator/>
      </w:r>
    </w:p>
  </w:endnote>
  <w:endnote w:type="continuationSeparator" w:id="0">
    <w:p w14:paraId="5045393D" w14:textId="77777777" w:rsidR="00D35756" w:rsidRDefault="00D3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6BB" w14:textId="77777777" w:rsidR="007638B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743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4ED9" w14:textId="77777777" w:rsidR="00D35756" w:rsidRDefault="00D35756">
      <w:pPr>
        <w:spacing w:after="0" w:line="240" w:lineRule="auto"/>
      </w:pPr>
      <w:r>
        <w:separator/>
      </w:r>
    </w:p>
  </w:footnote>
  <w:footnote w:type="continuationSeparator" w:id="0">
    <w:p w14:paraId="4ED8860A" w14:textId="77777777" w:rsidR="00D35756" w:rsidRDefault="00D35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133419">
    <w:abstractNumId w:val="8"/>
  </w:num>
  <w:num w:numId="2" w16cid:durableId="1613435354">
    <w:abstractNumId w:val="6"/>
  </w:num>
  <w:num w:numId="3" w16cid:durableId="1668559191">
    <w:abstractNumId w:val="5"/>
  </w:num>
  <w:num w:numId="4" w16cid:durableId="1911695532">
    <w:abstractNumId w:val="4"/>
  </w:num>
  <w:num w:numId="5" w16cid:durableId="358628856">
    <w:abstractNumId w:val="7"/>
  </w:num>
  <w:num w:numId="6" w16cid:durableId="1732119165">
    <w:abstractNumId w:val="3"/>
  </w:num>
  <w:num w:numId="7" w16cid:durableId="895318386">
    <w:abstractNumId w:val="2"/>
  </w:num>
  <w:num w:numId="8" w16cid:durableId="1726678481">
    <w:abstractNumId w:val="1"/>
  </w:num>
  <w:num w:numId="9" w16cid:durableId="11975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3CF"/>
    <w:rsid w:val="0029639D"/>
    <w:rsid w:val="00326F90"/>
    <w:rsid w:val="007638B4"/>
    <w:rsid w:val="009F7955"/>
    <w:rsid w:val="00A611AC"/>
    <w:rsid w:val="00AA1D8D"/>
    <w:rsid w:val="00B47730"/>
    <w:rsid w:val="00CB0664"/>
    <w:rsid w:val="00D35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4F20B"/>
  <w14:defaultImageDpi w14:val="300"/>
  <w15:docId w15:val="{FD04ACF7-E4F2-418B-BA99-18A96F04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5314</Words>
  <Characters>37683</Characters>
  <Application>Microsoft Office Word</Application>
  <DocSecurity>0</DocSecurity>
  <Lines>672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芮铭 曹</cp:lastModifiedBy>
  <cp:revision>2</cp:revision>
  <dcterms:created xsi:type="dcterms:W3CDTF">2026-10-17T17:54:00Z</dcterms:created>
  <dcterms:modified xsi:type="dcterms:W3CDTF">2026-10-17T17:54:00Z</dcterms:modified>
  <cp:category/>
</cp:coreProperties>
</file>