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568C325" w14:textId="6CA32287" w:rsidR="004E7D56" w:rsidRDefault="004E7D56" w:rsidP="0077027A">
      <w:pPr>
        <w:pStyle w:val="Titre"/>
        <w:jc w:val="both"/>
      </w:pPr>
      <w:r>
        <w:t>Mémoire de master</w:t>
      </w:r>
    </w:p>
    <w:p w14:paraId="7B2F30B1" w14:textId="77777777" w:rsidR="004E7D56" w:rsidRDefault="004E7D56" w:rsidP="0077027A">
      <w:pPr>
        <w:pStyle w:val="Titre"/>
        <w:jc w:val="both"/>
      </w:pPr>
    </w:p>
    <w:p w14:paraId="225E179E" w14:textId="22062EBE" w:rsidR="004E7D56" w:rsidRPr="004E7D56" w:rsidRDefault="004E7D56" w:rsidP="0077027A">
      <w:pPr>
        <w:jc w:val="both"/>
        <w:rPr>
          <w:sz w:val="56"/>
          <w:szCs w:val="56"/>
        </w:rPr>
      </w:pPr>
      <w:r>
        <w:br w:type="page"/>
      </w:r>
    </w:p>
    <w:sdt>
      <w:sdtPr>
        <w:rPr>
          <w:rFonts w:ascii="Times New Roman" w:eastAsia="Times New Roman" w:hAnsi="Times New Roman" w:cs="Times New Roman"/>
          <w:b w:val="0"/>
          <w:bCs w:val="0"/>
          <w:color w:val="auto"/>
          <w:sz w:val="24"/>
          <w:szCs w:val="24"/>
        </w:rPr>
        <w:id w:val="1840349248"/>
        <w:docPartObj>
          <w:docPartGallery w:val="Table of Contents"/>
          <w:docPartUnique/>
        </w:docPartObj>
      </w:sdtPr>
      <w:sdtEndPr>
        <w:rPr>
          <w:noProof/>
        </w:rPr>
      </w:sdtEndPr>
      <w:sdtContent>
        <w:p w14:paraId="0B43ED9E" w14:textId="6C38ED10" w:rsidR="004E7D56" w:rsidRDefault="004E7D56" w:rsidP="0077027A">
          <w:pPr>
            <w:pStyle w:val="En-ttedetabledesmatires"/>
            <w:jc w:val="both"/>
          </w:pPr>
          <w:r>
            <w:t>Table des matières</w:t>
          </w:r>
        </w:p>
        <w:p w14:paraId="179A06C3" w14:textId="3DED3E21" w:rsidR="00322CDA" w:rsidRDefault="004E7D56">
          <w:pPr>
            <w:pStyle w:val="TM1"/>
            <w:tabs>
              <w:tab w:val="right" w:leader="dot" w:pos="9016"/>
            </w:tabs>
            <w:rPr>
              <w:rFonts w:eastAsiaTheme="minorEastAsia" w:cstheme="minorBidi"/>
              <w:b w:val="0"/>
              <w:bCs w:val="0"/>
              <w:caps w:val="0"/>
              <w:noProof/>
              <w:kern w:val="2"/>
              <w:sz w:val="24"/>
              <w:szCs w:val="24"/>
              <w14:ligatures w14:val="standardContextual"/>
            </w:rPr>
          </w:pPr>
          <w:r>
            <w:rPr>
              <w:b w:val="0"/>
              <w:bCs w:val="0"/>
            </w:rPr>
            <w:fldChar w:fldCharType="begin"/>
          </w:r>
          <w:r>
            <w:instrText>TOC \o "1-3" \h \z \u</w:instrText>
          </w:r>
          <w:r>
            <w:rPr>
              <w:b w:val="0"/>
              <w:bCs w:val="0"/>
            </w:rPr>
            <w:fldChar w:fldCharType="separate"/>
          </w:r>
          <w:hyperlink w:anchor="_Toc233908850" w:history="1">
            <w:r w:rsidR="00322CDA" w:rsidRPr="0065539A">
              <w:rPr>
                <w:rStyle w:val="Lienhypertexte"/>
                <w:noProof/>
              </w:rPr>
              <w:t>Introduction</w:t>
            </w:r>
            <w:r w:rsidR="00322CDA">
              <w:rPr>
                <w:noProof/>
                <w:webHidden/>
              </w:rPr>
              <w:tab/>
            </w:r>
            <w:r w:rsidR="00322CDA">
              <w:rPr>
                <w:noProof/>
                <w:webHidden/>
              </w:rPr>
              <w:fldChar w:fldCharType="begin"/>
            </w:r>
            <w:r w:rsidR="00322CDA">
              <w:rPr>
                <w:noProof/>
                <w:webHidden/>
              </w:rPr>
              <w:instrText xml:space="preserve"> PAGEREF _Toc233908850 \h </w:instrText>
            </w:r>
            <w:r w:rsidR="00322CDA">
              <w:rPr>
                <w:noProof/>
                <w:webHidden/>
              </w:rPr>
            </w:r>
            <w:r w:rsidR="00322CDA">
              <w:rPr>
                <w:noProof/>
                <w:webHidden/>
              </w:rPr>
              <w:fldChar w:fldCharType="separate"/>
            </w:r>
            <w:r w:rsidR="00322CDA">
              <w:rPr>
                <w:noProof/>
                <w:webHidden/>
              </w:rPr>
              <w:t>3</w:t>
            </w:r>
            <w:r w:rsidR="00322CDA">
              <w:rPr>
                <w:noProof/>
                <w:webHidden/>
              </w:rPr>
              <w:fldChar w:fldCharType="end"/>
            </w:r>
          </w:hyperlink>
        </w:p>
        <w:p w14:paraId="0B021BF8" w14:textId="1B66D3FC" w:rsidR="00322CDA" w:rsidRDefault="00322CDA">
          <w:pPr>
            <w:pStyle w:val="TM2"/>
            <w:tabs>
              <w:tab w:val="right" w:leader="dot" w:pos="9016"/>
            </w:tabs>
            <w:rPr>
              <w:rFonts w:eastAsiaTheme="minorEastAsia" w:cstheme="minorBidi"/>
              <w:smallCaps w:val="0"/>
              <w:noProof/>
              <w:kern w:val="2"/>
              <w:sz w:val="24"/>
              <w:szCs w:val="24"/>
              <w14:ligatures w14:val="standardContextual"/>
            </w:rPr>
          </w:pPr>
          <w:hyperlink w:anchor="_Toc233908851" w:history="1">
            <w:r w:rsidRPr="0065539A">
              <w:rPr>
                <w:rStyle w:val="Lienhypertexte"/>
                <w:noProof/>
              </w:rPr>
              <w:t>Le dérèglement climatique et l’enjeu de quantification des risques de catastrophes</w:t>
            </w:r>
            <w:r>
              <w:rPr>
                <w:noProof/>
                <w:webHidden/>
              </w:rPr>
              <w:tab/>
            </w:r>
            <w:r>
              <w:rPr>
                <w:noProof/>
                <w:webHidden/>
              </w:rPr>
              <w:fldChar w:fldCharType="begin"/>
            </w:r>
            <w:r>
              <w:rPr>
                <w:noProof/>
                <w:webHidden/>
              </w:rPr>
              <w:instrText xml:space="preserve"> PAGEREF _Toc233908851 \h </w:instrText>
            </w:r>
            <w:r>
              <w:rPr>
                <w:noProof/>
                <w:webHidden/>
              </w:rPr>
            </w:r>
            <w:r>
              <w:rPr>
                <w:noProof/>
                <w:webHidden/>
              </w:rPr>
              <w:fldChar w:fldCharType="separate"/>
            </w:r>
            <w:r>
              <w:rPr>
                <w:noProof/>
                <w:webHidden/>
              </w:rPr>
              <w:t>3</w:t>
            </w:r>
            <w:r>
              <w:rPr>
                <w:noProof/>
                <w:webHidden/>
              </w:rPr>
              <w:fldChar w:fldCharType="end"/>
            </w:r>
          </w:hyperlink>
        </w:p>
        <w:p w14:paraId="6AF7A440" w14:textId="5791FB31" w:rsidR="00322CDA" w:rsidRDefault="00322CDA">
          <w:pPr>
            <w:pStyle w:val="TM2"/>
            <w:tabs>
              <w:tab w:val="right" w:leader="dot" w:pos="9016"/>
            </w:tabs>
            <w:rPr>
              <w:rFonts w:eastAsiaTheme="minorEastAsia" w:cstheme="minorBidi"/>
              <w:smallCaps w:val="0"/>
              <w:noProof/>
              <w:kern w:val="2"/>
              <w:sz w:val="24"/>
              <w:szCs w:val="24"/>
              <w14:ligatures w14:val="standardContextual"/>
            </w:rPr>
          </w:pPr>
          <w:hyperlink w:anchor="_Toc233908852" w:history="1">
            <w:r w:rsidRPr="0065539A">
              <w:rPr>
                <w:rStyle w:val="Lienhypertexte"/>
                <w:noProof/>
              </w:rPr>
              <w:t>Le transport de marchandises comme vecteur de propagation des chocs</w:t>
            </w:r>
            <w:r>
              <w:rPr>
                <w:noProof/>
                <w:webHidden/>
              </w:rPr>
              <w:tab/>
            </w:r>
            <w:r>
              <w:rPr>
                <w:noProof/>
                <w:webHidden/>
              </w:rPr>
              <w:fldChar w:fldCharType="begin"/>
            </w:r>
            <w:r>
              <w:rPr>
                <w:noProof/>
                <w:webHidden/>
              </w:rPr>
              <w:instrText xml:space="preserve"> PAGEREF _Toc233908852 \h </w:instrText>
            </w:r>
            <w:r>
              <w:rPr>
                <w:noProof/>
                <w:webHidden/>
              </w:rPr>
            </w:r>
            <w:r>
              <w:rPr>
                <w:noProof/>
                <w:webHidden/>
              </w:rPr>
              <w:fldChar w:fldCharType="separate"/>
            </w:r>
            <w:r>
              <w:rPr>
                <w:noProof/>
                <w:webHidden/>
              </w:rPr>
              <w:t>3</w:t>
            </w:r>
            <w:r>
              <w:rPr>
                <w:noProof/>
                <w:webHidden/>
              </w:rPr>
              <w:fldChar w:fldCharType="end"/>
            </w:r>
          </w:hyperlink>
        </w:p>
        <w:p w14:paraId="39651D11" w14:textId="3ED3780F" w:rsidR="00322CDA" w:rsidRDefault="00322CDA">
          <w:pPr>
            <w:pStyle w:val="TM2"/>
            <w:tabs>
              <w:tab w:val="right" w:leader="dot" w:pos="9016"/>
            </w:tabs>
            <w:rPr>
              <w:rFonts w:eastAsiaTheme="minorEastAsia" w:cstheme="minorBidi"/>
              <w:smallCaps w:val="0"/>
              <w:noProof/>
              <w:kern w:val="2"/>
              <w:sz w:val="24"/>
              <w:szCs w:val="24"/>
              <w14:ligatures w14:val="standardContextual"/>
            </w:rPr>
          </w:pPr>
          <w:hyperlink w:anchor="_Toc233908853" w:history="1">
            <w:r w:rsidRPr="0065539A">
              <w:rPr>
                <w:rStyle w:val="Lienhypertexte"/>
                <w:noProof/>
              </w:rPr>
              <w:t>Objectifs et positionnement du projet</w:t>
            </w:r>
            <w:r>
              <w:rPr>
                <w:noProof/>
                <w:webHidden/>
              </w:rPr>
              <w:tab/>
            </w:r>
            <w:r>
              <w:rPr>
                <w:noProof/>
                <w:webHidden/>
              </w:rPr>
              <w:fldChar w:fldCharType="begin"/>
            </w:r>
            <w:r>
              <w:rPr>
                <w:noProof/>
                <w:webHidden/>
              </w:rPr>
              <w:instrText xml:space="preserve"> PAGEREF _Toc233908853 \h </w:instrText>
            </w:r>
            <w:r>
              <w:rPr>
                <w:noProof/>
                <w:webHidden/>
              </w:rPr>
            </w:r>
            <w:r>
              <w:rPr>
                <w:noProof/>
                <w:webHidden/>
              </w:rPr>
              <w:fldChar w:fldCharType="separate"/>
            </w:r>
            <w:r>
              <w:rPr>
                <w:noProof/>
                <w:webHidden/>
              </w:rPr>
              <w:t>3</w:t>
            </w:r>
            <w:r>
              <w:rPr>
                <w:noProof/>
                <w:webHidden/>
              </w:rPr>
              <w:fldChar w:fldCharType="end"/>
            </w:r>
          </w:hyperlink>
        </w:p>
        <w:p w14:paraId="7718EBB7" w14:textId="2919337D" w:rsidR="00322CDA" w:rsidRDefault="00322CDA">
          <w:pPr>
            <w:pStyle w:val="TM2"/>
            <w:tabs>
              <w:tab w:val="right" w:leader="dot" w:pos="9016"/>
            </w:tabs>
            <w:rPr>
              <w:rFonts w:eastAsiaTheme="minorEastAsia" w:cstheme="minorBidi"/>
              <w:smallCaps w:val="0"/>
              <w:noProof/>
              <w:kern w:val="2"/>
              <w:sz w:val="24"/>
              <w:szCs w:val="24"/>
              <w14:ligatures w14:val="standardContextual"/>
            </w:rPr>
          </w:pPr>
          <w:hyperlink w:anchor="_Toc233908854" w:history="1">
            <w:r w:rsidRPr="0065539A">
              <w:rPr>
                <w:rStyle w:val="Lienhypertexte"/>
                <w:noProof/>
              </w:rPr>
              <w:t>Portée et limites du travail</w:t>
            </w:r>
            <w:r>
              <w:rPr>
                <w:noProof/>
                <w:webHidden/>
              </w:rPr>
              <w:tab/>
            </w:r>
            <w:r>
              <w:rPr>
                <w:noProof/>
                <w:webHidden/>
              </w:rPr>
              <w:fldChar w:fldCharType="begin"/>
            </w:r>
            <w:r>
              <w:rPr>
                <w:noProof/>
                <w:webHidden/>
              </w:rPr>
              <w:instrText xml:space="preserve"> PAGEREF _Toc233908854 \h </w:instrText>
            </w:r>
            <w:r>
              <w:rPr>
                <w:noProof/>
                <w:webHidden/>
              </w:rPr>
            </w:r>
            <w:r>
              <w:rPr>
                <w:noProof/>
                <w:webHidden/>
              </w:rPr>
              <w:fldChar w:fldCharType="separate"/>
            </w:r>
            <w:r>
              <w:rPr>
                <w:noProof/>
                <w:webHidden/>
              </w:rPr>
              <w:t>4</w:t>
            </w:r>
            <w:r>
              <w:rPr>
                <w:noProof/>
                <w:webHidden/>
              </w:rPr>
              <w:fldChar w:fldCharType="end"/>
            </w:r>
          </w:hyperlink>
        </w:p>
        <w:p w14:paraId="1217C3D2" w14:textId="0DEA854B" w:rsidR="00322CDA" w:rsidRDefault="00322CDA">
          <w:pPr>
            <w:pStyle w:val="TM1"/>
            <w:tabs>
              <w:tab w:val="right" w:leader="dot" w:pos="9016"/>
            </w:tabs>
            <w:rPr>
              <w:rFonts w:eastAsiaTheme="minorEastAsia" w:cstheme="minorBidi"/>
              <w:b w:val="0"/>
              <w:bCs w:val="0"/>
              <w:caps w:val="0"/>
              <w:noProof/>
              <w:kern w:val="2"/>
              <w:sz w:val="24"/>
              <w:szCs w:val="24"/>
              <w14:ligatures w14:val="standardContextual"/>
            </w:rPr>
          </w:pPr>
          <w:hyperlink w:anchor="_Toc233908855" w:history="1">
            <w:r w:rsidRPr="0065539A">
              <w:rPr>
                <w:rStyle w:val="Lienhypertexte"/>
                <w:noProof/>
              </w:rPr>
              <w:t>Revue de littérature</w:t>
            </w:r>
            <w:r>
              <w:rPr>
                <w:noProof/>
                <w:webHidden/>
              </w:rPr>
              <w:tab/>
            </w:r>
            <w:r>
              <w:rPr>
                <w:noProof/>
                <w:webHidden/>
              </w:rPr>
              <w:fldChar w:fldCharType="begin"/>
            </w:r>
            <w:r>
              <w:rPr>
                <w:noProof/>
                <w:webHidden/>
              </w:rPr>
              <w:instrText xml:space="preserve"> PAGEREF _Toc233908855 \h </w:instrText>
            </w:r>
            <w:r>
              <w:rPr>
                <w:noProof/>
                <w:webHidden/>
              </w:rPr>
            </w:r>
            <w:r>
              <w:rPr>
                <w:noProof/>
                <w:webHidden/>
              </w:rPr>
              <w:fldChar w:fldCharType="separate"/>
            </w:r>
            <w:r>
              <w:rPr>
                <w:noProof/>
                <w:webHidden/>
              </w:rPr>
              <w:t>5</w:t>
            </w:r>
            <w:r>
              <w:rPr>
                <w:noProof/>
                <w:webHidden/>
              </w:rPr>
              <w:fldChar w:fldCharType="end"/>
            </w:r>
          </w:hyperlink>
        </w:p>
        <w:p w14:paraId="34BFF7D4" w14:textId="4DBF9D04" w:rsidR="00322CDA" w:rsidRDefault="00322CDA">
          <w:pPr>
            <w:pStyle w:val="TM2"/>
            <w:tabs>
              <w:tab w:val="right" w:leader="dot" w:pos="9016"/>
            </w:tabs>
            <w:rPr>
              <w:rFonts w:eastAsiaTheme="minorEastAsia" w:cstheme="minorBidi"/>
              <w:smallCaps w:val="0"/>
              <w:noProof/>
              <w:kern w:val="2"/>
              <w:sz w:val="24"/>
              <w:szCs w:val="24"/>
              <w14:ligatures w14:val="standardContextual"/>
            </w:rPr>
          </w:pPr>
          <w:hyperlink w:anchor="_Toc233908856" w:history="1">
            <w:r w:rsidRPr="0065539A">
              <w:rPr>
                <w:rStyle w:val="Lienhypertexte"/>
                <w:noProof/>
              </w:rPr>
              <w:t>1. Des chocs localisés aux fluctuations agrégées : l’apport des réseaux de production</w:t>
            </w:r>
            <w:r>
              <w:rPr>
                <w:noProof/>
                <w:webHidden/>
              </w:rPr>
              <w:tab/>
            </w:r>
            <w:r>
              <w:rPr>
                <w:noProof/>
                <w:webHidden/>
              </w:rPr>
              <w:fldChar w:fldCharType="begin"/>
            </w:r>
            <w:r>
              <w:rPr>
                <w:noProof/>
                <w:webHidden/>
              </w:rPr>
              <w:instrText xml:space="preserve"> PAGEREF _Toc233908856 \h </w:instrText>
            </w:r>
            <w:r>
              <w:rPr>
                <w:noProof/>
                <w:webHidden/>
              </w:rPr>
            </w:r>
            <w:r>
              <w:rPr>
                <w:noProof/>
                <w:webHidden/>
              </w:rPr>
              <w:fldChar w:fldCharType="separate"/>
            </w:r>
            <w:r>
              <w:rPr>
                <w:noProof/>
                <w:webHidden/>
              </w:rPr>
              <w:t>5</w:t>
            </w:r>
            <w:r>
              <w:rPr>
                <w:noProof/>
                <w:webHidden/>
              </w:rPr>
              <w:fldChar w:fldCharType="end"/>
            </w:r>
          </w:hyperlink>
        </w:p>
        <w:p w14:paraId="43933DC2" w14:textId="13345D40" w:rsidR="00322CDA" w:rsidRDefault="00322CDA">
          <w:pPr>
            <w:pStyle w:val="TM2"/>
            <w:tabs>
              <w:tab w:val="right" w:leader="dot" w:pos="9016"/>
            </w:tabs>
            <w:rPr>
              <w:rFonts w:eastAsiaTheme="minorEastAsia" w:cstheme="minorBidi"/>
              <w:smallCaps w:val="0"/>
              <w:noProof/>
              <w:kern w:val="2"/>
              <w:sz w:val="24"/>
              <w:szCs w:val="24"/>
              <w14:ligatures w14:val="standardContextual"/>
            </w:rPr>
          </w:pPr>
          <w:hyperlink w:anchor="_Toc233908857" w:history="1">
            <w:r w:rsidRPr="0065539A">
              <w:rPr>
                <w:rStyle w:val="Lienhypertexte"/>
                <w:noProof/>
              </w:rPr>
              <w:t>2. Le coût économique des catastrophes : pertes indirectes et tension entre approches</w:t>
            </w:r>
            <w:r>
              <w:rPr>
                <w:noProof/>
                <w:webHidden/>
              </w:rPr>
              <w:tab/>
            </w:r>
            <w:r>
              <w:rPr>
                <w:noProof/>
                <w:webHidden/>
              </w:rPr>
              <w:fldChar w:fldCharType="begin"/>
            </w:r>
            <w:r>
              <w:rPr>
                <w:noProof/>
                <w:webHidden/>
              </w:rPr>
              <w:instrText xml:space="preserve"> PAGEREF _Toc233908857 \h </w:instrText>
            </w:r>
            <w:r>
              <w:rPr>
                <w:noProof/>
                <w:webHidden/>
              </w:rPr>
            </w:r>
            <w:r>
              <w:rPr>
                <w:noProof/>
                <w:webHidden/>
              </w:rPr>
              <w:fldChar w:fldCharType="separate"/>
            </w:r>
            <w:r>
              <w:rPr>
                <w:noProof/>
                <w:webHidden/>
              </w:rPr>
              <w:t>6</w:t>
            </w:r>
            <w:r>
              <w:rPr>
                <w:noProof/>
                <w:webHidden/>
              </w:rPr>
              <w:fldChar w:fldCharType="end"/>
            </w:r>
          </w:hyperlink>
        </w:p>
        <w:p w14:paraId="02B508BB" w14:textId="60909D6A" w:rsidR="00322CDA" w:rsidRDefault="00322CDA">
          <w:pPr>
            <w:pStyle w:val="TM2"/>
            <w:tabs>
              <w:tab w:val="right" w:leader="dot" w:pos="9016"/>
            </w:tabs>
            <w:rPr>
              <w:rFonts w:eastAsiaTheme="minorEastAsia" w:cstheme="minorBidi"/>
              <w:smallCaps w:val="0"/>
              <w:noProof/>
              <w:kern w:val="2"/>
              <w:sz w:val="24"/>
              <w:szCs w:val="24"/>
              <w14:ligatures w14:val="standardContextual"/>
            </w:rPr>
          </w:pPr>
          <w:hyperlink w:anchor="_Toc233908858" w:history="1">
            <w:r w:rsidRPr="0065539A">
              <w:rPr>
                <w:rStyle w:val="Lienhypertexte"/>
                <w:noProof/>
              </w:rPr>
              <w:t>3. Modéliser le court terme post-catastrophe : les grandes traditions</w:t>
            </w:r>
            <w:r>
              <w:rPr>
                <w:noProof/>
                <w:webHidden/>
              </w:rPr>
              <w:tab/>
            </w:r>
            <w:r>
              <w:rPr>
                <w:noProof/>
                <w:webHidden/>
              </w:rPr>
              <w:fldChar w:fldCharType="begin"/>
            </w:r>
            <w:r>
              <w:rPr>
                <w:noProof/>
                <w:webHidden/>
              </w:rPr>
              <w:instrText xml:space="preserve"> PAGEREF _Toc233908858 \h </w:instrText>
            </w:r>
            <w:r>
              <w:rPr>
                <w:noProof/>
                <w:webHidden/>
              </w:rPr>
            </w:r>
            <w:r>
              <w:rPr>
                <w:noProof/>
                <w:webHidden/>
              </w:rPr>
              <w:fldChar w:fldCharType="separate"/>
            </w:r>
            <w:r>
              <w:rPr>
                <w:noProof/>
                <w:webHidden/>
              </w:rPr>
              <w:t>6</w:t>
            </w:r>
            <w:r>
              <w:rPr>
                <w:noProof/>
                <w:webHidden/>
              </w:rPr>
              <w:fldChar w:fldCharType="end"/>
            </w:r>
          </w:hyperlink>
        </w:p>
        <w:p w14:paraId="761CABD2" w14:textId="728A661F" w:rsidR="00322CDA" w:rsidRDefault="00322CDA">
          <w:pPr>
            <w:pStyle w:val="TM3"/>
            <w:tabs>
              <w:tab w:val="right" w:leader="dot" w:pos="9016"/>
            </w:tabs>
            <w:rPr>
              <w:rFonts w:eastAsiaTheme="minorEastAsia" w:cstheme="minorBidi"/>
              <w:i w:val="0"/>
              <w:iCs w:val="0"/>
              <w:noProof/>
              <w:kern w:val="2"/>
              <w:sz w:val="24"/>
              <w:szCs w:val="24"/>
              <w14:ligatures w14:val="standardContextual"/>
            </w:rPr>
          </w:pPr>
          <w:hyperlink w:anchor="_Toc233908859" w:history="1">
            <w:r w:rsidRPr="0065539A">
              <w:rPr>
                <w:rStyle w:val="Lienhypertexte"/>
                <w:noProof/>
              </w:rPr>
              <w:t>3.1 Les extensions du cadre entrées-sorties statique</w:t>
            </w:r>
            <w:r>
              <w:rPr>
                <w:noProof/>
                <w:webHidden/>
              </w:rPr>
              <w:tab/>
            </w:r>
            <w:r>
              <w:rPr>
                <w:noProof/>
                <w:webHidden/>
              </w:rPr>
              <w:fldChar w:fldCharType="begin"/>
            </w:r>
            <w:r>
              <w:rPr>
                <w:noProof/>
                <w:webHidden/>
              </w:rPr>
              <w:instrText xml:space="preserve"> PAGEREF _Toc233908859 \h </w:instrText>
            </w:r>
            <w:r>
              <w:rPr>
                <w:noProof/>
                <w:webHidden/>
              </w:rPr>
            </w:r>
            <w:r>
              <w:rPr>
                <w:noProof/>
                <w:webHidden/>
              </w:rPr>
              <w:fldChar w:fldCharType="separate"/>
            </w:r>
            <w:r>
              <w:rPr>
                <w:noProof/>
                <w:webHidden/>
              </w:rPr>
              <w:t>6</w:t>
            </w:r>
            <w:r>
              <w:rPr>
                <w:noProof/>
                <w:webHidden/>
              </w:rPr>
              <w:fldChar w:fldCharType="end"/>
            </w:r>
          </w:hyperlink>
        </w:p>
        <w:p w14:paraId="44F898D8" w14:textId="40FE5C04" w:rsidR="00322CDA" w:rsidRDefault="00322CDA">
          <w:pPr>
            <w:pStyle w:val="TM3"/>
            <w:tabs>
              <w:tab w:val="right" w:leader="dot" w:pos="9016"/>
            </w:tabs>
            <w:rPr>
              <w:rFonts w:eastAsiaTheme="minorEastAsia" w:cstheme="minorBidi"/>
              <w:i w:val="0"/>
              <w:iCs w:val="0"/>
              <w:noProof/>
              <w:kern w:val="2"/>
              <w:sz w:val="24"/>
              <w:szCs w:val="24"/>
              <w14:ligatures w14:val="standardContextual"/>
            </w:rPr>
          </w:pPr>
          <w:hyperlink w:anchor="_Toc233908860" w:history="1">
            <w:r w:rsidRPr="0065539A">
              <w:rPr>
                <w:rStyle w:val="Lienhypertexte"/>
                <w:noProof/>
              </w:rPr>
              <w:t>3.2 La tradition adaptative à inventaires : ARIO et ses descendants</w:t>
            </w:r>
            <w:r>
              <w:rPr>
                <w:noProof/>
                <w:webHidden/>
              </w:rPr>
              <w:tab/>
            </w:r>
            <w:r>
              <w:rPr>
                <w:noProof/>
                <w:webHidden/>
              </w:rPr>
              <w:fldChar w:fldCharType="begin"/>
            </w:r>
            <w:r>
              <w:rPr>
                <w:noProof/>
                <w:webHidden/>
              </w:rPr>
              <w:instrText xml:space="preserve"> PAGEREF _Toc233908860 \h </w:instrText>
            </w:r>
            <w:r>
              <w:rPr>
                <w:noProof/>
                <w:webHidden/>
              </w:rPr>
            </w:r>
            <w:r>
              <w:rPr>
                <w:noProof/>
                <w:webHidden/>
              </w:rPr>
              <w:fldChar w:fldCharType="separate"/>
            </w:r>
            <w:r>
              <w:rPr>
                <w:noProof/>
                <w:webHidden/>
              </w:rPr>
              <w:t>7</w:t>
            </w:r>
            <w:r>
              <w:rPr>
                <w:noProof/>
                <w:webHidden/>
              </w:rPr>
              <w:fldChar w:fldCharType="end"/>
            </w:r>
          </w:hyperlink>
        </w:p>
        <w:p w14:paraId="100C6320" w14:textId="660D96A1" w:rsidR="00322CDA" w:rsidRDefault="00322CDA">
          <w:pPr>
            <w:pStyle w:val="TM3"/>
            <w:tabs>
              <w:tab w:val="right" w:leader="dot" w:pos="9016"/>
            </w:tabs>
            <w:rPr>
              <w:rFonts w:eastAsiaTheme="minorEastAsia" w:cstheme="minorBidi"/>
              <w:i w:val="0"/>
              <w:iCs w:val="0"/>
              <w:noProof/>
              <w:kern w:val="2"/>
              <w:sz w:val="24"/>
              <w:szCs w:val="24"/>
              <w14:ligatures w14:val="standardContextual"/>
            </w:rPr>
          </w:pPr>
          <w:hyperlink w:anchor="_Toc233908861" w:history="1">
            <w:r w:rsidRPr="0065539A">
              <w:rPr>
                <w:rStyle w:val="Lienhypertexte"/>
                <w:noProof/>
              </w:rPr>
              <w:t>3.3 La voie de la programmation : réintroduire une flexibilité bornée</w:t>
            </w:r>
            <w:r>
              <w:rPr>
                <w:noProof/>
                <w:webHidden/>
              </w:rPr>
              <w:tab/>
            </w:r>
            <w:r>
              <w:rPr>
                <w:noProof/>
                <w:webHidden/>
              </w:rPr>
              <w:fldChar w:fldCharType="begin"/>
            </w:r>
            <w:r>
              <w:rPr>
                <w:noProof/>
                <w:webHidden/>
              </w:rPr>
              <w:instrText xml:space="preserve"> PAGEREF _Toc233908861 \h </w:instrText>
            </w:r>
            <w:r>
              <w:rPr>
                <w:noProof/>
                <w:webHidden/>
              </w:rPr>
            </w:r>
            <w:r>
              <w:rPr>
                <w:noProof/>
                <w:webHidden/>
              </w:rPr>
              <w:fldChar w:fldCharType="separate"/>
            </w:r>
            <w:r>
              <w:rPr>
                <w:noProof/>
                <w:webHidden/>
              </w:rPr>
              <w:t>8</w:t>
            </w:r>
            <w:r>
              <w:rPr>
                <w:noProof/>
                <w:webHidden/>
              </w:rPr>
              <w:fldChar w:fldCharType="end"/>
            </w:r>
          </w:hyperlink>
        </w:p>
        <w:p w14:paraId="46436F22" w14:textId="08EA2AB9" w:rsidR="00322CDA" w:rsidRDefault="00322CDA">
          <w:pPr>
            <w:pStyle w:val="TM3"/>
            <w:tabs>
              <w:tab w:val="right" w:leader="dot" w:pos="9016"/>
            </w:tabs>
            <w:rPr>
              <w:rFonts w:eastAsiaTheme="minorEastAsia" w:cstheme="minorBidi"/>
              <w:i w:val="0"/>
              <w:iCs w:val="0"/>
              <w:noProof/>
              <w:kern w:val="2"/>
              <w:sz w:val="24"/>
              <w:szCs w:val="24"/>
              <w14:ligatures w14:val="standardContextual"/>
            </w:rPr>
          </w:pPr>
          <w:hyperlink w:anchor="_Toc233908862" w:history="1">
            <w:r w:rsidRPr="0065539A">
              <w:rPr>
                <w:rStyle w:val="Lienhypertexte"/>
                <w:noProof/>
              </w:rPr>
              <w:t>3.4 Les modèles à base d’agents : la propagation au niveau des firmes</w:t>
            </w:r>
            <w:r>
              <w:rPr>
                <w:noProof/>
                <w:webHidden/>
              </w:rPr>
              <w:tab/>
            </w:r>
            <w:r>
              <w:rPr>
                <w:noProof/>
                <w:webHidden/>
              </w:rPr>
              <w:fldChar w:fldCharType="begin"/>
            </w:r>
            <w:r>
              <w:rPr>
                <w:noProof/>
                <w:webHidden/>
              </w:rPr>
              <w:instrText xml:space="preserve"> PAGEREF _Toc233908862 \h </w:instrText>
            </w:r>
            <w:r>
              <w:rPr>
                <w:noProof/>
                <w:webHidden/>
              </w:rPr>
            </w:r>
            <w:r>
              <w:rPr>
                <w:noProof/>
                <w:webHidden/>
              </w:rPr>
              <w:fldChar w:fldCharType="separate"/>
            </w:r>
            <w:r>
              <w:rPr>
                <w:noProof/>
                <w:webHidden/>
              </w:rPr>
              <w:t>8</w:t>
            </w:r>
            <w:r>
              <w:rPr>
                <w:noProof/>
                <w:webHidden/>
              </w:rPr>
              <w:fldChar w:fldCharType="end"/>
            </w:r>
          </w:hyperlink>
        </w:p>
        <w:p w14:paraId="240B4126" w14:textId="30A136E7" w:rsidR="00322CDA" w:rsidRDefault="00322CDA">
          <w:pPr>
            <w:pStyle w:val="TM3"/>
            <w:tabs>
              <w:tab w:val="right" w:leader="dot" w:pos="9016"/>
            </w:tabs>
            <w:rPr>
              <w:rFonts w:eastAsiaTheme="minorEastAsia" w:cstheme="minorBidi"/>
              <w:i w:val="0"/>
              <w:iCs w:val="0"/>
              <w:noProof/>
              <w:kern w:val="2"/>
              <w:sz w:val="24"/>
              <w:szCs w:val="24"/>
              <w14:ligatures w14:val="standardContextual"/>
            </w:rPr>
          </w:pPr>
          <w:hyperlink w:anchor="_Toc233908863" w:history="1">
            <w:r w:rsidRPr="0065539A">
              <w:rPr>
                <w:rStyle w:val="Lienhypertexte"/>
                <w:noProof/>
              </w:rPr>
              <w:t>3.5 Les modèles de déséquilibre en temps continu : la filiation d’ESTEEM</w:t>
            </w:r>
            <w:r>
              <w:rPr>
                <w:noProof/>
                <w:webHidden/>
              </w:rPr>
              <w:tab/>
            </w:r>
            <w:r>
              <w:rPr>
                <w:noProof/>
                <w:webHidden/>
              </w:rPr>
              <w:fldChar w:fldCharType="begin"/>
            </w:r>
            <w:r>
              <w:rPr>
                <w:noProof/>
                <w:webHidden/>
              </w:rPr>
              <w:instrText xml:space="preserve"> PAGEREF _Toc233908863 \h </w:instrText>
            </w:r>
            <w:r>
              <w:rPr>
                <w:noProof/>
                <w:webHidden/>
              </w:rPr>
            </w:r>
            <w:r>
              <w:rPr>
                <w:noProof/>
                <w:webHidden/>
              </w:rPr>
              <w:fldChar w:fldCharType="separate"/>
            </w:r>
            <w:r>
              <w:rPr>
                <w:noProof/>
                <w:webHidden/>
              </w:rPr>
              <w:t>8</w:t>
            </w:r>
            <w:r>
              <w:rPr>
                <w:noProof/>
                <w:webHidden/>
              </w:rPr>
              <w:fldChar w:fldCharType="end"/>
            </w:r>
          </w:hyperlink>
        </w:p>
        <w:p w14:paraId="5ECF0174" w14:textId="01086D3E" w:rsidR="00322CDA" w:rsidRDefault="00322CDA">
          <w:pPr>
            <w:pStyle w:val="TM3"/>
            <w:tabs>
              <w:tab w:val="right" w:leader="dot" w:pos="9016"/>
            </w:tabs>
            <w:rPr>
              <w:rFonts w:eastAsiaTheme="minorEastAsia" w:cstheme="minorBidi"/>
              <w:i w:val="0"/>
              <w:iCs w:val="0"/>
              <w:noProof/>
              <w:kern w:val="2"/>
              <w:sz w:val="24"/>
              <w:szCs w:val="24"/>
              <w14:ligatures w14:val="standardContextual"/>
            </w:rPr>
          </w:pPr>
          <w:hyperlink w:anchor="_Toc233908864" w:history="1">
            <w:r w:rsidRPr="0065539A">
              <w:rPr>
                <w:rStyle w:val="Lienhypertexte"/>
                <w:noProof/>
              </w:rPr>
              <w:t>3.6 Bilan : ce que ces traditions requièrent du modèle de fret</w:t>
            </w:r>
            <w:r>
              <w:rPr>
                <w:noProof/>
                <w:webHidden/>
              </w:rPr>
              <w:tab/>
            </w:r>
            <w:r>
              <w:rPr>
                <w:noProof/>
                <w:webHidden/>
              </w:rPr>
              <w:fldChar w:fldCharType="begin"/>
            </w:r>
            <w:r>
              <w:rPr>
                <w:noProof/>
                <w:webHidden/>
              </w:rPr>
              <w:instrText xml:space="preserve"> PAGEREF _Toc233908864 \h </w:instrText>
            </w:r>
            <w:r>
              <w:rPr>
                <w:noProof/>
                <w:webHidden/>
              </w:rPr>
            </w:r>
            <w:r>
              <w:rPr>
                <w:noProof/>
                <w:webHidden/>
              </w:rPr>
              <w:fldChar w:fldCharType="separate"/>
            </w:r>
            <w:r>
              <w:rPr>
                <w:noProof/>
                <w:webHidden/>
              </w:rPr>
              <w:t>9</w:t>
            </w:r>
            <w:r>
              <w:rPr>
                <w:noProof/>
                <w:webHidden/>
              </w:rPr>
              <w:fldChar w:fldCharType="end"/>
            </w:r>
          </w:hyperlink>
        </w:p>
        <w:p w14:paraId="4677B740" w14:textId="127E1989" w:rsidR="00322CDA" w:rsidRDefault="00322CDA">
          <w:pPr>
            <w:pStyle w:val="TM2"/>
            <w:tabs>
              <w:tab w:val="right" w:leader="dot" w:pos="9016"/>
            </w:tabs>
            <w:rPr>
              <w:rFonts w:eastAsiaTheme="minorEastAsia" w:cstheme="minorBidi"/>
              <w:smallCaps w:val="0"/>
              <w:noProof/>
              <w:kern w:val="2"/>
              <w:sz w:val="24"/>
              <w:szCs w:val="24"/>
              <w14:ligatures w14:val="standardContextual"/>
            </w:rPr>
          </w:pPr>
          <w:hyperlink w:anchor="_Toc233908865" w:history="1">
            <w:r w:rsidRPr="0065539A">
              <w:rPr>
                <w:rStyle w:val="Lienhypertexte"/>
                <w:noProof/>
              </w:rPr>
              <w:t>4. Le transport comme vecteur de propagation : criticité et résilience des réseaux</w:t>
            </w:r>
            <w:r>
              <w:rPr>
                <w:noProof/>
                <w:webHidden/>
              </w:rPr>
              <w:tab/>
            </w:r>
            <w:r>
              <w:rPr>
                <w:noProof/>
                <w:webHidden/>
              </w:rPr>
              <w:fldChar w:fldCharType="begin"/>
            </w:r>
            <w:r>
              <w:rPr>
                <w:noProof/>
                <w:webHidden/>
              </w:rPr>
              <w:instrText xml:space="preserve"> PAGEREF _Toc233908865 \h </w:instrText>
            </w:r>
            <w:r>
              <w:rPr>
                <w:noProof/>
                <w:webHidden/>
              </w:rPr>
            </w:r>
            <w:r>
              <w:rPr>
                <w:noProof/>
                <w:webHidden/>
              </w:rPr>
              <w:fldChar w:fldCharType="separate"/>
            </w:r>
            <w:r>
              <w:rPr>
                <w:noProof/>
                <w:webHidden/>
              </w:rPr>
              <w:t>9</w:t>
            </w:r>
            <w:r>
              <w:rPr>
                <w:noProof/>
                <w:webHidden/>
              </w:rPr>
              <w:fldChar w:fldCharType="end"/>
            </w:r>
          </w:hyperlink>
        </w:p>
        <w:p w14:paraId="79BDF29B" w14:textId="2B9D58D3" w:rsidR="00322CDA" w:rsidRDefault="00322CDA">
          <w:pPr>
            <w:pStyle w:val="TM2"/>
            <w:tabs>
              <w:tab w:val="right" w:leader="dot" w:pos="9016"/>
            </w:tabs>
            <w:rPr>
              <w:rFonts w:eastAsiaTheme="minorEastAsia" w:cstheme="minorBidi"/>
              <w:smallCaps w:val="0"/>
              <w:noProof/>
              <w:kern w:val="2"/>
              <w:sz w:val="24"/>
              <w:szCs w:val="24"/>
              <w14:ligatures w14:val="standardContextual"/>
            </w:rPr>
          </w:pPr>
          <w:hyperlink w:anchor="_Toc233908866" w:history="1">
            <w:r w:rsidRPr="0065539A">
              <w:rPr>
                <w:rStyle w:val="Lienhypertexte"/>
                <w:noProof/>
              </w:rPr>
              <w:t>5. Modéliser le fret : panorama des approches et choix retenus</w:t>
            </w:r>
            <w:r>
              <w:rPr>
                <w:noProof/>
                <w:webHidden/>
              </w:rPr>
              <w:tab/>
            </w:r>
            <w:r>
              <w:rPr>
                <w:noProof/>
                <w:webHidden/>
              </w:rPr>
              <w:fldChar w:fldCharType="begin"/>
            </w:r>
            <w:r>
              <w:rPr>
                <w:noProof/>
                <w:webHidden/>
              </w:rPr>
              <w:instrText xml:space="preserve"> PAGEREF _Toc233908866 \h </w:instrText>
            </w:r>
            <w:r>
              <w:rPr>
                <w:noProof/>
                <w:webHidden/>
              </w:rPr>
            </w:r>
            <w:r>
              <w:rPr>
                <w:noProof/>
                <w:webHidden/>
              </w:rPr>
              <w:fldChar w:fldCharType="separate"/>
            </w:r>
            <w:r>
              <w:rPr>
                <w:noProof/>
                <w:webHidden/>
              </w:rPr>
              <w:t>10</w:t>
            </w:r>
            <w:r>
              <w:rPr>
                <w:noProof/>
                <w:webHidden/>
              </w:rPr>
              <w:fldChar w:fldCharType="end"/>
            </w:r>
          </w:hyperlink>
        </w:p>
        <w:p w14:paraId="071114C8" w14:textId="225D5D2F" w:rsidR="00322CDA" w:rsidRDefault="00322CDA">
          <w:pPr>
            <w:pStyle w:val="TM3"/>
            <w:tabs>
              <w:tab w:val="right" w:leader="dot" w:pos="9016"/>
            </w:tabs>
            <w:rPr>
              <w:rFonts w:eastAsiaTheme="minorEastAsia" w:cstheme="minorBidi"/>
              <w:i w:val="0"/>
              <w:iCs w:val="0"/>
              <w:noProof/>
              <w:kern w:val="2"/>
              <w:sz w:val="24"/>
              <w:szCs w:val="24"/>
              <w14:ligatures w14:val="standardContextual"/>
            </w:rPr>
          </w:pPr>
          <w:hyperlink w:anchor="_Toc233908867" w:history="1">
            <w:r w:rsidRPr="0065539A">
              <w:rPr>
                <w:rStyle w:val="Lienhypertexte"/>
                <w:noProof/>
              </w:rPr>
              <w:t>5.1 Le cadre agrégé : le modèle à quatre étapes et ses fondements</w:t>
            </w:r>
            <w:r>
              <w:rPr>
                <w:noProof/>
                <w:webHidden/>
              </w:rPr>
              <w:tab/>
            </w:r>
            <w:r>
              <w:rPr>
                <w:noProof/>
                <w:webHidden/>
              </w:rPr>
              <w:fldChar w:fldCharType="begin"/>
            </w:r>
            <w:r>
              <w:rPr>
                <w:noProof/>
                <w:webHidden/>
              </w:rPr>
              <w:instrText xml:space="preserve"> PAGEREF _Toc233908867 \h </w:instrText>
            </w:r>
            <w:r>
              <w:rPr>
                <w:noProof/>
                <w:webHidden/>
              </w:rPr>
            </w:r>
            <w:r>
              <w:rPr>
                <w:noProof/>
                <w:webHidden/>
              </w:rPr>
              <w:fldChar w:fldCharType="separate"/>
            </w:r>
            <w:r>
              <w:rPr>
                <w:noProof/>
                <w:webHidden/>
              </w:rPr>
              <w:t>10</w:t>
            </w:r>
            <w:r>
              <w:rPr>
                <w:noProof/>
                <w:webHidden/>
              </w:rPr>
              <w:fldChar w:fldCharType="end"/>
            </w:r>
          </w:hyperlink>
        </w:p>
        <w:p w14:paraId="3556E27F" w14:textId="2D9285B6" w:rsidR="00322CDA" w:rsidRDefault="00322CDA">
          <w:pPr>
            <w:pStyle w:val="TM3"/>
            <w:tabs>
              <w:tab w:val="right" w:leader="dot" w:pos="9016"/>
            </w:tabs>
            <w:rPr>
              <w:rFonts w:eastAsiaTheme="minorEastAsia" w:cstheme="minorBidi"/>
              <w:i w:val="0"/>
              <w:iCs w:val="0"/>
              <w:noProof/>
              <w:kern w:val="2"/>
              <w:sz w:val="24"/>
              <w:szCs w:val="24"/>
              <w14:ligatures w14:val="standardContextual"/>
            </w:rPr>
          </w:pPr>
          <w:hyperlink w:anchor="_Toc233908868" w:history="1">
            <w:r w:rsidRPr="0065539A">
              <w:rPr>
                <w:rStyle w:val="Lienhypertexte"/>
                <w:noProof/>
              </w:rPr>
              <w:t>5.2 Première alternative : les modèles désagrégés et à base d’agents</w:t>
            </w:r>
            <w:r>
              <w:rPr>
                <w:noProof/>
                <w:webHidden/>
              </w:rPr>
              <w:tab/>
            </w:r>
            <w:r>
              <w:rPr>
                <w:noProof/>
                <w:webHidden/>
              </w:rPr>
              <w:fldChar w:fldCharType="begin"/>
            </w:r>
            <w:r>
              <w:rPr>
                <w:noProof/>
                <w:webHidden/>
              </w:rPr>
              <w:instrText xml:space="preserve"> PAGEREF _Toc233908868 \h </w:instrText>
            </w:r>
            <w:r>
              <w:rPr>
                <w:noProof/>
                <w:webHidden/>
              </w:rPr>
            </w:r>
            <w:r>
              <w:rPr>
                <w:noProof/>
                <w:webHidden/>
              </w:rPr>
              <w:fldChar w:fldCharType="separate"/>
            </w:r>
            <w:r>
              <w:rPr>
                <w:noProof/>
                <w:webHidden/>
              </w:rPr>
              <w:t>10</w:t>
            </w:r>
            <w:r>
              <w:rPr>
                <w:noProof/>
                <w:webHidden/>
              </w:rPr>
              <w:fldChar w:fldCharType="end"/>
            </w:r>
          </w:hyperlink>
        </w:p>
        <w:p w14:paraId="613BF18F" w14:textId="1C0A7F25" w:rsidR="00322CDA" w:rsidRDefault="00322CDA">
          <w:pPr>
            <w:pStyle w:val="TM3"/>
            <w:tabs>
              <w:tab w:val="right" w:leader="dot" w:pos="9016"/>
            </w:tabs>
            <w:rPr>
              <w:rFonts w:eastAsiaTheme="minorEastAsia" w:cstheme="minorBidi"/>
              <w:i w:val="0"/>
              <w:iCs w:val="0"/>
              <w:noProof/>
              <w:kern w:val="2"/>
              <w:sz w:val="24"/>
              <w:szCs w:val="24"/>
              <w14:ligatures w14:val="standardContextual"/>
            </w:rPr>
          </w:pPr>
          <w:hyperlink w:anchor="_Toc233908869" w:history="1">
            <w:r w:rsidRPr="0065539A">
              <w:rPr>
                <w:rStyle w:val="Lienhypertexte"/>
                <w:noProof/>
              </w:rPr>
              <w:t>5.3 Deuxième alternative : l’architecture logistique — supernetwork contre hypernetwork</w:t>
            </w:r>
            <w:r>
              <w:rPr>
                <w:noProof/>
                <w:webHidden/>
              </w:rPr>
              <w:tab/>
            </w:r>
            <w:r>
              <w:rPr>
                <w:noProof/>
                <w:webHidden/>
              </w:rPr>
              <w:fldChar w:fldCharType="begin"/>
            </w:r>
            <w:r>
              <w:rPr>
                <w:noProof/>
                <w:webHidden/>
              </w:rPr>
              <w:instrText xml:space="preserve"> PAGEREF _Toc233908869 \h </w:instrText>
            </w:r>
            <w:r>
              <w:rPr>
                <w:noProof/>
                <w:webHidden/>
              </w:rPr>
            </w:r>
            <w:r>
              <w:rPr>
                <w:noProof/>
                <w:webHidden/>
              </w:rPr>
              <w:fldChar w:fldCharType="separate"/>
            </w:r>
            <w:r>
              <w:rPr>
                <w:noProof/>
                <w:webHidden/>
              </w:rPr>
              <w:t>11</w:t>
            </w:r>
            <w:r>
              <w:rPr>
                <w:noProof/>
                <w:webHidden/>
              </w:rPr>
              <w:fldChar w:fldCharType="end"/>
            </w:r>
          </w:hyperlink>
        </w:p>
        <w:p w14:paraId="53AEE978" w14:textId="2D162E40" w:rsidR="00322CDA" w:rsidRDefault="00322CDA">
          <w:pPr>
            <w:pStyle w:val="TM3"/>
            <w:tabs>
              <w:tab w:val="right" w:leader="dot" w:pos="9016"/>
            </w:tabs>
            <w:rPr>
              <w:rFonts w:eastAsiaTheme="minorEastAsia" w:cstheme="minorBidi"/>
              <w:i w:val="0"/>
              <w:iCs w:val="0"/>
              <w:noProof/>
              <w:kern w:val="2"/>
              <w:sz w:val="24"/>
              <w:szCs w:val="24"/>
              <w14:ligatures w14:val="standardContextual"/>
            </w:rPr>
          </w:pPr>
          <w:hyperlink w:anchor="_Toc233908870" w:history="1">
            <w:r w:rsidRPr="0065539A">
              <w:rPr>
                <w:rStyle w:val="Lienhypertexte"/>
                <w:noProof/>
              </w:rPr>
              <w:t>5.4 Troisième alternative : le degré de sophistication de l’affectation</w:t>
            </w:r>
            <w:r>
              <w:rPr>
                <w:noProof/>
                <w:webHidden/>
              </w:rPr>
              <w:tab/>
            </w:r>
            <w:r>
              <w:rPr>
                <w:noProof/>
                <w:webHidden/>
              </w:rPr>
              <w:fldChar w:fldCharType="begin"/>
            </w:r>
            <w:r>
              <w:rPr>
                <w:noProof/>
                <w:webHidden/>
              </w:rPr>
              <w:instrText xml:space="preserve"> PAGEREF _Toc233908870 \h </w:instrText>
            </w:r>
            <w:r>
              <w:rPr>
                <w:noProof/>
                <w:webHidden/>
              </w:rPr>
            </w:r>
            <w:r>
              <w:rPr>
                <w:noProof/>
                <w:webHidden/>
              </w:rPr>
              <w:fldChar w:fldCharType="separate"/>
            </w:r>
            <w:r>
              <w:rPr>
                <w:noProof/>
                <w:webHidden/>
              </w:rPr>
              <w:t>12</w:t>
            </w:r>
            <w:r>
              <w:rPr>
                <w:noProof/>
                <w:webHidden/>
              </w:rPr>
              <w:fldChar w:fldCharType="end"/>
            </w:r>
          </w:hyperlink>
        </w:p>
        <w:p w14:paraId="783F775C" w14:textId="5AE5627F" w:rsidR="00322CDA" w:rsidRDefault="00322CDA">
          <w:pPr>
            <w:pStyle w:val="TM2"/>
            <w:tabs>
              <w:tab w:val="right" w:leader="dot" w:pos="9016"/>
            </w:tabs>
            <w:rPr>
              <w:rFonts w:eastAsiaTheme="minorEastAsia" w:cstheme="minorBidi"/>
              <w:smallCaps w:val="0"/>
              <w:noProof/>
              <w:kern w:val="2"/>
              <w:sz w:val="24"/>
              <w:szCs w:val="24"/>
              <w14:ligatures w14:val="standardContextual"/>
            </w:rPr>
          </w:pPr>
          <w:hyperlink w:anchor="_Toc233908871" w:history="1">
            <w:r w:rsidRPr="0065539A">
              <w:rPr>
                <w:rStyle w:val="Lienhypertexte"/>
                <w:noProof/>
              </w:rPr>
              <w:t>6. Coupler fret et économie pour l’analyse de choc : les stratégies en présence</w:t>
            </w:r>
            <w:r>
              <w:rPr>
                <w:noProof/>
                <w:webHidden/>
              </w:rPr>
              <w:tab/>
            </w:r>
            <w:r>
              <w:rPr>
                <w:noProof/>
                <w:webHidden/>
              </w:rPr>
              <w:fldChar w:fldCharType="begin"/>
            </w:r>
            <w:r>
              <w:rPr>
                <w:noProof/>
                <w:webHidden/>
              </w:rPr>
              <w:instrText xml:space="preserve"> PAGEREF _Toc233908871 \h </w:instrText>
            </w:r>
            <w:r>
              <w:rPr>
                <w:noProof/>
                <w:webHidden/>
              </w:rPr>
            </w:r>
            <w:r>
              <w:rPr>
                <w:noProof/>
                <w:webHidden/>
              </w:rPr>
              <w:fldChar w:fldCharType="separate"/>
            </w:r>
            <w:r>
              <w:rPr>
                <w:noProof/>
                <w:webHidden/>
              </w:rPr>
              <w:t>12</w:t>
            </w:r>
            <w:r>
              <w:rPr>
                <w:noProof/>
                <w:webHidden/>
              </w:rPr>
              <w:fldChar w:fldCharType="end"/>
            </w:r>
          </w:hyperlink>
        </w:p>
        <w:p w14:paraId="35D2EB4D" w14:textId="0AE5465A" w:rsidR="00322CDA" w:rsidRDefault="00322CDA">
          <w:pPr>
            <w:pStyle w:val="TM3"/>
            <w:tabs>
              <w:tab w:val="right" w:leader="dot" w:pos="9016"/>
            </w:tabs>
            <w:rPr>
              <w:rFonts w:eastAsiaTheme="minorEastAsia" w:cstheme="minorBidi"/>
              <w:i w:val="0"/>
              <w:iCs w:val="0"/>
              <w:noProof/>
              <w:kern w:val="2"/>
              <w:sz w:val="24"/>
              <w:szCs w:val="24"/>
              <w14:ligatures w14:val="standardContextual"/>
            </w:rPr>
          </w:pPr>
          <w:hyperlink w:anchor="_Toc233908872" w:history="1">
            <w:r w:rsidRPr="0065539A">
              <w:rPr>
                <w:rStyle w:val="Lienhypertexte"/>
                <w:noProof/>
              </w:rPr>
              <w:t>6.1 Panorama des stratégies de couplage</w:t>
            </w:r>
            <w:r>
              <w:rPr>
                <w:noProof/>
                <w:webHidden/>
              </w:rPr>
              <w:tab/>
            </w:r>
            <w:r>
              <w:rPr>
                <w:noProof/>
                <w:webHidden/>
              </w:rPr>
              <w:fldChar w:fldCharType="begin"/>
            </w:r>
            <w:r>
              <w:rPr>
                <w:noProof/>
                <w:webHidden/>
              </w:rPr>
              <w:instrText xml:space="preserve"> PAGEREF _Toc233908872 \h </w:instrText>
            </w:r>
            <w:r>
              <w:rPr>
                <w:noProof/>
                <w:webHidden/>
              </w:rPr>
            </w:r>
            <w:r>
              <w:rPr>
                <w:noProof/>
                <w:webHidden/>
              </w:rPr>
              <w:fldChar w:fldCharType="separate"/>
            </w:r>
            <w:r>
              <w:rPr>
                <w:noProof/>
                <w:webHidden/>
              </w:rPr>
              <w:t>12</w:t>
            </w:r>
            <w:r>
              <w:rPr>
                <w:noProof/>
                <w:webHidden/>
              </w:rPr>
              <w:fldChar w:fldCharType="end"/>
            </w:r>
          </w:hyperlink>
        </w:p>
        <w:p w14:paraId="7799AB95" w14:textId="64600488" w:rsidR="00322CDA" w:rsidRDefault="00322CDA">
          <w:pPr>
            <w:pStyle w:val="TM3"/>
            <w:tabs>
              <w:tab w:val="right" w:leader="dot" w:pos="9016"/>
            </w:tabs>
            <w:rPr>
              <w:rFonts w:eastAsiaTheme="minorEastAsia" w:cstheme="minorBidi"/>
              <w:i w:val="0"/>
              <w:iCs w:val="0"/>
              <w:noProof/>
              <w:kern w:val="2"/>
              <w:sz w:val="24"/>
              <w:szCs w:val="24"/>
              <w14:ligatures w14:val="standardContextual"/>
            </w:rPr>
          </w:pPr>
          <w:hyperlink w:anchor="_Toc233908873" w:history="1">
            <w:r w:rsidRPr="0065539A">
              <w:rPr>
                <w:rStyle w:val="Lienhypertexte"/>
                <w:noProof/>
              </w:rPr>
              <w:t>6.2 Le choix retenu et sa justification</w:t>
            </w:r>
            <w:r>
              <w:rPr>
                <w:noProof/>
                <w:webHidden/>
              </w:rPr>
              <w:tab/>
            </w:r>
            <w:r>
              <w:rPr>
                <w:noProof/>
                <w:webHidden/>
              </w:rPr>
              <w:fldChar w:fldCharType="begin"/>
            </w:r>
            <w:r>
              <w:rPr>
                <w:noProof/>
                <w:webHidden/>
              </w:rPr>
              <w:instrText xml:space="preserve"> PAGEREF _Toc233908873 \h </w:instrText>
            </w:r>
            <w:r>
              <w:rPr>
                <w:noProof/>
                <w:webHidden/>
              </w:rPr>
            </w:r>
            <w:r>
              <w:rPr>
                <w:noProof/>
                <w:webHidden/>
              </w:rPr>
              <w:fldChar w:fldCharType="separate"/>
            </w:r>
            <w:r>
              <w:rPr>
                <w:noProof/>
                <w:webHidden/>
              </w:rPr>
              <w:t>13</w:t>
            </w:r>
            <w:r>
              <w:rPr>
                <w:noProof/>
                <w:webHidden/>
              </w:rPr>
              <w:fldChar w:fldCharType="end"/>
            </w:r>
          </w:hyperlink>
        </w:p>
        <w:p w14:paraId="5D585F53" w14:textId="1791A3E6" w:rsidR="00322CDA" w:rsidRDefault="00322CDA">
          <w:pPr>
            <w:pStyle w:val="TM2"/>
            <w:tabs>
              <w:tab w:val="right" w:leader="dot" w:pos="9016"/>
            </w:tabs>
            <w:rPr>
              <w:rFonts w:eastAsiaTheme="minorEastAsia" w:cstheme="minorBidi"/>
              <w:smallCaps w:val="0"/>
              <w:noProof/>
              <w:kern w:val="2"/>
              <w:sz w:val="24"/>
              <w:szCs w:val="24"/>
              <w14:ligatures w14:val="standardContextual"/>
            </w:rPr>
          </w:pPr>
          <w:hyperlink w:anchor="_Toc233908874" w:history="1">
            <w:r w:rsidRPr="0065539A">
              <w:rPr>
                <w:rStyle w:val="Lienhypertexte"/>
                <w:noProof/>
              </w:rPr>
              <w:t>Synthèse et positionnement</w:t>
            </w:r>
            <w:r>
              <w:rPr>
                <w:noProof/>
                <w:webHidden/>
              </w:rPr>
              <w:tab/>
            </w:r>
            <w:r>
              <w:rPr>
                <w:noProof/>
                <w:webHidden/>
              </w:rPr>
              <w:fldChar w:fldCharType="begin"/>
            </w:r>
            <w:r>
              <w:rPr>
                <w:noProof/>
                <w:webHidden/>
              </w:rPr>
              <w:instrText xml:space="preserve"> PAGEREF _Toc233908874 \h </w:instrText>
            </w:r>
            <w:r>
              <w:rPr>
                <w:noProof/>
                <w:webHidden/>
              </w:rPr>
            </w:r>
            <w:r>
              <w:rPr>
                <w:noProof/>
                <w:webHidden/>
              </w:rPr>
              <w:fldChar w:fldCharType="separate"/>
            </w:r>
            <w:r>
              <w:rPr>
                <w:noProof/>
                <w:webHidden/>
              </w:rPr>
              <w:t>14</w:t>
            </w:r>
            <w:r>
              <w:rPr>
                <w:noProof/>
                <w:webHidden/>
              </w:rPr>
              <w:fldChar w:fldCharType="end"/>
            </w:r>
          </w:hyperlink>
        </w:p>
        <w:p w14:paraId="224DD815" w14:textId="23812DB2" w:rsidR="00322CDA" w:rsidRDefault="00322CDA">
          <w:pPr>
            <w:pStyle w:val="TM1"/>
            <w:tabs>
              <w:tab w:val="right" w:leader="dot" w:pos="9016"/>
            </w:tabs>
            <w:rPr>
              <w:rFonts w:eastAsiaTheme="minorEastAsia" w:cstheme="minorBidi"/>
              <w:b w:val="0"/>
              <w:bCs w:val="0"/>
              <w:caps w:val="0"/>
              <w:noProof/>
              <w:kern w:val="2"/>
              <w:sz w:val="24"/>
              <w:szCs w:val="24"/>
              <w14:ligatures w14:val="standardContextual"/>
            </w:rPr>
          </w:pPr>
          <w:hyperlink w:anchor="_Toc233908875" w:history="1">
            <w:r w:rsidRPr="0065539A">
              <w:rPr>
                <w:rStyle w:val="Lienhypertexte"/>
                <w:noProof/>
              </w:rPr>
              <w:t>Présentation du modèle</w:t>
            </w:r>
            <w:r>
              <w:rPr>
                <w:noProof/>
                <w:webHidden/>
              </w:rPr>
              <w:tab/>
            </w:r>
            <w:r>
              <w:rPr>
                <w:noProof/>
                <w:webHidden/>
              </w:rPr>
              <w:fldChar w:fldCharType="begin"/>
            </w:r>
            <w:r>
              <w:rPr>
                <w:noProof/>
                <w:webHidden/>
              </w:rPr>
              <w:instrText xml:space="preserve"> PAGEREF _Toc233908875 \h </w:instrText>
            </w:r>
            <w:r>
              <w:rPr>
                <w:noProof/>
                <w:webHidden/>
              </w:rPr>
            </w:r>
            <w:r>
              <w:rPr>
                <w:noProof/>
                <w:webHidden/>
              </w:rPr>
              <w:fldChar w:fldCharType="separate"/>
            </w:r>
            <w:r>
              <w:rPr>
                <w:noProof/>
                <w:webHidden/>
              </w:rPr>
              <w:t>16</w:t>
            </w:r>
            <w:r>
              <w:rPr>
                <w:noProof/>
                <w:webHidden/>
              </w:rPr>
              <w:fldChar w:fldCharType="end"/>
            </w:r>
          </w:hyperlink>
        </w:p>
        <w:p w14:paraId="1F676ACF" w14:textId="2478D267" w:rsidR="00322CDA" w:rsidRDefault="00322CDA">
          <w:pPr>
            <w:pStyle w:val="TM1"/>
            <w:tabs>
              <w:tab w:val="right" w:leader="dot" w:pos="9016"/>
            </w:tabs>
            <w:rPr>
              <w:rFonts w:eastAsiaTheme="minorEastAsia" w:cstheme="minorBidi"/>
              <w:b w:val="0"/>
              <w:bCs w:val="0"/>
              <w:caps w:val="0"/>
              <w:noProof/>
              <w:kern w:val="2"/>
              <w:sz w:val="24"/>
              <w:szCs w:val="24"/>
              <w14:ligatures w14:val="standardContextual"/>
            </w:rPr>
          </w:pPr>
          <w:hyperlink w:anchor="_Toc233908876" w:history="1">
            <w:r w:rsidRPr="0065539A">
              <w:rPr>
                <w:rStyle w:val="Lienhypertexte"/>
                <w:noProof/>
              </w:rPr>
              <w:t>Tests de sensibilité et illustration du type de résultats</w:t>
            </w:r>
            <w:r>
              <w:rPr>
                <w:noProof/>
                <w:webHidden/>
              </w:rPr>
              <w:tab/>
            </w:r>
            <w:r>
              <w:rPr>
                <w:noProof/>
                <w:webHidden/>
              </w:rPr>
              <w:fldChar w:fldCharType="begin"/>
            </w:r>
            <w:r>
              <w:rPr>
                <w:noProof/>
                <w:webHidden/>
              </w:rPr>
              <w:instrText xml:space="preserve"> PAGEREF _Toc233908876 \h </w:instrText>
            </w:r>
            <w:r>
              <w:rPr>
                <w:noProof/>
                <w:webHidden/>
              </w:rPr>
            </w:r>
            <w:r>
              <w:rPr>
                <w:noProof/>
                <w:webHidden/>
              </w:rPr>
              <w:fldChar w:fldCharType="separate"/>
            </w:r>
            <w:r>
              <w:rPr>
                <w:noProof/>
                <w:webHidden/>
              </w:rPr>
              <w:t>17</w:t>
            </w:r>
            <w:r>
              <w:rPr>
                <w:noProof/>
                <w:webHidden/>
              </w:rPr>
              <w:fldChar w:fldCharType="end"/>
            </w:r>
          </w:hyperlink>
        </w:p>
        <w:p w14:paraId="5D793E1F" w14:textId="2AB8610C" w:rsidR="00322CDA" w:rsidRDefault="00322CDA">
          <w:pPr>
            <w:pStyle w:val="TM1"/>
            <w:tabs>
              <w:tab w:val="right" w:leader="dot" w:pos="9016"/>
            </w:tabs>
            <w:rPr>
              <w:rFonts w:eastAsiaTheme="minorEastAsia" w:cstheme="minorBidi"/>
              <w:b w:val="0"/>
              <w:bCs w:val="0"/>
              <w:caps w:val="0"/>
              <w:noProof/>
              <w:kern w:val="2"/>
              <w:sz w:val="24"/>
              <w:szCs w:val="24"/>
              <w14:ligatures w14:val="standardContextual"/>
            </w:rPr>
          </w:pPr>
          <w:hyperlink w:anchor="_Toc233908877" w:history="1">
            <w:r w:rsidRPr="0065539A">
              <w:rPr>
                <w:rStyle w:val="Lienhypertexte"/>
                <w:noProof/>
              </w:rPr>
              <w:t>Limites et extensions futures</w:t>
            </w:r>
            <w:r>
              <w:rPr>
                <w:noProof/>
                <w:webHidden/>
              </w:rPr>
              <w:tab/>
            </w:r>
            <w:r>
              <w:rPr>
                <w:noProof/>
                <w:webHidden/>
              </w:rPr>
              <w:fldChar w:fldCharType="begin"/>
            </w:r>
            <w:r>
              <w:rPr>
                <w:noProof/>
                <w:webHidden/>
              </w:rPr>
              <w:instrText xml:space="preserve"> PAGEREF _Toc233908877 \h </w:instrText>
            </w:r>
            <w:r>
              <w:rPr>
                <w:noProof/>
                <w:webHidden/>
              </w:rPr>
            </w:r>
            <w:r>
              <w:rPr>
                <w:noProof/>
                <w:webHidden/>
              </w:rPr>
              <w:fldChar w:fldCharType="separate"/>
            </w:r>
            <w:r>
              <w:rPr>
                <w:noProof/>
                <w:webHidden/>
              </w:rPr>
              <w:t>18</w:t>
            </w:r>
            <w:r>
              <w:rPr>
                <w:noProof/>
                <w:webHidden/>
              </w:rPr>
              <w:fldChar w:fldCharType="end"/>
            </w:r>
          </w:hyperlink>
        </w:p>
        <w:p w14:paraId="0F510A93" w14:textId="235B04FF" w:rsidR="00322CDA" w:rsidRDefault="00322CDA">
          <w:pPr>
            <w:pStyle w:val="TM1"/>
            <w:tabs>
              <w:tab w:val="right" w:leader="dot" w:pos="9016"/>
            </w:tabs>
            <w:rPr>
              <w:rFonts w:eastAsiaTheme="minorEastAsia" w:cstheme="minorBidi"/>
              <w:b w:val="0"/>
              <w:bCs w:val="0"/>
              <w:caps w:val="0"/>
              <w:noProof/>
              <w:kern w:val="2"/>
              <w:sz w:val="24"/>
              <w:szCs w:val="24"/>
              <w14:ligatures w14:val="standardContextual"/>
            </w:rPr>
          </w:pPr>
          <w:hyperlink w:anchor="_Toc233908878" w:history="1">
            <w:r w:rsidRPr="0065539A">
              <w:rPr>
                <w:rStyle w:val="Lienhypertexte"/>
                <w:noProof/>
              </w:rPr>
              <w:t>Conclusion</w:t>
            </w:r>
            <w:r>
              <w:rPr>
                <w:noProof/>
                <w:webHidden/>
              </w:rPr>
              <w:tab/>
            </w:r>
            <w:r>
              <w:rPr>
                <w:noProof/>
                <w:webHidden/>
              </w:rPr>
              <w:fldChar w:fldCharType="begin"/>
            </w:r>
            <w:r>
              <w:rPr>
                <w:noProof/>
                <w:webHidden/>
              </w:rPr>
              <w:instrText xml:space="preserve"> PAGEREF _Toc233908878 \h </w:instrText>
            </w:r>
            <w:r>
              <w:rPr>
                <w:noProof/>
                <w:webHidden/>
              </w:rPr>
            </w:r>
            <w:r>
              <w:rPr>
                <w:noProof/>
                <w:webHidden/>
              </w:rPr>
              <w:fldChar w:fldCharType="separate"/>
            </w:r>
            <w:r>
              <w:rPr>
                <w:noProof/>
                <w:webHidden/>
              </w:rPr>
              <w:t>19</w:t>
            </w:r>
            <w:r>
              <w:rPr>
                <w:noProof/>
                <w:webHidden/>
              </w:rPr>
              <w:fldChar w:fldCharType="end"/>
            </w:r>
          </w:hyperlink>
        </w:p>
        <w:p w14:paraId="330F5EAD" w14:textId="000BDE4B" w:rsidR="00322CDA" w:rsidRDefault="00322CDA">
          <w:pPr>
            <w:pStyle w:val="TM1"/>
            <w:tabs>
              <w:tab w:val="right" w:leader="dot" w:pos="9016"/>
            </w:tabs>
            <w:rPr>
              <w:rFonts w:eastAsiaTheme="minorEastAsia" w:cstheme="minorBidi"/>
              <w:b w:val="0"/>
              <w:bCs w:val="0"/>
              <w:caps w:val="0"/>
              <w:noProof/>
              <w:kern w:val="2"/>
              <w:sz w:val="24"/>
              <w:szCs w:val="24"/>
              <w14:ligatures w14:val="standardContextual"/>
            </w:rPr>
          </w:pPr>
          <w:hyperlink w:anchor="_Toc233908879" w:history="1">
            <w:r w:rsidRPr="0065539A">
              <w:rPr>
                <w:rStyle w:val="Lienhypertexte"/>
                <w:noProof/>
              </w:rPr>
              <w:t>Bibliographie</w:t>
            </w:r>
            <w:r>
              <w:rPr>
                <w:noProof/>
                <w:webHidden/>
              </w:rPr>
              <w:tab/>
            </w:r>
            <w:r>
              <w:rPr>
                <w:noProof/>
                <w:webHidden/>
              </w:rPr>
              <w:fldChar w:fldCharType="begin"/>
            </w:r>
            <w:r>
              <w:rPr>
                <w:noProof/>
                <w:webHidden/>
              </w:rPr>
              <w:instrText xml:space="preserve"> PAGEREF _Toc233908879 \h </w:instrText>
            </w:r>
            <w:r>
              <w:rPr>
                <w:noProof/>
                <w:webHidden/>
              </w:rPr>
            </w:r>
            <w:r>
              <w:rPr>
                <w:noProof/>
                <w:webHidden/>
              </w:rPr>
              <w:fldChar w:fldCharType="separate"/>
            </w:r>
            <w:r>
              <w:rPr>
                <w:noProof/>
                <w:webHidden/>
              </w:rPr>
              <w:t>20</w:t>
            </w:r>
            <w:r>
              <w:rPr>
                <w:noProof/>
                <w:webHidden/>
              </w:rPr>
              <w:fldChar w:fldCharType="end"/>
            </w:r>
          </w:hyperlink>
        </w:p>
        <w:p w14:paraId="6FAFF24E" w14:textId="6BF4A86F" w:rsidR="00322CDA" w:rsidRDefault="00322CDA">
          <w:pPr>
            <w:pStyle w:val="TM1"/>
            <w:tabs>
              <w:tab w:val="right" w:leader="dot" w:pos="9016"/>
            </w:tabs>
            <w:rPr>
              <w:rFonts w:eastAsiaTheme="minorEastAsia" w:cstheme="minorBidi"/>
              <w:b w:val="0"/>
              <w:bCs w:val="0"/>
              <w:caps w:val="0"/>
              <w:noProof/>
              <w:kern w:val="2"/>
              <w:sz w:val="24"/>
              <w:szCs w:val="24"/>
              <w14:ligatures w14:val="standardContextual"/>
            </w:rPr>
          </w:pPr>
          <w:hyperlink w:anchor="_Toc233908880" w:history="1">
            <w:r w:rsidRPr="0065539A">
              <w:rPr>
                <w:rStyle w:val="Lienhypertexte"/>
                <w:noProof/>
              </w:rPr>
              <w:t>Annexes</w:t>
            </w:r>
            <w:r>
              <w:rPr>
                <w:noProof/>
                <w:webHidden/>
              </w:rPr>
              <w:tab/>
            </w:r>
            <w:r>
              <w:rPr>
                <w:noProof/>
                <w:webHidden/>
              </w:rPr>
              <w:fldChar w:fldCharType="begin"/>
            </w:r>
            <w:r>
              <w:rPr>
                <w:noProof/>
                <w:webHidden/>
              </w:rPr>
              <w:instrText xml:space="preserve"> PAGEREF _Toc233908880 \h </w:instrText>
            </w:r>
            <w:r>
              <w:rPr>
                <w:noProof/>
                <w:webHidden/>
              </w:rPr>
            </w:r>
            <w:r>
              <w:rPr>
                <w:noProof/>
                <w:webHidden/>
              </w:rPr>
              <w:fldChar w:fldCharType="separate"/>
            </w:r>
            <w:r>
              <w:rPr>
                <w:noProof/>
                <w:webHidden/>
              </w:rPr>
              <w:t>24</w:t>
            </w:r>
            <w:r>
              <w:rPr>
                <w:noProof/>
                <w:webHidden/>
              </w:rPr>
              <w:fldChar w:fldCharType="end"/>
            </w:r>
          </w:hyperlink>
        </w:p>
        <w:p w14:paraId="47FF7DD8" w14:textId="4BEF83E9" w:rsidR="004E7D56" w:rsidRDefault="004E7D56" w:rsidP="0077027A">
          <w:pPr>
            <w:jc w:val="both"/>
          </w:pPr>
          <w:r>
            <w:rPr>
              <w:b/>
              <w:bCs/>
              <w:noProof/>
            </w:rPr>
            <w:fldChar w:fldCharType="end"/>
          </w:r>
        </w:p>
      </w:sdtContent>
    </w:sdt>
    <w:p w14:paraId="0FDE8419" w14:textId="77777777" w:rsidR="004E7D56" w:rsidRDefault="004E7D56" w:rsidP="0077027A">
      <w:pPr>
        <w:jc w:val="both"/>
        <w:rPr>
          <w:b/>
          <w:bCs/>
          <w:color w:val="000000"/>
          <w:sz w:val="32"/>
          <w:szCs w:val="32"/>
        </w:rPr>
      </w:pPr>
      <w:r>
        <w:br w:type="page"/>
      </w:r>
    </w:p>
    <w:p w14:paraId="5FCA3DDF" w14:textId="478D395D" w:rsidR="00C01F75" w:rsidRDefault="00000000" w:rsidP="0077027A">
      <w:pPr>
        <w:pStyle w:val="Titre1"/>
        <w:jc w:val="both"/>
      </w:pPr>
      <w:bookmarkStart w:id="0" w:name="_Toc233908850"/>
      <w:r>
        <w:lastRenderedPageBreak/>
        <w:t>Introduction</w:t>
      </w:r>
      <w:bookmarkEnd w:id="0"/>
    </w:p>
    <w:p w14:paraId="6CB48048" w14:textId="77777777" w:rsidR="00C01F75" w:rsidRDefault="00000000" w:rsidP="0077027A">
      <w:pPr>
        <w:pStyle w:val="Titre2"/>
        <w:jc w:val="both"/>
      </w:pPr>
      <w:bookmarkStart w:id="1" w:name="_Toc233908851"/>
      <w:r>
        <w:t>Le dérèglement climatique et l’enjeu de quantification des risques de catastrophes</w:t>
      </w:r>
      <w:bookmarkEnd w:id="1"/>
    </w:p>
    <w:p w14:paraId="1FB54DBC" w14:textId="340F02B7" w:rsidR="00DB0D23" w:rsidRDefault="00000000" w:rsidP="0077027A">
      <w:pPr>
        <w:spacing w:after="200" w:line="320" w:lineRule="auto"/>
        <w:jc w:val="both"/>
      </w:pPr>
      <w:r>
        <w:t>Le changement climatique d’origine anthropique modifie en profondeur le régime des aléas hydrométéorologiques. Le sixième rapport d’évaluation du GIEC établit avec un degré de confiance élevé que le réchauffement intensifie le cycle de l’eau, augmentant la fréquence et la sévérité des précipitations extrêmes dans la plupart des régions habitées, et donc le risque d’inondations (</w:t>
      </w:r>
      <w:hyperlink w:anchor="ipcc2021" w:history="1">
        <w:r w:rsidR="00C01F75">
          <w:t>IPCC, 2021</w:t>
        </w:r>
      </w:hyperlink>
      <w:r>
        <w:t xml:space="preserve">). Ces évolutions ne sont pas seulement physiques : elles se traduisent par des dommages économiques croissants, dont l’estimation est devenue un enjeu central pour les politiques d’adaptation. </w:t>
      </w:r>
      <w:hyperlink w:anchor="hallegatte2013" w:history="1">
        <w:proofErr w:type="spellStart"/>
        <w:r w:rsidR="00C01F75">
          <w:t>Hallegatte</w:t>
        </w:r>
        <w:proofErr w:type="spellEnd"/>
        <w:r w:rsidR="00C01F75">
          <w:t xml:space="preserve"> et al. (2013)</w:t>
        </w:r>
      </w:hyperlink>
      <w:r>
        <w:t xml:space="preserve"> montrent ainsi que, à infrastructures de protection constantes, les pertes annuelles liées aux inondations dans les grandes villes côtières pourraient </w:t>
      </w:r>
      <w:r w:rsidR="00500776">
        <w:t>passer de</w:t>
      </w:r>
      <w:r>
        <w:t xml:space="preserve"> </w:t>
      </w:r>
      <w:r w:rsidR="00500776">
        <w:t>6 milliards d’USD par an en 2005 à plus de 1 000 milliards d’USD par an</w:t>
      </w:r>
      <w:r>
        <w:t xml:space="preserve"> d’ici 2050 sous l’effet conjoint du climat, de l</w:t>
      </w:r>
      <w:r w:rsidR="00490956">
        <w:t>’affaissement des sols et</w:t>
      </w:r>
      <w:r>
        <w:t xml:space="preserve"> de l</w:t>
      </w:r>
      <w:r w:rsidR="00490956">
        <w:t>’augmentation de la population et du stock</w:t>
      </w:r>
      <w:r>
        <w:t xml:space="preserve"> </w:t>
      </w:r>
      <w:r w:rsidR="00490956">
        <w:t>d’</w:t>
      </w:r>
      <w:r>
        <w:t>actifs.</w:t>
      </w:r>
    </w:p>
    <w:p w14:paraId="13E88025" w14:textId="09EAA139" w:rsidR="00C01F75" w:rsidRDefault="00000000" w:rsidP="0077027A">
      <w:pPr>
        <w:spacing w:after="200" w:line="320" w:lineRule="auto"/>
        <w:jc w:val="both"/>
      </w:pPr>
      <w:r>
        <w:t xml:space="preserve">Or la littérature insiste sur le fait que les dommages directs </w:t>
      </w:r>
      <w:r w:rsidR="00AB0F7F">
        <w:t>(</w:t>
      </w:r>
      <w:r>
        <w:t>bâtiments détruits, routes coupées</w:t>
      </w:r>
      <w:r w:rsidR="00AB0F7F">
        <w:t>)</w:t>
      </w:r>
      <w:r>
        <w:t xml:space="preserve"> ne représentent qu’une fraction du coût total : les effets indirects, propagés par les interdépendances entre secteurs et par les ruptures d’approvisionnement</w:t>
      </w:r>
      <w:r w:rsidR="00AB0F7F">
        <w:t xml:space="preserve"> </w:t>
      </w:r>
      <w:r w:rsidR="00E72272">
        <w:t>peuvent être parfois très important, particulièrement pour les pays à faible revenu</w:t>
      </w:r>
      <w:r>
        <w:t xml:space="preserve"> (</w:t>
      </w:r>
      <w:proofErr w:type="spellStart"/>
      <w:r>
        <w:fldChar w:fldCharType="begin"/>
      </w:r>
      <w:r>
        <w:instrText>HYPERLINK \l "botzen2019"</w:instrText>
      </w:r>
      <w:r>
        <w:fldChar w:fldCharType="separate"/>
      </w:r>
      <w:r>
        <w:t>Botzen</w:t>
      </w:r>
      <w:proofErr w:type="spellEnd"/>
      <w:r>
        <w:t>, Deschenes et Sanders, 2019</w:t>
      </w:r>
      <w:r>
        <w:fldChar w:fldCharType="end"/>
      </w:r>
      <w:r>
        <w:t>).</w:t>
      </w:r>
    </w:p>
    <w:p w14:paraId="5988C2BD" w14:textId="77777777" w:rsidR="00C01F75" w:rsidRDefault="00000000" w:rsidP="0077027A">
      <w:pPr>
        <w:pStyle w:val="Titre2"/>
        <w:jc w:val="both"/>
      </w:pPr>
      <w:bookmarkStart w:id="2" w:name="_Toc233908852"/>
      <w:r>
        <w:t>Le transport de marchandises comme vecteur de propagation des chocs</w:t>
      </w:r>
      <w:bookmarkEnd w:id="2"/>
    </w:p>
    <w:p w14:paraId="6EA3A872" w14:textId="2955591F" w:rsidR="00C01F75" w:rsidRDefault="00000000" w:rsidP="0077027A">
      <w:pPr>
        <w:spacing w:after="200" w:line="320" w:lineRule="auto"/>
        <w:jc w:val="both"/>
      </w:pPr>
      <w:r>
        <w:t>Parmi ces canaux de propagation, le transport de marchandises occupe une place singulière. Une inondation qui endommage un tronçon routier ne détruit pas seulement un actif : elle dégrade l’accessibilité, allonge les temps de parcours, renchérit les coûts logistiques et peut interrompre les chaînes d’approvisionnement bien au-delà de la zone sinistrée.</w:t>
      </w:r>
      <w:r w:rsidR="006906D5">
        <w:t xml:space="preserve"> </w:t>
      </w:r>
      <w:r>
        <w:t xml:space="preserve">Modéliser finement les flux de fret apparaît ainsi comme un préalable </w:t>
      </w:r>
      <w:r w:rsidR="006906D5">
        <w:t>important</w:t>
      </w:r>
      <w:r>
        <w:t xml:space="preserve"> à </w:t>
      </w:r>
      <w:r w:rsidR="006906D5">
        <w:t>une</w:t>
      </w:r>
      <w:r>
        <w:t xml:space="preserve"> évaluation des impacts macroéconomiques d’une catastrophe : c’est par le fret que se matérialise une grande partie de la transmission spatiale et sectorielle du choc.</w:t>
      </w:r>
    </w:p>
    <w:p w14:paraId="17820AD0" w14:textId="77777777" w:rsidR="00C01F75" w:rsidRDefault="00000000" w:rsidP="0077027A">
      <w:pPr>
        <w:pStyle w:val="Titre2"/>
        <w:jc w:val="both"/>
      </w:pPr>
      <w:bookmarkStart w:id="3" w:name="_Toc233908853"/>
      <w:r>
        <w:t>Objectifs et positionnement du projet</w:t>
      </w:r>
      <w:bookmarkEnd w:id="3"/>
    </w:p>
    <w:p w14:paraId="72E58887" w14:textId="33B9F0D9" w:rsidR="00C01F75" w:rsidRDefault="00000000" w:rsidP="0077027A">
      <w:pPr>
        <w:spacing w:after="200" w:line="320" w:lineRule="auto"/>
        <w:jc w:val="both"/>
      </w:pPr>
      <w:r>
        <w:t xml:space="preserve">C’est dans cette perspective que s’inscrit le présent travail, mené dans le cadre d’un projet de l’Agence française de développement (AFD). Son objectif est de construire un modèle de transport de marchandises pour le Rwanda, capable de représenter la demande de fret par secteur, son origine et sa destination spatiales, son affectation sur le réseau routier et les coûts logistiques associés. </w:t>
      </w:r>
      <w:r w:rsidR="006906D5">
        <w:t>C</w:t>
      </w:r>
      <w:r>
        <w:t xml:space="preserve">e modèle est conçu pour pouvoir être couplé, à terme, avec un modèle entrées-sorties dynamique de type ESTEEM développé à l’AFD. L’ambition de ce couplage </w:t>
      </w:r>
      <w:r>
        <w:lastRenderedPageBreak/>
        <w:t>est de quantifier la manière dont un choc localisé (typiquement une inondation interrompant un ou plusieurs corridors) se diffuse, via le renchérissement et la raréfaction du fret, vers le reste de l’économie nationale, en termes de production, d’inflation et d’activité sectorielle. Le modèle de fret jouerait alors le rôle de couche spatiale et logistique d’un dispositif d’évaluation d’impact, traduisant une perturbation physique du réseau en chocs de coûts et de disponibilité injectables dans le cadre entrées-sorties.</w:t>
      </w:r>
    </w:p>
    <w:p w14:paraId="6AB3A15F" w14:textId="722A8404" w:rsidR="00C01F75" w:rsidRPr="0077027A" w:rsidRDefault="00000000" w:rsidP="0077027A">
      <w:pPr>
        <w:pStyle w:val="Titre2"/>
        <w:jc w:val="both"/>
      </w:pPr>
      <w:bookmarkStart w:id="4" w:name="_Toc233908854"/>
      <w:r>
        <w:t>Portée et limites du travail</w:t>
      </w:r>
      <w:r w:rsidR="0077027A">
        <w:rPr>
          <w:rStyle w:val="Appelnotedebasdep"/>
        </w:rPr>
        <w:footnoteReference w:id="1"/>
      </w:r>
      <w:bookmarkEnd w:id="4"/>
    </w:p>
    <w:p w14:paraId="08429CCC" w14:textId="13F71FDE" w:rsidR="00C01F75" w:rsidRDefault="00000000" w:rsidP="0077027A">
      <w:pPr>
        <w:spacing w:after="200" w:line="320" w:lineRule="auto"/>
        <w:jc w:val="both"/>
      </w:pPr>
      <w:r>
        <w:t xml:space="preserve">Il convient de préciser d’emblée la portée de ce mémoire. L’objectif premier du travail réalisé était de construire le modèle de fret lui-même. La calibration de ce modèle est en revanche restée sommaire : faute de temps </w:t>
      </w:r>
      <w:r w:rsidR="006906D5">
        <w:t xml:space="preserve">principalement </w:t>
      </w:r>
      <w:r>
        <w:t>le paramétrage repose largement sur des ordres de grandeur et n’a pas fait l’objet d’un ajustement empirique poussé. De même, le couplage effectif avec le modèle ESTEEM et l’analyse complète des impacts d’un scénario d’inondation constituent l’horizon du projet, sans avoir pu être menés à leur terme. L’analyse d’impact proprement dite est donc esquissée plutôt qu’approfondie : ce mémoire doit se lire comme la mise en place méthodologique de la brique « fret » d’un édifice plus vaste, dont il pose les fondations tout en en indiquant les prolongements.</w:t>
      </w:r>
    </w:p>
    <w:p w14:paraId="07848886" w14:textId="77777777" w:rsidR="0077027A" w:rsidRDefault="0077027A">
      <w:pPr>
        <w:rPr>
          <w:b/>
          <w:bCs/>
          <w:color w:val="000000"/>
          <w:sz w:val="32"/>
          <w:szCs w:val="32"/>
        </w:rPr>
      </w:pPr>
      <w:r>
        <w:br w:type="page"/>
      </w:r>
    </w:p>
    <w:p w14:paraId="7E85E512" w14:textId="1B36270B" w:rsidR="00C01F75" w:rsidRDefault="00000000" w:rsidP="0077027A">
      <w:pPr>
        <w:pStyle w:val="Titre1"/>
        <w:jc w:val="both"/>
      </w:pPr>
      <w:bookmarkStart w:id="5" w:name="_Toc233908855"/>
      <w:r>
        <w:lastRenderedPageBreak/>
        <w:t>Revue de littérature</w:t>
      </w:r>
      <w:bookmarkEnd w:id="5"/>
    </w:p>
    <w:p w14:paraId="71B1CEC2" w14:textId="4FD84E83" w:rsidR="00C01F75" w:rsidRDefault="00000000" w:rsidP="0077027A">
      <w:pPr>
        <w:spacing w:after="200" w:line="320" w:lineRule="auto"/>
        <w:jc w:val="both"/>
      </w:pPr>
      <w:r>
        <w:t>Quantifier l’impact économique d’une inondation suppose de relier un événement physique localisé à ses conséquences sur l’ensemble d’une économie nationale. Cette ambition mobilise des littératures longtemps séparées : la macroéconomie des réseaux de production, l’économie des catastrophes, l’analyse de la résilience des infrastructures et la modélisation du transport de marchandises. Cette revue les articule autour d’une question directrice</w:t>
      </w:r>
      <w:r w:rsidR="0042147B">
        <w:t xml:space="preserve"> : </w:t>
      </w:r>
      <w:r>
        <w:t xml:space="preserve">comment un choc sur le réseau de transport se diffuse-t-il au reste de l’économie ?  </w:t>
      </w:r>
    </w:p>
    <w:p w14:paraId="4D55E5FB" w14:textId="77777777" w:rsidR="00C01F75" w:rsidRDefault="00000000" w:rsidP="0077027A">
      <w:pPr>
        <w:pStyle w:val="Titre2"/>
        <w:jc w:val="both"/>
      </w:pPr>
      <w:bookmarkStart w:id="6" w:name="_Toc233908856"/>
      <w:r>
        <w:t>1. Des chocs localisés aux fluctuations agrégées : l’apport des réseaux de production</w:t>
      </w:r>
      <w:bookmarkEnd w:id="6"/>
    </w:p>
    <w:p w14:paraId="7364B19C" w14:textId="2CA98D45" w:rsidR="00C01F75" w:rsidRDefault="00000000" w:rsidP="0077027A">
      <w:pPr>
        <w:spacing w:after="200" w:line="320" w:lineRule="auto"/>
        <w:jc w:val="both"/>
      </w:pPr>
      <w:r>
        <w:t xml:space="preserve">La pertinence même d’un modèle d’impact repose sur une prémisse longtemps contestée : un choc localisé ou sectoriel peut-il avoir des effets macroéconomiques, ou se dilue-t-il dans la masse ? La tradition issue de </w:t>
      </w:r>
      <w:hyperlink w:anchor="lucas1977" w:history="1">
        <w:r w:rsidR="00C01F75" w:rsidRPr="007A5E61">
          <w:t>Lucas (1977)</w:t>
        </w:r>
      </w:hyperlink>
      <w:r w:rsidR="007A5E61">
        <w:t xml:space="preserve"> </w:t>
      </w:r>
      <w:r>
        <w:t xml:space="preserve">tenait le second terme pour acquis : avec un grand nombre de secteurs, des chocs indépendants se compensent en moyenne et s’évanouissent à l’agrégation. Ce raisonnement a été renversé par l’analyse des réseaux de production. </w:t>
      </w:r>
      <w:hyperlink w:anchor="acemoglu2012" w:history="1">
        <w:proofErr w:type="spellStart"/>
        <w:r w:rsidR="00C01F75">
          <w:t>Acemoglu</w:t>
        </w:r>
        <w:proofErr w:type="spellEnd"/>
        <w:r w:rsidR="00C01F75">
          <w:t xml:space="preserve"> et al. (2012)</w:t>
        </w:r>
      </w:hyperlink>
      <w:r>
        <w:t xml:space="preserve"> montrent que, lorsque la structure d’intrants est asymétrique</w:t>
      </w:r>
      <w:r w:rsidR="00D56EA6">
        <w:t>,</w:t>
      </w:r>
      <w:r>
        <w:t xml:space="preserve"> quelques secteurs très en amont alimentant de nombreux autres</w:t>
      </w:r>
      <w:r w:rsidR="007A5E61">
        <w:t xml:space="preserve"> comme le transport</w:t>
      </w:r>
      <w:r>
        <w:t>, un choc sur ces nœuds centraux ne se moyenne pas mais se propage en cascade et survit à l’échelle macroéconomique</w:t>
      </w:r>
      <w:r w:rsidR="00D56EA6">
        <w:t>.</w:t>
      </w:r>
      <w:r>
        <w:t xml:space="preserve"> </w:t>
      </w:r>
      <w:r w:rsidR="00D56EA6">
        <w:t>C</w:t>
      </w:r>
      <w:r>
        <w:t xml:space="preserve">e qui importe n’est pas le nombre de secteurs mais la topologie du réseau. </w:t>
      </w:r>
      <w:hyperlink w:anchor="gabaix2011" w:history="1">
        <w:proofErr w:type="spellStart"/>
        <w:r w:rsidR="00C01F75">
          <w:t>Gabaix</w:t>
        </w:r>
        <w:proofErr w:type="spellEnd"/>
        <w:r w:rsidR="00C01F75">
          <w:t xml:space="preserve"> (2011)</w:t>
        </w:r>
      </w:hyperlink>
      <w:r>
        <w:t xml:space="preserve"> parvient à une conclusion voisine au niveau des firmes : la concentration de l’activité sur quelques très grandes entreprises</w:t>
      </w:r>
      <w:r w:rsidR="004C43A6">
        <w:t>,</w:t>
      </w:r>
      <w:r>
        <w:t xml:space="preserve"> la « granularité » de l’économie</w:t>
      </w:r>
      <w:r w:rsidR="004C43A6">
        <w:t>,</w:t>
      </w:r>
      <w:r>
        <w:t xml:space="preserve"> suffit à ce que leurs chocs idiosyncratiques deviennent une source de fluctuations agrégées.</w:t>
      </w:r>
    </w:p>
    <w:p w14:paraId="78FEAF4B" w14:textId="522EC721" w:rsidR="00C01F75" w:rsidRDefault="00000000" w:rsidP="0077027A">
      <w:pPr>
        <w:spacing w:after="200" w:line="320" w:lineRule="auto"/>
        <w:jc w:val="both"/>
      </w:pPr>
      <w:r>
        <w:t xml:space="preserve">Ce cadre théorique a reçu de solides confirmations empiriques, souvent à partir de catastrophes naturelles utilisées comme chocs exogènes. </w:t>
      </w:r>
      <w:hyperlink w:anchor="barrot2016" w:history="1">
        <w:r w:rsidR="00C01F75">
          <w:t>Barrot et Sauvagnat (2016)</w:t>
        </w:r>
      </w:hyperlink>
      <w:r>
        <w:t xml:space="preserve"> établissent qu’un fournisseur frappé par un désastre transmet le choc à ses clients, mais seulement lorsque l’intrant est spécifique et difficilement substituable</w:t>
      </w:r>
      <w:r w:rsidR="003D5F10">
        <w:t>.</w:t>
      </w:r>
      <w:r>
        <w:t xml:space="preserve"> </w:t>
      </w:r>
      <w:r w:rsidR="003D5F10">
        <w:t>La</w:t>
      </w:r>
      <w:r>
        <w:t xml:space="preserve"> substituabilité des intrants </w:t>
      </w:r>
      <w:r w:rsidR="003D5F10">
        <w:t>est donc un</w:t>
      </w:r>
      <w:r>
        <w:t xml:space="preserve"> paramètre clé de la propagation. À grande échelle, </w:t>
      </w:r>
      <w:hyperlink w:anchor="inoue2019" w:history="1">
        <w:r w:rsidR="00C01F75">
          <w:t>Inoue et Todo (20</w:t>
        </w:r>
        <w:r w:rsidR="00C01F75">
          <w:t>1</w:t>
        </w:r>
        <w:r w:rsidR="00C01F75">
          <w:t>9)</w:t>
        </w:r>
      </w:hyperlink>
      <w:r>
        <w:t xml:space="preserve"> simulent </w:t>
      </w:r>
      <w:r w:rsidR="0029404C">
        <w:t xml:space="preserve">via un modèle multi-agents </w:t>
      </w:r>
      <w:r>
        <w:t>la diffusion du séisme japonais de 2011 sur un réseau d’un million d’entreprises et montrent que les pertes indirectes, propagées par les chaînes d’approvisionnement, excèdent largement les dommages directs</w:t>
      </w:r>
      <w:r w:rsidR="0029404C">
        <w:t>. Ils estiment l</w:t>
      </w:r>
      <w:r w:rsidR="00660EE7">
        <w:t>es coûts directes et indirectes</w:t>
      </w:r>
      <w:r w:rsidR="0029404C">
        <w:t xml:space="preserve"> à</w:t>
      </w:r>
      <w:r w:rsidR="00F93A79">
        <w:t xml:space="preserve"> un montant de</w:t>
      </w:r>
      <w:r w:rsidR="0029404C">
        <w:t xml:space="preserve"> 2,3%</w:t>
      </w:r>
      <w:r w:rsidR="00F93A79">
        <w:t xml:space="preserve"> du PIB</w:t>
      </w:r>
      <w:r w:rsidR="0029404C">
        <w:t xml:space="preserve">. </w:t>
      </w:r>
      <w:r>
        <w:t xml:space="preserve"> </w:t>
      </w:r>
      <w:hyperlink w:anchor="carvalho2021" w:history="1">
        <w:r w:rsidR="00C01F75">
          <w:t>Carvalho et al. (2</w:t>
        </w:r>
        <w:r w:rsidR="00C01F75">
          <w:t>0</w:t>
        </w:r>
        <w:r w:rsidR="00C01F75">
          <w:t>21)</w:t>
        </w:r>
      </w:hyperlink>
      <w:r>
        <w:t>, sur le même événement, identifient une propagation à la fois amont et aval</w:t>
      </w:r>
      <w:r w:rsidR="0029404C">
        <w:t xml:space="preserve"> via un modèle d’équilibre général calculable</w:t>
      </w:r>
      <w:r>
        <w:t xml:space="preserve">, jusqu’aux partenaires de second rang, et l’agrègent en une perte de l’ordre de </w:t>
      </w:r>
      <w:r w:rsidR="0029404C">
        <w:t>0,5</w:t>
      </w:r>
      <w:r>
        <w:t xml:space="preserve"> point </w:t>
      </w:r>
      <w:r w:rsidR="001C1D88">
        <w:t>la croissance du</w:t>
      </w:r>
      <w:r>
        <w:t xml:space="preserve"> PIB l’année suivante. Ces travaux fondent l’hypothèse de travail de ce mémoire : un choc physique localisé peut, par les interdépendances productives, affecter l’économie entière</w:t>
      </w:r>
      <w:r w:rsidR="0029404C">
        <w:t>,</w:t>
      </w:r>
      <w:r>
        <w:t xml:space="preserve"> encore faut-il des outils capables de représenter cette diffusion.</w:t>
      </w:r>
    </w:p>
    <w:p w14:paraId="5D97D997" w14:textId="77777777" w:rsidR="00C01F75" w:rsidRDefault="00000000" w:rsidP="0077027A">
      <w:pPr>
        <w:pStyle w:val="Titre2"/>
        <w:jc w:val="both"/>
      </w:pPr>
      <w:bookmarkStart w:id="7" w:name="_Toc233908857"/>
      <w:r>
        <w:lastRenderedPageBreak/>
        <w:t>2. Le coût économique des catastrophes : pertes indirectes et tension entre approches</w:t>
      </w:r>
      <w:bookmarkEnd w:id="7"/>
    </w:p>
    <w:p w14:paraId="394A74B3" w14:textId="3C70F223" w:rsidR="00C01F75" w:rsidRDefault="00000000" w:rsidP="0077027A">
      <w:pPr>
        <w:spacing w:after="200" w:line="320" w:lineRule="auto"/>
        <w:jc w:val="both"/>
      </w:pPr>
      <w:r>
        <w:t xml:space="preserve">Pour estimer </w:t>
      </w:r>
      <w:r w:rsidR="001C1D88">
        <w:t>l</w:t>
      </w:r>
      <w:r>
        <w:t>es pertes indirectes, deux familles d’outils s’opposent. Les modèles entrées-sorties (</w:t>
      </w:r>
      <w:r>
        <w:rPr>
          <w:i/>
          <w:iCs/>
        </w:rPr>
        <w:t>input–output</w:t>
      </w:r>
      <w:r>
        <w:t xml:space="preserve">, IO), fondés par </w:t>
      </w:r>
      <w:hyperlink w:anchor="leontief1936" w:history="1">
        <w:r w:rsidR="00C01F75">
          <w:t>Leontief (1936)</w:t>
        </w:r>
      </w:hyperlink>
      <w:r>
        <w:t xml:space="preserve"> et </w:t>
      </w:r>
      <w:r w:rsidR="001C1D88">
        <w:t>dont l’ensemble des extensions est présenté</w:t>
      </w:r>
      <w:r>
        <w:t xml:space="preserve"> par </w:t>
      </w:r>
      <w:hyperlink w:anchor="miller2009" w:history="1">
        <w:r w:rsidR="00C01F75">
          <w:t xml:space="preserve">Miller et Blair </w:t>
        </w:r>
        <w:r w:rsidR="00C01F75">
          <w:t>(</w:t>
        </w:r>
        <w:r w:rsidR="00C01F75">
          <w:t>2009)</w:t>
        </w:r>
      </w:hyperlink>
      <w:r>
        <w:t>, tracent la propagation intersectorielle d’un choc avec une grande granularité, mais sont pilotés par la demande et supposent une offre infiniment élastique à prix relatifs constants</w:t>
      </w:r>
      <w:r w:rsidR="001C1D88">
        <w:t>. A</w:t>
      </w:r>
      <w:r>
        <w:t>ppliqués à une catastrophe</w:t>
      </w:r>
      <w:r w:rsidR="001C1D88">
        <w:t xml:space="preserve">, </w:t>
      </w:r>
      <w:r>
        <w:t>qui est avant tout un choc d’offre, ils tendent à surestimer l’impact en supposant que le capital intact ne peut suppléer le capital détruit. À l’inverse, les modèles d’équilibre général calculable (CGE) font s’ajuster les prix</w:t>
      </w:r>
      <w:r w:rsidR="007360B5">
        <w:t xml:space="preserve"> parfaitement</w:t>
      </w:r>
      <w:r>
        <w:t xml:space="preserve"> et autorisent une substitution de court terme entre intrants qui amortit mécaniquement le choc, au risque de le sous-estimer</w:t>
      </w:r>
      <w:r w:rsidR="007360B5">
        <w:t xml:space="preserve"> (</w:t>
      </w:r>
      <w:proofErr w:type="spellStart"/>
      <w:r w:rsidR="007360B5">
        <w:fldChar w:fldCharType="begin"/>
      </w:r>
      <w:r w:rsidR="007360B5">
        <w:instrText>HYPERLINK  \l "poledna2018"</w:instrText>
      </w:r>
      <w:r w:rsidR="007360B5">
        <w:fldChar w:fldCharType="separate"/>
      </w:r>
      <w:r w:rsidR="007360B5" w:rsidRPr="007360B5">
        <w:t>Poledna</w:t>
      </w:r>
      <w:proofErr w:type="spellEnd"/>
      <w:r w:rsidR="007360B5" w:rsidRPr="007360B5">
        <w:t xml:space="preserve"> et al. 2018</w:t>
      </w:r>
      <w:r w:rsidR="007360B5">
        <w:fldChar w:fldCharType="end"/>
      </w:r>
      <w:r w:rsidR="007360B5">
        <w:t>)</w:t>
      </w:r>
      <w:r w:rsidR="001C1D88">
        <w:t xml:space="preserve">. </w:t>
      </w:r>
      <w:r>
        <w:t>Entre l’excès de pessimisme des IO et l’excès d’optimisme des CGE s’est donc développé un ensemble de cadres intermédiaires, spécifiquement conçus pour le court terme post-catastrophe, que la section suivante passe en revue.</w:t>
      </w:r>
    </w:p>
    <w:p w14:paraId="786BC879" w14:textId="77777777" w:rsidR="00C01F75" w:rsidRDefault="00000000" w:rsidP="0077027A">
      <w:pPr>
        <w:pStyle w:val="Titre2"/>
        <w:jc w:val="both"/>
      </w:pPr>
      <w:bookmarkStart w:id="8" w:name="_Toc233908858"/>
      <w:r>
        <w:t>3. Modéliser le court terme post-catastrophe : les grandes traditions</w:t>
      </w:r>
      <w:bookmarkEnd w:id="8"/>
    </w:p>
    <w:p w14:paraId="59F6B4CE" w14:textId="7BA77678" w:rsidR="00C01F75" w:rsidRDefault="00000000" w:rsidP="0077027A">
      <w:pPr>
        <w:spacing w:after="200" w:line="320" w:lineRule="auto"/>
        <w:jc w:val="both"/>
      </w:pPr>
      <w:r>
        <w:t xml:space="preserve">Le régime qui suit une catastrophe est transitoire : l’offre y est contrainte, les prix </w:t>
      </w:r>
      <w:r w:rsidR="007360B5">
        <w:t>sont visqueux</w:t>
      </w:r>
      <w:r>
        <w:t>, et l’issue dépend des stocks, des adaptations et du rythme de reconstruction. Cinq traditions de modélisation se sont développées pour le représenter, que l’on peut ordonner du plus proche du cadre entrées-sorties statique au plus éloigné.</w:t>
      </w:r>
    </w:p>
    <w:p w14:paraId="68831D6C" w14:textId="77777777" w:rsidR="00C01F75" w:rsidRDefault="00000000" w:rsidP="0077027A">
      <w:pPr>
        <w:pStyle w:val="Titre3"/>
        <w:jc w:val="both"/>
      </w:pPr>
      <w:bookmarkStart w:id="9" w:name="_Toc233908859"/>
      <w:r>
        <w:t>3.1 Les extensions du cadre entrées-sorties statique</w:t>
      </w:r>
      <w:bookmarkEnd w:id="9"/>
    </w:p>
    <w:p w14:paraId="090CA93B" w14:textId="7C0C2C8E" w:rsidR="00C01F75" w:rsidRDefault="00000000" w:rsidP="0077027A">
      <w:pPr>
        <w:spacing w:after="200" w:line="320" w:lineRule="auto"/>
        <w:jc w:val="both"/>
      </w:pPr>
      <w:r>
        <w:t>Une première tradition amende le modèle de Leontief à la marge pour lui faire accepter des chocs d’offre. La méthode de l’extraction hypothétique retire d’un tableau IO la demande finale, voire l’ensemble des lignes et colonnes d’un secteur, et mesure l’écart de production avant/après (</w:t>
      </w:r>
      <w:proofErr w:type="spellStart"/>
      <w:r>
        <w:fldChar w:fldCharType="begin"/>
      </w:r>
      <w:r>
        <w:instrText>HYPERLINK \l "dietzenbacher2013"</w:instrText>
      </w:r>
      <w:r>
        <w:fldChar w:fldCharType="separate"/>
      </w:r>
      <w:r>
        <w:t>Dietzenbacher</w:t>
      </w:r>
      <w:proofErr w:type="spellEnd"/>
      <w:r>
        <w:t xml:space="preserve"> et Lahr, 2013</w:t>
      </w:r>
      <w:r>
        <w:fldChar w:fldCharType="end"/>
      </w:r>
      <w:r>
        <w:t>)</w:t>
      </w:r>
      <w:r w:rsidR="003009CC">
        <w:t>.</w:t>
      </w:r>
      <w:r>
        <w:t xml:space="preserve"> </w:t>
      </w:r>
      <w:r w:rsidR="003009CC">
        <w:t>S</w:t>
      </w:r>
      <w:r>
        <w:t xml:space="preserve">imple et transparente, </w:t>
      </w:r>
      <w:r w:rsidR="003009CC">
        <w:t>cette méthode</w:t>
      </w:r>
      <w:r>
        <w:t xml:space="preserve"> suppose toutefois un ajustement instantané de la production à la demande. La méthode mixte exogène-endogène inverse le statut de certains secteurs — production fixée de manière exogène au niveau contraint par la catastrophe, demande finale rendue endogène — mais peut produire, pour des chocs importants, des demandes endogènes négatives dépourvues de sens économique. Dans la même veine, le modèle d’</w:t>
      </w:r>
      <w:proofErr w:type="spellStart"/>
      <w:r>
        <w:t>inopérabilité</w:t>
      </w:r>
      <w:proofErr w:type="spellEnd"/>
      <w:r>
        <w:t xml:space="preserve"> (IIM, </w:t>
      </w:r>
      <w:proofErr w:type="spellStart"/>
      <w:r>
        <w:rPr>
          <w:i/>
          <w:iCs/>
        </w:rPr>
        <w:t>Inoperability</w:t>
      </w:r>
      <w:proofErr w:type="spellEnd"/>
      <w:r>
        <w:rPr>
          <w:i/>
          <w:iCs/>
        </w:rPr>
        <w:t xml:space="preserve"> Input-Output Model</w:t>
      </w:r>
      <w:r>
        <w:t xml:space="preserve"> ; </w:t>
      </w:r>
      <w:hyperlink w:anchor="santos2004" w:history="1">
        <w:r w:rsidR="00C01F75">
          <w:t>Santos et Haimes, 2004</w:t>
        </w:r>
      </w:hyperlink>
      <w:r>
        <w:t>) reformule le tableau IO en termes de pourcentages de dysfonctionnement sectoriel se propageant par les interdépendances : très utilisé dans la littérature de protection des infrastructures critiques, il reste néanmoins linéaire, statique et piloté par la demande. Ces extensions partagent une limite de fond : elles décrivent des états comparatifs, non une trajectoire</w:t>
      </w:r>
      <w:r w:rsidR="003009CC">
        <w:t xml:space="preserve">. Or, </w:t>
      </w:r>
      <w:r>
        <w:t>l’essentiel du coût d’une catastrophe se joue dans la dynamique du rétablissement.</w:t>
      </w:r>
    </w:p>
    <w:p w14:paraId="45C4EC9D" w14:textId="77777777" w:rsidR="00C01F75" w:rsidRDefault="00000000" w:rsidP="0077027A">
      <w:pPr>
        <w:pStyle w:val="Titre3"/>
        <w:jc w:val="both"/>
      </w:pPr>
      <w:bookmarkStart w:id="10" w:name="_Toc233908860"/>
      <w:r>
        <w:lastRenderedPageBreak/>
        <w:t>3.2 La tradition adaptative à inventaires : ARIO et ses descendants</w:t>
      </w:r>
      <w:bookmarkEnd w:id="10"/>
    </w:p>
    <w:p w14:paraId="2EB61502" w14:textId="77777777" w:rsidR="00C01F75" w:rsidRDefault="00000000" w:rsidP="0077027A">
      <w:pPr>
        <w:spacing w:after="200" w:line="320" w:lineRule="auto"/>
        <w:jc w:val="both"/>
      </w:pPr>
      <w:r>
        <w:t>La deuxième tradition, aujourd’hui dominante dans l’évaluation des catastrophes, rend le cadre IO dynamique et adaptatif. Le modèle fondateur est ARIO (</w:t>
      </w:r>
      <w:r>
        <w:rPr>
          <w:i/>
          <w:iCs/>
        </w:rPr>
        <w:t>Adaptive Regional Input-Output</w:t>
      </w:r>
      <w:r>
        <w:t xml:space="preserve"> ; </w:t>
      </w:r>
      <w:hyperlink w:anchor="hallegatte2008" w:history="1">
        <w:proofErr w:type="spellStart"/>
        <w:r w:rsidR="00C01F75">
          <w:t>Hallegatte</w:t>
        </w:r>
        <w:proofErr w:type="spellEnd"/>
        <w:r w:rsidR="00C01F75">
          <w:t>, 2008</w:t>
        </w:r>
      </w:hyperlink>
      <w:r>
        <w:t xml:space="preserve">), développé pour chiffrer le coût de l’ouragan Katrina. La production de chaque secteur y est bornée par trois contraintes : la demande qui lui est adressée, sa capacité productive résiduelle (réduite à proportion des dommages au capital, avec possibilité de surproduction temporaire par heures supplémentaires) et — dans la version enrichie de </w:t>
      </w:r>
      <w:hyperlink w:anchor="hallegatte2014" w:history="1">
        <w:proofErr w:type="spellStart"/>
        <w:r w:rsidR="00C01F75">
          <w:t>Hallegatte</w:t>
        </w:r>
        <w:proofErr w:type="spellEnd"/>
        <w:r w:rsidR="00C01F75">
          <w:t xml:space="preserve"> (2014)</w:t>
        </w:r>
      </w:hyperlink>
      <w:r>
        <w:t xml:space="preserve"> — la disponibilité de ses inventaires d’intrants, reconstitués par des commandes visant un stock cible. Deux mécanismes font l’originalité du cadre. D’une part, en l’absence d’ajustement par les prix, les déséquilibres se résolvent par un rationnement proportionnel des clients. D’autre part, un paramètre de sensibilité de la production au niveau des stocks encode l’hypothèse de substituabilité des intrants — depuis des intrants parfaitement substituables (la production ne s’arrête qu’à stock nul) jusqu’à la stricte complémentarité </w:t>
      </w:r>
      <w:proofErr w:type="spellStart"/>
      <w:r>
        <w:t>léontieffienne</w:t>
      </w:r>
      <w:proofErr w:type="spellEnd"/>
      <w:r>
        <w:t xml:space="preserve"> (toute baisse de stock ampute la production) —, rejoignant exactement le mécanisme identifié empiriquement par </w:t>
      </w:r>
      <w:hyperlink w:anchor="barrot2016" w:history="1">
        <w:r w:rsidR="00C01F75">
          <w:t>Barrot et Sauvagnat (2016)</w:t>
        </w:r>
      </w:hyperlink>
      <w:r>
        <w:t>. La distinction entre biens stockables, non stockables (électricité, denrées fraîches) et reportables (maintenance, formation) y détermine la vitesse de propagation du choc.</w:t>
      </w:r>
    </w:p>
    <w:p w14:paraId="1A50BCA1" w14:textId="77777777" w:rsidR="00C01F75" w:rsidRDefault="00000000" w:rsidP="0077027A">
      <w:pPr>
        <w:spacing w:after="200" w:line="320" w:lineRule="auto"/>
        <w:jc w:val="both"/>
      </w:pPr>
      <w:r>
        <w:t xml:space="preserve">Cette tradition s’est ramifiée. </w:t>
      </w:r>
      <w:hyperlink w:anchor="henriet2012" w:history="1">
        <w:r w:rsidR="00C01F75">
          <w:t xml:space="preserve">Henriet, </w:t>
        </w:r>
        <w:proofErr w:type="spellStart"/>
        <w:r w:rsidR="00C01F75">
          <w:t>Hallegatte</w:t>
        </w:r>
        <w:proofErr w:type="spellEnd"/>
        <w:r w:rsidR="00C01F75">
          <w:t xml:space="preserve"> et </w:t>
        </w:r>
        <w:proofErr w:type="spellStart"/>
        <w:r w:rsidR="00C01F75">
          <w:t>Tabourier</w:t>
        </w:r>
        <w:proofErr w:type="spellEnd"/>
        <w:r w:rsidR="00C01F75">
          <w:t xml:space="preserve"> (2012)</w:t>
        </w:r>
      </w:hyperlink>
      <w:r>
        <w:t xml:space="preserve"> en proposent une version désagrégée au niveau des firmes, montrant que la robustesse de l’économie dépend de la concentration et de la redondance du réseau de production. Les modèles hybrides à haute résolution, tels le modèle IRIO-Flood appliqué à l’Italie, </w:t>
      </w:r>
      <w:proofErr w:type="spellStart"/>
      <w:r>
        <w:t>géoréférencent</w:t>
      </w:r>
      <w:proofErr w:type="spellEnd"/>
      <w:r>
        <w:t xml:space="preserve"> les unités de production, les croisent avec des cartes d’aléa à fine échelle et contraignent la production par la main-d’œuvre rendue indisponible et par les stocks, en introduisant une matrice de criticité des intrants qui module la complémentarité bien par bien. Enfin, cette famille a été portée à l’échelle mondiale pour d’autres chocs de court terme : </w:t>
      </w:r>
      <w:hyperlink w:anchor="guan2020" w:history="1">
        <w:r w:rsidR="00C01F75">
          <w:t>Guan et al. (2020)</w:t>
        </w:r>
      </w:hyperlink>
      <w:r>
        <w:t xml:space="preserve"> l’appliquent aux chaînes d’approvisionnement mondiales frappées par les confinements de la Covid-19.</w:t>
      </w:r>
    </w:p>
    <w:p w14:paraId="26612A3B" w14:textId="77777777" w:rsidR="00C01F75" w:rsidRDefault="00000000" w:rsidP="0077027A">
      <w:pPr>
        <w:pStyle w:val="Titre3"/>
        <w:jc w:val="both"/>
      </w:pPr>
      <w:bookmarkStart w:id="11" w:name="_Toc233908861"/>
      <w:r>
        <w:t>3.3 La voie de la programmation : réintroduire une flexibilité bornée</w:t>
      </w:r>
      <w:bookmarkEnd w:id="11"/>
    </w:p>
    <w:p w14:paraId="789DE6AE" w14:textId="77777777" w:rsidR="00C01F75" w:rsidRDefault="00000000" w:rsidP="0077027A">
      <w:pPr>
        <w:spacing w:after="200" w:line="320" w:lineRule="auto"/>
        <w:jc w:val="both"/>
      </w:pPr>
      <w:r>
        <w:t xml:space="preserve">Une troisième tradition reproche à ARIO son ancrage </w:t>
      </w:r>
      <w:proofErr w:type="spellStart"/>
      <w:r>
        <w:t>léontieffien</w:t>
      </w:r>
      <w:proofErr w:type="spellEnd"/>
      <w:r>
        <w:t xml:space="preserve"> — proportions fixes, aucune substitution — et cherche un compromis explicite avec le monde CGE. Le modèle MRIA (</w:t>
      </w:r>
      <w:proofErr w:type="spellStart"/>
      <w:r>
        <w:rPr>
          <w:i/>
          <w:iCs/>
        </w:rPr>
        <w:t>Multiregional</w:t>
      </w:r>
      <w:proofErr w:type="spellEnd"/>
      <w:r>
        <w:rPr>
          <w:i/>
          <w:iCs/>
        </w:rPr>
        <w:t xml:space="preserve"> Impact </w:t>
      </w:r>
      <w:proofErr w:type="spellStart"/>
      <w:r>
        <w:rPr>
          <w:i/>
          <w:iCs/>
        </w:rPr>
        <w:t>Assessment</w:t>
      </w:r>
      <w:proofErr w:type="spellEnd"/>
      <w:r>
        <w:t xml:space="preserve"> ; </w:t>
      </w:r>
      <w:hyperlink w:anchor="koks2016" w:history="1">
        <w:r w:rsidR="00C01F75">
          <w:t>Koks et Thissen, 2016</w:t>
        </w:r>
      </w:hyperlink>
      <w:r>
        <w:t xml:space="preserve">) reformule l’impact en programme d’optimisation : les régions non touchées peuvent accroître leur production et se substituer partiellement aux régions sinistrées, dans les limites de leurs capacités installées. Cette approche, appliquée aux inondations européennes, produit des estimations systématiquement intermédiaires entre l’IO pur et le CGE. Dans le même esprit, la tradition CGE elle-même a produit des variantes « </w:t>
      </w:r>
      <w:proofErr w:type="spellStart"/>
      <w:r>
        <w:t>court-termistes</w:t>
      </w:r>
      <w:proofErr w:type="spellEnd"/>
      <w:r>
        <w:t xml:space="preserve"> » à élasticités réduites et facteurs quasi fixes, dont l’application à la reconstitution des réseaux d’eau après séisme par </w:t>
      </w:r>
      <w:hyperlink w:anchor="rose2005" w:history="1">
        <w:r w:rsidR="00C01F75">
          <w:t>Rose et Liao (2005)</w:t>
        </w:r>
      </w:hyperlink>
      <w:r>
        <w:t xml:space="preserve"> reste </w:t>
      </w:r>
      <w:r>
        <w:lastRenderedPageBreak/>
        <w:t>l’exemple canonique — au prix, toutefois, du maintien d’un apurement par les prix dont la section précédente a rappelé le caractère contrefactuel en situation de crise.</w:t>
      </w:r>
    </w:p>
    <w:p w14:paraId="5CA7ABD4" w14:textId="77777777" w:rsidR="00C01F75" w:rsidRDefault="00000000" w:rsidP="0077027A">
      <w:pPr>
        <w:pStyle w:val="Titre3"/>
        <w:jc w:val="both"/>
      </w:pPr>
      <w:bookmarkStart w:id="12" w:name="_Toc233908862"/>
      <w:r>
        <w:t>3.4 Les modèles à base d’agents : la propagation au niveau des firmes</w:t>
      </w:r>
      <w:bookmarkEnd w:id="12"/>
    </w:p>
    <w:p w14:paraId="2777BF35" w14:textId="77777777" w:rsidR="00C01F75" w:rsidRDefault="00000000" w:rsidP="0077027A">
      <w:pPr>
        <w:spacing w:after="200" w:line="320" w:lineRule="auto"/>
        <w:jc w:val="both"/>
      </w:pPr>
      <w:r>
        <w:t xml:space="preserve">Une quatrième tradition abandonne la maille sectorielle pour simuler la propagation sur des réseaux de firmes observés ou synthétiques. </w:t>
      </w:r>
      <w:hyperlink w:anchor="inoue2019" w:history="1">
        <w:r w:rsidR="00C01F75">
          <w:t>Inoue et Todo (2019)</w:t>
        </w:r>
      </w:hyperlink>
      <w:r>
        <w:t xml:space="preserve"> propagent le séisme de 2011 sur le réseau réel d’un million d’entreprises japonaises ; le modèle Acclimate (</w:t>
      </w:r>
      <w:hyperlink w:anchor="otto2017" w:history="1">
        <w:r w:rsidR="00C01F75">
          <w:t>Otto et al., 2017</w:t>
        </w:r>
      </w:hyperlink>
      <w:r>
        <w:t xml:space="preserve">) simule en dynamique les cascades de pertes dans le commerce mondial ; et </w:t>
      </w:r>
      <w:hyperlink w:anchor="colon2021" w:history="1">
        <w:r w:rsidR="00C01F75">
          <w:t xml:space="preserve">Colon, </w:t>
        </w:r>
        <w:proofErr w:type="spellStart"/>
        <w:r w:rsidR="00C01F75">
          <w:t>Hallegatte</w:t>
        </w:r>
        <w:proofErr w:type="spellEnd"/>
        <w:r w:rsidR="00C01F75">
          <w:t xml:space="preserve"> et Rozenberg (2021)</w:t>
        </w:r>
      </w:hyperlink>
      <w:r>
        <w:t xml:space="preserve"> couplent des agents-firmes à un réseau de transport national — l’application la plus proche du présent projet, sur laquelle la section 4 revient. Ces modèles offrent la représentation la plus fine des mécanismes — hétérogénéité des firmes, </w:t>
      </w:r>
      <w:proofErr w:type="spellStart"/>
      <w:r>
        <w:t>re-routage</w:t>
      </w:r>
      <w:proofErr w:type="spellEnd"/>
      <w:r>
        <w:t>, effets de seuil —, mais leur calibration exige des données de transactions interentreprises qui n’existent que dans une poignée de pays, et leurs résultats agrégés restent difficiles à valider hors de ces contextes.</w:t>
      </w:r>
    </w:p>
    <w:p w14:paraId="37EF09E7" w14:textId="77777777" w:rsidR="00C01F75" w:rsidRDefault="00000000" w:rsidP="0077027A">
      <w:pPr>
        <w:pStyle w:val="Titre3"/>
        <w:jc w:val="both"/>
      </w:pPr>
      <w:bookmarkStart w:id="13" w:name="_Toc233908863"/>
      <w:r>
        <w:t>3.5 Les modèles de déséquilibre en temps continu : la filiation d’ESTEEM</w:t>
      </w:r>
      <w:bookmarkEnd w:id="13"/>
    </w:p>
    <w:p w14:paraId="685BBEDA" w14:textId="77777777" w:rsidR="00C01F75" w:rsidRDefault="00000000" w:rsidP="0077027A">
      <w:pPr>
        <w:spacing w:after="200" w:line="320" w:lineRule="auto"/>
        <w:jc w:val="both"/>
      </w:pPr>
      <w:r>
        <w:t xml:space="preserve">Une cinquième tradition, la plus récente, généralise l’esprit d’ARIO en un cadre de déséquilibre macroéconomique dynamique, au-delà du seul cas des catastrophes. Le modèle de </w:t>
      </w:r>
      <w:hyperlink w:anchor="pichler2022" w:history="1">
        <w:r w:rsidR="00C01F75">
          <w:t>Pichler et al. (2022)</w:t>
        </w:r>
      </w:hyperlink>
      <w:r>
        <w:t>, développé pour prévoir l’impact de la Covid-19 sur l’économie britannique, combine contraintes d’offre sectorielles, inventaires et fonctions de production à intrants critiques, avec une performance prédictive documentée. C’est dans cette filiation que s’inscrit le modèle ESTEEM développé à l’Agence française de développement : un modèle entrées-sorties en temps continu, à anticipations adaptatives et rationalité limitée — les agents suivent des règles de conduite plutôt qu’ils n’optimisent —, où les inventaires et des prix visqueux autorisent un déséquilibre temporaire entre offre et demande, et où les limites biophysiques (terre, ressources) sont explicitement représentées. La viscosité des prix et l’amortissement par les stocks y lissent la production tout en allongeant la durée des déséquilibres, faisant apparaître des périodes de transition marquées par du sous-emploi, de la sous-utilisation du capital et de l’inflation — précisément les grandeurs que l’on souhaite suivre dans les mois suivant une inondation.</w:t>
      </w:r>
    </w:p>
    <w:p w14:paraId="22B5AC88" w14:textId="77777777" w:rsidR="00C01F75" w:rsidRDefault="00000000" w:rsidP="0077027A">
      <w:pPr>
        <w:pStyle w:val="Titre3"/>
        <w:jc w:val="both"/>
      </w:pPr>
      <w:bookmarkStart w:id="14" w:name="_Toc233908864"/>
      <w:r>
        <w:t>3.6 Bilan : ce que ces traditions requièrent du modèle de fret</w:t>
      </w:r>
      <w:bookmarkEnd w:id="14"/>
    </w:p>
    <w:p w14:paraId="2EA89022" w14:textId="77777777" w:rsidR="00C01F75" w:rsidRDefault="00000000" w:rsidP="0077027A">
      <w:pPr>
        <w:spacing w:after="200" w:line="320" w:lineRule="auto"/>
        <w:jc w:val="both"/>
      </w:pPr>
      <w:r>
        <w:t xml:space="preserve">Ce panorama dessine une convergence : quelle que soit la tradition, la qualité d’une évaluation de choc dépend de la manière dont le choc d’offre initial est spécifié — quels secteurs, quelles capacités, quels coûts, à quel endroit et pour combien de temps. Or, pour une inondation frappant des infrastructures routières, cette spécification est précisément ce qu’aucun modèle macroéconomique ne sait produire seul : elle exige une représentation spatialisée du réseau, des flux qui l’empruntent et des coûts logistiques associés. C’est la fonction du modèle de fret </w:t>
      </w:r>
      <w:r>
        <w:lastRenderedPageBreak/>
        <w:t>construit dans ce mémoire — et la raison pour laquelle la littérature la plus récente fait du transport le chaînon manquant entre l’aléa physique et le modèle d’impact.</w:t>
      </w:r>
    </w:p>
    <w:p w14:paraId="13AE4112" w14:textId="77777777" w:rsidR="00C01F75" w:rsidRDefault="00000000" w:rsidP="0077027A">
      <w:pPr>
        <w:pStyle w:val="Titre2"/>
        <w:jc w:val="both"/>
      </w:pPr>
      <w:bookmarkStart w:id="15" w:name="_Toc233908865"/>
      <w:r>
        <w:t>4. Le transport comme vecteur de propagation : criticité et résilience des réseaux</w:t>
      </w:r>
      <w:bookmarkEnd w:id="15"/>
    </w:p>
    <w:p w14:paraId="1F03056A" w14:textId="77777777" w:rsidR="00C01F75" w:rsidRDefault="00000000" w:rsidP="0077027A">
      <w:pPr>
        <w:spacing w:after="200" w:line="320" w:lineRule="auto"/>
        <w:jc w:val="both"/>
      </w:pPr>
      <w:r>
        <w:t xml:space="preserve">Le transport occupe en effet une place singulière dans cette chaîne causale : très en amont des autres secteurs, il conditionne l’accessibilité des marchés et la continuité des approvisionnements, de sorte qu’une route coupée ne détruit pas seulement un actif mais dégrade le fonctionnement de l’ensemble du système productif. Une littérature dédiée à la criticité des réseaux de transport a quantifié cette exposition. À l’échelle mondiale, </w:t>
      </w:r>
      <w:hyperlink w:anchor="koks2019" w:history="1">
        <w:r w:rsidR="00C01F75">
          <w:t>Koks et al. (2019)</w:t>
        </w:r>
      </w:hyperlink>
      <w:r>
        <w:t xml:space="preserve"> estiment la valeur des actifs routiers et ferroviaires exposés aux aléas multiples. Surtout, </w:t>
      </w:r>
      <w:hyperlink w:anchor="colon2021" w:history="1">
        <w:r w:rsidR="00C01F75">
          <w:t xml:space="preserve">Colon, </w:t>
        </w:r>
        <w:proofErr w:type="spellStart"/>
        <w:r w:rsidR="00C01F75">
          <w:t>Hallegatte</w:t>
        </w:r>
        <w:proofErr w:type="spellEnd"/>
        <w:r w:rsidR="00C01F75">
          <w:t xml:space="preserve"> et Rozenberg (2021)</w:t>
        </w:r>
      </w:hyperlink>
      <w:r>
        <w:t xml:space="preserve"> — référence la plus proche de la démarche de ce mémoire — couplent un modèle de chaîne d’approvisionnement à base d’agents à un réseau de transport pour analyser la criticité des tronçons en Tanzanie, et montrent qu’elle tient autant à la position d’un segment dans le réseau logistique qu’à sa fragilité physique. Ces analyses prolongent les méthodes d’évaluation de la vulnérabilité par percolation — où l’on retire successivement chaque tronçon pour mesurer le surcroît de temps de parcours et l’exposition des activités stratégiques — et les rapports de la Banque mondiale sur la résilience des infrastructures dans les pays en développement, </w:t>
      </w:r>
      <w:proofErr w:type="spellStart"/>
      <w:r>
        <w:rPr>
          <w:i/>
          <w:iCs/>
        </w:rPr>
        <w:t>Lifelines</w:t>
      </w:r>
      <w:proofErr w:type="spellEnd"/>
      <w:r>
        <w:t xml:space="preserve"> (</w:t>
      </w:r>
      <w:proofErr w:type="spellStart"/>
      <w:r>
        <w:fldChar w:fldCharType="begin"/>
      </w:r>
      <w:r>
        <w:instrText>HYPERLINK \l "hallegatte2019"</w:instrText>
      </w:r>
      <w:r>
        <w:fldChar w:fldCharType="separate"/>
      </w:r>
      <w:r>
        <w:t>Hallegatte</w:t>
      </w:r>
      <w:proofErr w:type="spellEnd"/>
      <w:r>
        <w:t>, Rentschler et Rozenberg, 2019</w:t>
      </w:r>
      <w:r>
        <w:fldChar w:fldCharType="end"/>
      </w:r>
      <w:r>
        <w:t xml:space="preserve">) et </w:t>
      </w:r>
      <w:r>
        <w:rPr>
          <w:i/>
          <w:iCs/>
        </w:rPr>
        <w:t>Beyond the Gap</w:t>
      </w:r>
      <w:r>
        <w:t xml:space="preserve"> (</w:t>
      </w:r>
      <w:hyperlink w:anchor="rozenberg2019" w:history="1">
        <w:r w:rsidR="00C01F75">
          <w:t xml:space="preserve">Rozenberg et </w:t>
        </w:r>
        <w:proofErr w:type="spellStart"/>
        <w:r w:rsidR="00C01F75">
          <w:t>Fay</w:t>
        </w:r>
        <w:proofErr w:type="spellEnd"/>
        <w:r w:rsidR="00C01F75">
          <w:t>, 2019</w:t>
        </w:r>
      </w:hyperlink>
      <w:r>
        <w:t>), qui documentent la sensibilité particulière des économies à faible redondance de réseau aux disruptions de transport — contexte directement pertinent pour une économie enclavée comme le Rwanda.</w:t>
      </w:r>
    </w:p>
    <w:p w14:paraId="51F37DFC" w14:textId="77777777" w:rsidR="00C01F75" w:rsidRDefault="00000000" w:rsidP="0077027A">
      <w:pPr>
        <w:pStyle w:val="Titre2"/>
        <w:jc w:val="both"/>
      </w:pPr>
      <w:bookmarkStart w:id="16" w:name="_Toc233908866"/>
      <w:r>
        <w:t>5. Modéliser le fret : panorama des approches et choix retenus</w:t>
      </w:r>
      <w:bookmarkEnd w:id="16"/>
    </w:p>
    <w:p w14:paraId="05351B85" w14:textId="77777777" w:rsidR="00C01F75" w:rsidRDefault="00000000" w:rsidP="0077027A">
      <w:pPr>
        <w:pStyle w:val="Titre3"/>
        <w:jc w:val="both"/>
      </w:pPr>
      <w:bookmarkStart w:id="17" w:name="_Toc233908867"/>
      <w:r>
        <w:t>5.1 Le cadre agrégé : le modèle à quatre étapes et ses fondements</w:t>
      </w:r>
      <w:bookmarkEnd w:id="17"/>
    </w:p>
    <w:p w14:paraId="616D712A" w14:textId="77777777" w:rsidR="00C01F75" w:rsidRDefault="00000000" w:rsidP="0077027A">
      <w:pPr>
        <w:spacing w:after="200" w:line="320" w:lineRule="auto"/>
        <w:jc w:val="both"/>
      </w:pPr>
      <w:r>
        <w:t>Représenter explicitement les flux de marchandises suppose de mobiliser l’appareillage de la modélisation des transports. Le cadre canonique demeure le modèle séquentiel « à quatre étapes » — génération, distribution, choix modal, affectation — hérité du transport de voyageurs (</w:t>
      </w:r>
      <w:proofErr w:type="spellStart"/>
      <w:r>
        <w:fldChar w:fldCharType="begin"/>
      </w:r>
      <w:r>
        <w:instrText>HYPERLINK \l "ortuzar2011"</w:instrText>
      </w:r>
      <w:r>
        <w:fldChar w:fldCharType="separate"/>
      </w:r>
      <w:r>
        <w:t>Ortúzar</w:t>
      </w:r>
      <w:proofErr w:type="spellEnd"/>
      <w:r>
        <w:t xml:space="preserve"> et Willumsen, 2011</w:t>
      </w:r>
      <w:r>
        <w:fldChar w:fldCharType="end"/>
      </w:r>
      <w:r>
        <w:t>). La distribution spatiale y repose sur le modèle gravitaire, justifié par la maximisation de l’entropie (</w:t>
      </w:r>
      <w:hyperlink w:anchor="wilson1967" w:history="1">
        <w:r w:rsidR="00C01F75">
          <w:t>Wilson, 1967</w:t>
        </w:r>
      </w:hyperlink>
      <w:r>
        <w:t xml:space="preserve">), dont les facteurs d’équilibrage itératifs (procédure de Furness) trouvent une interprétation économique dans la gravité structurelle : à partir de préférences CES, </w:t>
      </w:r>
      <w:hyperlink w:anchor="anderson2003" w:history="1">
        <w:r w:rsidR="00C01F75">
          <w:t xml:space="preserve">Anderson et van </w:t>
        </w:r>
        <w:proofErr w:type="spellStart"/>
        <w:r w:rsidR="00C01F75">
          <w:t>Wincoop</w:t>
        </w:r>
        <w:proofErr w:type="spellEnd"/>
        <w:r w:rsidR="00C01F75">
          <w:t xml:space="preserve"> (2003)</w:t>
        </w:r>
      </w:hyperlink>
      <w:r>
        <w:t xml:space="preserve"> montrent que les échanges bilatéraux dépendent du coût bilatéral relativement à des termes de résistance multilatérale mesurant l’isolement global de chaque zone — dont les facteurs de Furness sont l’analogue empirique. Le choix modal s’appuie sur des modèles </w:t>
      </w:r>
      <w:proofErr w:type="spellStart"/>
      <w:r>
        <w:t>logit</w:t>
      </w:r>
      <w:proofErr w:type="spellEnd"/>
      <w:r>
        <w:t xml:space="preserve"> issus de la théorie de l’utilité aléatoire (</w:t>
      </w:r>
      <w:hyperlink w:anchor="mcfadden1974" w:history="1">
        <w:r w:rsidR="00C01F75">
          <w:t>McFadden, 1974</w:t>
        </w:r>
      </w:hyperlink>
      <w:r>
        <w:t xml:space="preserve">), et l’affectation sur des principes d’équilibre, au premier rang desquels l’équilibre usager de </w:t>
      </w:r>
      <w:hyperlink w:anchor="wardrop1952" w:history="1">
        <w:r w:rsidR="00C01F75">
          <w:t>Wardrop (1952)</w:t>
        </w:r>
      </w:hyperlink>
      <w:r>
        <w:t xml:space="preserve">. Transposé au fret, ce cadre exprime les matrices </w:t>
      </w:r>
      <w:r>
        <w:lastRenderedPageBreak/>
        <w:t>en tonnes, souvent dérivées de tableaux entrées-sorties en valeur puis converties, et se heurte à trois spécificités : la multiplicité des agents décisionnaires (expéditeurs, transporteurs, intermédiaires), l’hétérogénéité des biens et la rareté des données désagrégées (</w:t>
      </w:r>
      <w:hyperlink w:anchor="dejong2004" w:history="1">
        <w:r w:rsidR="00C01F75">
          <w:t>de Jong, Gunn et Walker, 2004</w:t>
        </w:r>
      </w:hyperlink>
      <w:r>
        <w:t>).</w:t>
      </w:r>
    </w:p>
    <w:p w14:paraId="3E9B4CC6" w14:textId="77777777" w:rsidR="00C01F75" w:rsidRDefault="00000000" w:rsidP="0077027A">
      <w:pPr>
        <w:spacing w:after="200" w:line="320" w:lineRule="auto"/>
        <w:jc w:val="both"/>
      </w:pPr>
      <w:r>
        <w:t>C’est ce cadre agrégé, orienté marchandises (</w:t>
      </w:r>
      <w:proofErr w:type="spellStart"/>
      <w:r>
        <w:rPr>
          <w:i/>
          <w:iCs/>
        </w:rPr>
        <w:t>commodity-based</w:t>
      </w:r>
      <w:proofErr w:type="spellEnd"/>
      <w:r>
        <w:t>), qui est retenu dans ce mémoire : la demande de fret y est dérivée des grandeurs sectorielles d’une matrice de comptabilité sociale, distribuée par un modèle gravitaire calé par Furness, puis affectée à un réseau routier. Ce choix mérite d’être défendu contre trois familles d’alternatives.</w:t>
      </w:r>
    </w:p>
    <w:p w14:paraId="66DD0CB6" w14:textId="77777777" w:rsidR="00C01F75" w:rsidRDefault="00000000" w:rsidP="0077027A">
      <w:pPr>
        <w:pStyle w:val="Titre3"/>
        <w:jc w:val="both"/>
      </w:pPr>
      <w:bookmarkStart w:id="18" w:name="_Toc233908868"/>
      <w:r>
        <w:t>5.2 Première alternative : les modèles désagrégés et à base d’agents</w:t>
      </w:r>
      <w:bookmarkEnd w:id="18"/>
    </w:p>
    <w:p w14:paraId="493D9894" w14:textId="77777777" w:rsidR="00C01F75" w:rsidRDefault="00000000" w:rsidP="0077027A">
      <w:pPr>
        <w:spacing w:after="200" w:line="320" w:lineRule="auto"/>
        <w:jc w:val="both"/>
      </w:pPr>
      <w:r>
        <w:t>Une littérature abondante reproche aux modèles agrégés d’écraser les décisions logistiques réelles, prises au niveau de l’entreprise et de l’envoi. Les modèles dits ADA (</w:t>
      </w:r>
      <w:proofErr w:type="spellStart"/>
      <w:r>
        <w:rPr>
          <w:i/>
          <w:iCs/>
        </w:rPr>
        <w:t>aggregate</w:t>
      </w:r>
      <w:proofErr w:type="spellEnd"/>
      <w:r>
        <w:rPr>
          <w:i/>
          <w:iCs/>
        </w:rPr>
        <w:t>–</w:t>
      </w:r>
      <w:proofErr w:type="spellStart"/>
      <w:r>
        <w:rPr>
          <w:i/>
          <w:iCs/>
        </w:rPr>
        <w:t>disaggregate</w:t>
      </w:r>
      <w:proofErr w:type="spellEnd"/>
      <w:r>
        <w:rPr>
          <w:i/>
          <w:iCs/>
        </w:rPr>
        <w:t>–</w:t>
      </w:r>
      <w:proofErr w:type="spellStart"/>
      <w:r>
        <w:rPr>
          <w:i/>
          <w:iCs/>
        </w:rPr>
        <w:t>aggregate</w:t>
      </w:r>
      <w:proofErr w:type="spellEnd"/>
      <w:r>
        <w:t>), comme les modèles nationaux norvégien et suédois (</w:t>
      </w:r>
      <w:hyperlink w:anchor="benakiva2013" w:history="1">
        <w:r w:rsidR="00C01F75">
          <w:t>Ben-Akiva et de Jong, 2013</w:t>
        </w:r>
      </w:hyperlink>
      <w:r>
        <w:t xml:space="preserve">), désagrègent les flux sectoriels en envois individuels, simulent pour chacun les choix logistiques (taille d’envoi, mode, passage par centre de distribution), puis réagrègent pour l’affectation. Plus radicalement, les modèles de </w:t>
      </w:r>
      <w:proofErr w:type="spellStart"/>
      <w:r>
        <w:t>microsimulation</w:t>
      </w:r>
      <w:proofErr w:type="spellEnd"/>
      <w:r>
        <w:t xml:space="preserve"> ou à base d’agents — INTERLOG (</w:t>
      </w:r>
      <w:hyperlink w:anchor="liedtke2009" w:history="1">
        <w:r w:rsidR="00C01F75">
          <w:t>Liedtke, 2009</w:t>
        </w:r>
      </w:hyperlink>
      <w:r>
        <w:t xml:space="preserve">), les extensions fret de </w:t>
      </w:r>
      <w:proofErr w:type="spellStart"/>
      <w:r>
        <w:t>MATSim</w:t>
      </w:r>
      <w:proofErr w:type="spellEnd"/>
      <w:r>
        <w:t xml:space="preserve">, ou les modèles de marchés de transport simulant les contrats entre chargeurs et transporteurs — représentent explicitement les firmes, leurs relations commerciales et leurs décisions adaptatives. Appliqués à l’analyse de chocs, ces modèles culminent dans l’approche de </w:t>
      </w:r>
      <w:hyperlink w:anchor="colon2021" w:history="1">
        <w:r w:rsidR="00C01F75">
          <w:t xml:space="preserve">Colon, </w:t>
        </w:r>
        <w:proofErr w:type="spellStart"/>
        <w:r w:rsidR="00C01F75">
          <w:t>Hallegatte</w:t>
        </w:r>
        <w:proofErr w:type="spellEnd"/>
        <w:r w:rsidR="00C01F75">
          <w:t xml:space="preserve"> et Rozenberg (2021)</w:t>
        </w:r>
      </w:hyperlink>
      <w:r>
        <w:t xml:space="preserve">, où des agents-firmes géolocalisés, reliés par des relations d’approvisionnement, réagissent à la coupure d’un tronçon par </w:t>
      </w:r>
      <w:proofErr w:type="spellStart"/>
      <w:r>
        <w:t>re-routage</w:t>
      </w:r>
      <w:proofErr w:type="spellEnd"/>
      <w:r>
        <w:t>, déstockage et rationnement.</w:t>
      </w:r>
    </w:p>
    <w:p w14:paraId="5B134646" w14:textId="77777777" w:rsidR="00C01F75" w:rsidRDefault="00000000" w:rsidP="0077027A">
      <w:pPr>
        <w:spacing w:after="200" w:line="320" w:lineRule="auto"/>
        <w:jc w:val="both"/>
      </w:pPr>
      <w:r>
        <w:t>Ces approches sont conceptuellement supérieures pour capturer l’hétérogénéité des réponses au choc ; elles sont aussi voraces en données. Leur calibration exige des registres d’entreprises géolocalisés, des enquêtes chargeurs de type ECHO (</w:t>
      </w:r>
      <w:hyperlink w:anchor="guilbault2009" w:history="1">
        <w:r w:rsidR="00C01F75">
          <w:t xml:space="preserve">Guilbault et </w:t>
        </w:r>
        <w:proofErr w:type="spellStart"/>
        <w:r w:rsidR="00C01F75">
          <w:t>Soppé</w:t>
        </w:r>
        <w:proofErr w:type="spellEnd"/>
        <w:r w:rsidR="00C01F75">
          <w:t>, 2009</w:t>
        </w:r>
      </w:hyperlink>
      <w:r>
        <w:t>) ou des données de transactions interentreprises — celles-là mêmes qui ont permis les validations japonaises d’</w:t>
      </w:r>
      <w:hyperlink w:anchor="inoue2019" w:history="1">
        <w:r w:rsidR="00C01F75">
          <w:t>Inoue et Todo (2019)</w:t>
        </w:r>
      </w:hyperlink>
      <w:r>
        <w:t xml:space="preserve">. De telles sources n’existent pas pour le Rwanda, où les données mobilisables se limitent pour l’essentiel à une matrice de comptabilité sociale nationale, aux enquêtes structurelles (recensement, enquêtes d’établissements) et au réseau </w:t>
      </w:r>
      <w:proofErr w:type="spellStart"/>
      <w:r>
        <w:t>OpenStreetMap</w:t>
      </w:r>
      <w:proofErr w:type="spellEnd"/>
      <w:r>
        <w:t>. Construire un modèle à base d’agents sur ces fondations aurait exigé d’inventer la microstructure que les données ne contiennent pas, avec un gain illusoire : la précision apparente du niveau micro aurait masqué l’arbitraire de sa génération synthétique. Le choix d’un modèle agrégé sectoriel est donc ici un choix de cohérence entre la résolution du modèle et la résolution des données — principe d’économie que la littérature sur les pays à données rares recommande explicitement (</w:t>
      </w:r>
      <w:proofErr w:type="spellStart"/>
      <w:r>
        <w:fldChar w:fldCharType="begin"/>
      </w:r>
      <w:r>
        <w:instrText>HYPERLINK \l "hallegatte2019"</w:instrText>
      </w:r>
      <w:r>
        <w:fldChar w:fldCharType="separate"/>
      </w:r>
      <w:r>
        <w:t>Hallegatte</w:t>
      </w:r>
      <w:proofErr w:type="spellEnd"/>
      <w:r>
        <w:t>, Rentschler et Rozenberg, 2019</w:t>
      </w:r>
      <w:r>
        <w:fldChar w:fldCharType="end"/>
      </w:r>
      <w:r>
        <w:t xml:space="preserve">). Il présente en outre un avantage décisif pour l’objectif final : ses sorties sont nativement sectorielles, donc </w:t>
      </w:r>
      <w:r>
        <w:lastRenderedPageBreak/>
        <w:t>directement commensurables avec les comptes d’un modèle IO de type ESTEEM, là où un modèle à base d’agents exigerait une réagrégation.</w:t>
      </w:r>
    </w:p>
    <w:p w14:paraId="0D7BC379" w14:textId="77777777" w:rsidR="00C01F75" w:rsidRDefault="00000000" w:rsidP="0077027A">
      <w:pPr>
        <w:pStyle w:val="Titre3"/>
        <w:jc w:val="both"/>
      </w:pPr>
      <w:bookmarkStart w:id="19" w:name="_Toc233908869"/>
      <w:r>
        <w:t xml:space="preserve">5.3 Deuxième alternative : l’architecture logistique — </w:t>
      </w:r>
      <w:proofErr w:type="spellStart"/>
      <w:r>
        <w:t>supernetwork</w:t>
      </w:r>
      <w:proofErr w:type="spellEnd"/>
      <w:r>
        <w:t xml:space="preserve"> contre </w:t>
      </w:r>
      <w:proofErr w:type="spellStart"/>
      <w:r>
        <w:t>hypernetwork</w:t>
      </w:r>
      <w:bookmarkEnd w:id="19"/>
      <w:proofErr w:type="spellEnd"/>
    </w:p>
    <w:p w14:paraId="6006BCD7" w14:textId="77777777" w:rsidR="00C01F75" w:rsidRDefault="00000000" w:rsidP="0077027A">
      <w:pPr>
        <w:spacing w:after="200" w:line="320" w:lineRule="auto"/>
        <w:jc w:val="both"/>
      </w:pPr>
      <w:r>
        <w:t xml:space="preserve">Une seconde ligne de partage concerne la représentation de la chaîne logistique. La théorie des inventaires, depuis </w:t>
      </w:r>
      <w:hyperlink w:anchor="baumol1970" w:history="1">
        <w:r w:rsidR="00C01F75">
          <w:t>Baumol et Vinod (1970)</w:t>
        </w:r>
      </w:hyperlink>
      <w:r>
        <w:t xml:space="preserve">, pose la demande de transport comme un arbitrage entre coûts de transport et coûts de stockage, dont la quantité économique de commande (EOQ) fournit la solution ; </w:t>
      </w:r>
      <w:hyperlink w:anchor="combes2012" w:history="1">
        <w:r w:rsidR="00C01F75">
          <w:t>Combes (2012)</w:t>
        </w:r>
      </w:hyperlink>
      <w:r>
        <w:t xml:space="preserve"> montre sur les données ECHO qu’elle explique environ 80 % de la variance des tailles d’envoi, taille et mode étant déterminés conjointement. La littérature d</w:t>
      </w:r>
      <w:proofErr w:type="gramStart"/>
      <w:r>
        <w:t>’«</w:t>
      </w:r>
      <w:proofErr w:type="gramEnd"/>
      <w:r>
        <w:t xml:space="preserve"> incorporation de la logistique » (</w:t>
      </w:r>
      <w:proofErr w:type="spellStart"/>
      <w:r>
        <w:fldChar w:fldCharType="begin"/>
      </w:r>
      <w:r>
        <w:instrText>HYPERLINK \l "tavasszy2012"</w:instrText>
      </w:r>
      <w:r>
        <w:fldChar w:fldCharType="separate"/>
      </w:r>
      <w:r>
        <w:t>Tavasszy</w:t>
      </w:r>
      <w:proofErr w:type="spellEnd"/>
      <w:r>
        <w:t xml:space="preserve">, </w:t>
      </w:r>
      <w:proofErr w:type="spellStart"/>
      <w:r>
        <w:t>Ruijgrok</w:t>
      </w:r>
      <w:proofErr w:type="spellEnd"/>
      <w:r>
        <w:t xml:space="preserve"> et Davydenko, 2012</w:t>
      </w:r>
      <w:r>
        <w:fldChar w:fldCharType="end"/>
      </w:r>
      <w:r>
        <w:t xml:space="preserve"> ; </w:t>
      </w:r>
      <w:hyperlink w:anchor="dejong2013" w:history="1">
        <w:r w:rsidR="00C01F75">
          <w:t>de Jong et al., 2013</w:t>
        </w:r>
      </w:hyperlink>
      <w:r>
        <w:t xml:space="preserve"> ; </w:t>
      </w:r>
      <w:hyperlink w:anchor="tavasszy2014" w:history="1">
        <w:proofErr w:type="spellStart"/>
        <w:r w:rsidR="00C01F75">
          <w:t>Tavasszy</w:t>
        </w:r>
        <w:proofErr w:type="spellEnd"/>
        <w:r w:rsidR="00C01F75">
          <w:t xml:space="preserve"> et de Jong, 2014</w:t>
        </w:r>
      </w:hyperlink>
      <w:r>
        <w:t xml:space="preserve">) distingue alors deux architectures. Le </w:t>
      </w:r>
      <w:proofErr w:type="spellStart"/>
      <w:r>
        <w:rPr>
          <w:i/>
          <w:iCs/>
        </w:rPr>
        <w:t>supernetwork</w:t>
      </w:r>
      <w:proofErr w:type="spellEnd"/>
      <w:r>
        <w:t xml:space="preserve"> empile une couche de réseau par mode ou type de véhicule, reliées par des arcs de transbordement, et retient le chemin de moindre coût de transport : il </w:t>
      </w:r>
      <w:proofErr w:type="spellStart"/>
      <w:r>
        <w:t>endogénéise</w:t>
      </w:r>
      <w:proofErr w:type="spellEnd"/>
      <w:r>
        <w:t xml:space="preserve"> l’itinéraire et le mode, mais pas la structure logistique. L’</w:t>
      </w:r>
      <w:proofErr w:type="spellStart"/>
      <w:r>
        <w:rPr>
          <w:i/>
          <w:iCs/>
        </w:rPr>
        <w:t>hypernetwork</w:t>
      </w:r>
      <w:proofErr w:type="spellEnd"/>
      <w:r>
        <w:t xml:space="preserve"> va plus loin : la taille d’envoi et le passage par un centre de distribution y deviennent des dimensions du réseau lui-même, et l’algorithme minimise un coût logistique généralisé incluant les composantes d’inventaire — </w:t>
      </w:r>
      <w:proofErr w:type="spellStart"/>
      <w:r>
        <w:t>endogénéisant</w:t>
      </w:r>
      <w:proofErr w:type="spellEnd"/>
      <w:r>
        <w:t xml:space="preserve"> ainsi la localisation des stocks (modèles SMILE aux Pays-Bas, GOODTRIP, SLAM, EUNET).</w:t>
      </w:r>
    </w:p>
    <w:p w14:paraId="7D8773AC" w14:textId="77777777" w:rsidR="00C01F75" w:rsidRDefault="00000000" w:rsidP="0077027A">
      <w:pPr>
        <w:spacing w:after="200" w:line="320" w:lineRule="auto"/>
        <w:jc w:val="both"/>
      </w:pPr>
      <w:r>
        <w:t xml:space="preserve">Le modèle construit ici retient l’architecture </w:t>
      </w:r>
      <w:proofErr w:type="spellStart"/>
      <w:r>
        <w:rPr>
          <w:i/>
          <w:iCs/>
        </w:rPr>
        <w:t>supernetwork</w:t>
      </w:r>
      <w:proofErr w:type="spellEnd"/>
      <w:r>
        <w:t xml:space="preserve"> — couches par type de véhicule, transbordements aux entrepôts —, enrichie d’une couche de comptabilité EOQ : la taille d’envoi optimale de Wilson est calculée jambe par jambe le long de l’itinéraire retenu et le coût logistique est ventilé en ses composantes (transport, commande, stock cyclique, stock en transit), la fréquence endogène des trajets pouvant en outre alimenter le module de congestion. Ce positionnement intermédiaire — le routage minimise un coût de transport, la logistique est restituée en aval plutôt qu’</w:t>
      </w:r>
      <w:proofErr w:type="spellStart"/>
      <w:r>
        <w:t>endogénéisée</w:t>
      </w:r>
      <w:proofErr w:type="spellEnd"/>
      <w:r>
        <w:t xml:space="preserve"> dans le routage — se justifie doublement. D’une part, l’</w:t>
      </w:r>
      <w:proofErr w:type="spellStart"/>
      <w:r>
        <w:t>hypernetwork</w:t>
      </w:r>
      <w:proofErr w:type="spellEnd"/>
      <w:r>
        <w:t xml:space="preserve"> exige des données de variance de la demande et des délais par produit pour valoriser les stocks de précaution, indisponibles ici ; sans elles, l’arbitrage stockage/transport endogène serait purement paramétrique. D’autre part, la réplication du graphe par classe de taille d’envoi multiplie la taille du problème sur un réseau national déjà lourd, pour un raffinement dont le rendement est incertain dans une économie où le choix modal effectif est très contraint — le fret intérieur rwandais étant quasi exclusivement routier. Le passage à une architecture </w:t>
      </w:r>
      <w:proofErr w:type="spellStart"/>
      <w:r>
        <w:t>hypernetwork</w:t>
      </w:r>
      <w:proofErr w:type="spellEnd"/>
      <w:r>
        <w:t xml:space="preserve"> constitue en revanche un prolongement naturel du travail.</w:t>
      </w:r>
    </w:p>
    <w:p w14:paraId="506D7915" w14:textId="77777777" w:rsidR="00C01F75" w:rsidRDefault="00000000" w:rsidP="0077027A">
      <w:pPr>
        <w:pStyle w:val="Titre3"/>
        <w:jc w:val="both"/>
      </w:pPr>
      <w:bookmarkStart w:id="20" w:name="_Toc233908870"/>
      <w:r>
        <w:t>5.4 Troisième alternative : le degré de sophistication de l’affectation</w:t>
      </w:r>
      <w:bookmarkEnd w:id="20"/>
    </w:p>
    <w:p w14:paraId="12CAEE2D" w14:textId="77777777" w:rsidR="00C01F75" w:rsidRDefault="00000000" w:rsidP="0077027A">
      <w:pPr>
        <w:spacing w:after="200" w:line="320" w:lineRule="auto"/>
        <w:jc w:val="both"/>
      </w:pPr>
      <w:r>
        <w:t xml:space="preserve">La dernière ligne de partage concerne l’affectation. Le spectre va de l’affectation « tout ou rien » (chaque flux emprunte l’unique plus court chemin), à l’équilibre usager déterministe de </w:t>
      </w:r>
      <w:hyperlink w:anchor="wardrop1952" w:history="1">
        <w:r w:rsidR="00C01F75">
          <w:t>Wardrop (1952)</w:t>
        </w:r>
      </w:hyperlink>
      <w:r>
        <w:t xml:space="preserve"> où les temps dépendent de la charge via des fonctions débit-délai de type BPR, </w:t>
      </w:r>
      <w:r>
        <w:lastRenderedPageBreak/>
        <w:t xml:space="preserve">jusqu’aux équilibres stochastiques (SUE) qui répartissent les flux sur plusieurs itinéraires selon un </w:t>
      </w:r>
      <w:proofErr w:type="spellStart"/>
      <w:r>
        <w:t>logit</w:t>
      </w:r>
      <w:proofErr w:type="spellEnd"/>
      <w:r>
        <w:t>, mieux adaptés à l’hétérogénéité des perceptions. La littérature fret note que beaucoup de modèles nationaux s’en tiennent au tout-ou-rien sans contrainte de capacité, le fret ne représentant qu’une faible part du trafic (</w:t>
      </w:r>
      <w:hyperlink w:anchor="dejong2004" w:history="1">
        <w:r w:rsidR="00C01F75">
          <w:t>de Jong, Gunn et Walker, 2004</w:t>
        </w:r>
      </w:hyperlink>
      <w:r>
        <w:t>). Ce mémoire adopte une position intermédiaire : une affectation tout-ou-rien par itération d’équilibre (méthode des moyennes successives, MSA, sur des temps BPR), qui converge vers un état où les temps de parcours sont cohérents avec les charges — approximation opérationnelle de l’équilibre de Wardrop à coût de calcul maîtrisé. L’absence d’une composante stochastique se défend par la structure du réseau rwandais : arborescent et à faible maillage, il offre peu d’itinéraires alternatifs plausibles entre la plupart des origines et destinations, de sorte que la dispersion des chemins qu’un SUE modéliserait est largement absente de l’objet réel — c’est précisément cette faible redondance qui fonde l’analyse de vulnérabilité.</w:t>
      </w:r>
    </w:p>
    <w:p w14:paraId="0E1FFC22" w14:textId="77777777" w:rsidR="00C01F75" w:rsidRDefault="00000000" w:rsidP="0077027A">
      <w:pPr>
        <w:pStyle w:val="Titre2"/>
        <w:jc w:val="both"/>
      </w:pPr>
      <w:bookmarkStart w:id="21" w:name="_Toc233908871"/>
      <w:r>
        <w:t>6. Coupler fret et économie pour l’analyse de choc : les stratégies en présence</w:t>
      </w:r>
      <w:bookmarkEnd w:id="21"/>
    </w:p>
    <w:p w14:paraId="7C185846" w14:textId="77777777" w:rsidR="00C01F75" w:rsidRDefault="00000000" w:rsidP="0077027A">
      <w:pPr>
        <w:pStyle w:val="Titre3"/>
        <w:jc w:val="both"/>
      </w:pPr>
      <w:bookmarkStart w:id="22" w:name="_Toc233908872"/>
      <w:r>
        <w:t>6.1 Panorama des stratégies de couplage</w:t>
      </w:r>
      <w:bookmarkEnd w:id="22"/>
    </w:p>
    <w:p w14:paraId="4CFF70E9" w14:textId="77777777" w:rsidR="00C01F75" w:rsidRDefault="00000000" w:rsidP="0077027A">
      <w:pPr>
        <w:spacing w:after="200" w:line="320" w:lineRule="auto"/>
        <w:jc w:val="both"/>
      </w:pPr>
      <w:r>
        <w:t>La littérature offre un continuum de stratégies pour relier une perturbation du réseau routier aux grandeurs économiques, que l’on peut ordonner par densité croissante du couplage.</w:t>
      </w:r>
    </w:p>
    <w:p w14:paraId="7E9B81AB" w14:textId="77777777" w:rsidR="00C01F75" w:rsidRDefault="00000000" w:rsidP="0077027A">
      <w:pPr>
        <w:spacing w:after="200" w:line="320" w:lineRule="auto"/>
        <w:jc w:val="both"/>
      </w:pPr>
      <w:r>
        <w:t>À une extrémité, les approches « réseau pur » (analyses de criticité par percolation) retirent successivement chaque tronçon et mesurent le surcroît de temps de parcours et les pertes d’accessibilité aux activités stratégiques, sans modèle économique explicite — la valeur du temps convertissant les délais en coûts (</w:t>
      </w:r>
      <w:hyperlink w:anchor="jenelius2015" w:history="1">
        <w:r w:rsidR="00C01F75">
          <w:t>Jenelius et Mattsson, 2015</w:t>
        </w:r>
      </w:hyperlink>
      <w:r>
        <w:t xml:space="preserve"> ; à l’échelle globale, </w:t>
      </w:r>
      <w:hyperlink w:anchor="koks2019" w:history="1">
        <w:r w:rsidR="00C01F75">
          <w:t>Koks et al., 2019</w:t>
        </w:r>
      </w:hyperlink>
      <w:r>
        <w:t>). Transparentes et sobres en données, elles ignorent toutefois la propagation intersectorielle : une route critique pour les temps de parcours ne l’est pas nécessairement pour la production, et réciproquement.</w:t>
      </w:r>
    </w:p>
    <w:p w14:paraId="2ECA73F5" w14:textId="77777777" w:rsidR="00C01F75" w:rsidRDefault="00000000" w:rsidP="0077027A">
      <w:pPr>
        <w:spacing w:after="200" w:line="320" w:lineRule="auto"/>
        <w:jc w:val="both"/>
      </w:pPr>
      <w:r>
        <w:t xml:space="preserve">Viennent ensuite les couplages IO statiques, où le coût de transport module les échanges interrégionaux : les modèles RUBMRIO </w:t>
      </w:r>
      <w:proofErr w:type="spellStart"/>
      <w:r>
        <w:t>endogénéisent</w:t>
      </w:r>
      <w:proofErr w:type="spellEnd"/>
      <w:r>
        <w:t xml:space="preserve"> les flux par des fonctions d’utilité aléatoire dépendant des coûts de transport, et leur application climatique CLIMATE-C (</w:t>
      </w:r>
      <w:proofErr w:type="spellStart"/>
      <w:r>
        <w:fldChar w:fldCharType="begin"/>
      </w:r>
      <w:r>
        <w:instrText>HYPERLINK \l "maoh2008"</w:instrText>
      </w:r>
      <w:r>
        <w:fldChar w:fldCharType="separate"/>
      </w:r>
      <w:r>
        <w:t>Maoh</w:t>
      </w:r>
      <w:proofErr w:type="spellEnd"/>
      <w:r>
        <w:t xml:space="preserve">, </w:t>
      </w:r>
      <w:proofErr w:type="spellStart"/>
      <w:r>
        <w:t>Kanaroglou</w:t>
      </w:r>
      <w:proofErr w:type="spellEnd"/>
      <w:r>
        <w:t xml:space="preserve"> et </w:t>
      </w:r>
      <w:proofErr w:type="spellStart"/>
      <w:r>
        <w:t>Woudsma</w:t>
      </w:r>
      <w:proofErr w:type="spellEnd"/>
      <w:r>
        <w:t>, 2008</w:t>
      </w:r>
      <w:r>
        <w:fldChar w:fldCharType="end"/>
      </w:r>
      <w:r>
        <w:t>) propage une dégradation des vitesses vers le report modal et la redistribution des échanges canadiens. Ces modèles capturent la dimension spatiale de l’ajustement, mais restent statiques et à coefficients d’équilibre : ils décrivent un nouvel état stationnaire, non la trajectoire de crise.</w:t>
      </w:r>
    </w:p>
    <w:p w14:paraId="27CF5AFE" w14:textId="77777777" w:rsidR="00C01F75" w:rsidRDefault="00000000" w:rsidP="0077027A">
      <w:pPr>
        <w:spacing w:after="200" w:line="320" w:lineRule="auto"/>
        <w:jc w:val="both"/>
      </w:pPr>
      <w:r>
        <w:t xml:space="preserve">Les modèles d’équilibre général spatial (SCGE) — </w:t>
      </w:r>
      <w:proofErr w:type="spellStart"/>
      <w:r>
        <w:t>CGEurope</w:t>
      </w:r>
      <w:proofErr w:type="spellEnd"/>
      <w:r>
        <w:t xml:space="preserve"> couplé au modèle logistique TT1, ou les applications de </w:t>
      </w:r>
      <w:hyperlink w:anchor="tsuchiya2007" w:history="1">
        <w:r w:rsidR="00C01F75">
          <w:t xml:space="preserve">Tsuchiya, </w:t>
        </w:r>
        <w:proofErr w:type="spellStart"/>
        <w:r w:rsidR="00C01F75">
          <w:t>Tatano</w:t>
        </w:r>
        <w:proofErr w:type="spellEnd"/>
        <w:r w:rsidR="00C01F75">
          <w:t xml:space="preserve"> et Okada (2007)</w:t>
        </w:r>
      </w:hyperlink>
      <w:r>
        <w:t xml:space="preserve"> au séisme de Tokai — représentent l’ajustement des prix et la substitution spatiale, et dominent l’évaluation des politiques d’infrastructure. Mais pour l’analyse de choc de court terme, ils héritent des limites des CGE relevées en section 2 : l’ajustement par les prix et la substitution amortissent </w:t>
      </w:r>
      <w:r>
        <w:lastRenderedPageBreak/>
        <w:t>mécaniquement l’impact, alors même que l’après-catastrophe est un régime de quantités contraintes et de rationnement (</w:t>
      </w:r>
      <w:hyperlink w:anchor="rose2007" w:history="1">
        <w:r w:rsidR="00C01F75">
          <w:t>Rose, 2007</w:t>
        </w:r>
      </w:hyperlink>
      <w:r>
        <w:t xml:space="preserve"> ; </w:t>
      </w:r>
      <w:hyperlink w:anchor="okuyama2014" w:history="1">
        <w:r w:rsidR="00C01F75">
          <w:t>Okuyama et Santos, 2014</w:t>
        </w:r>
      </w:hyperlink>
      <w:r>
        <w:t>). Dans le même esprit d’équilibre de long terme, les modèles LUTI (</w:t>
      </w:r>
      <w:r>
        <w:rPr>
          <w:i/>
          <w:iCs/>
        </w:rPr>
        <w:t>land use–transport interaction</w:t>
      </w:r>
      <w:r>
        <w:t xml:space="preserve">) </w:t>
      </w:r>
      <w:proofErr w:type="spellStart"/>
      <w:r>
        <w:t>endogénéisent</w:t>
      </w:r>
      <w:proofErr w:type="spellEnd"/>
      <w:r>
        <w:t xml:space="preserve"> la relocalisation des activités en réponse à l’accessibilité ; leur horizon — la recomposition spatiale sur des décennies — n’est pas celui d’une inondation.</w:t>
      </w:r>
    </w:p>
    <w:p w14:paraId="58E285B5" w14:textId="77777777" w:rsidR="00C01F75" w:rsidRDefault="00000000" w:rsidP="0077027A">
      <w:pPr>
        <w:spacing w:after="200" w:line="320" w:lineRule="auto"/>
        <w:jc w:val="both"/>
      </w:pPr>
      <w:r>
        <w:t xml:space="preserve">À l’autre extrémité, les couplages dynamiques hors équilibre articulent un réseau de transport et un modèle de propagation à inventaires. La coupure de tronçons y est traduite en hausse des coûts et des délais de livraison, qui contraint la production ou dégrade les stocks dans un cadre de type ARIO ; c’est la voie ouverte au niveau de la firme par </w:t>
      </w:r>
      <w:hyperlink w:anchor="colon2021" w:history="1">
        <w:r w:rsidR="00C01F75">
          <w:t xml:space="preserve">Colon, </w:t>
        </w:r>
        <w:proofErr w:type="spellStart"/>
        <w:r w:rsidR="00C01F75">
          <w:t>Hallegatte</w:t>
        </w:r>
        <w:proofErr w:type="spellEnd"/>
        <w:r w:rsidR="00C01F75">
          <w:t xml:space="preserve"> et Rozenberg (2021)</w:t>
        </w:r>
      </w:hyperlink>
      <w:r>
        <w:t xml:space="preserve"> et, au niveau sectoriel, par les extensions transport des modèles à inventaires (</w:t>
      </w:r>
      <w:proofErr w:type="spellStart"/>
      <w:r>
        <w:fldChar w:fldCharType="begin"/>
      </w:r>
      <w:r>
        <w:instrText>HYPERLINK \l "hallegatte2014"</w:instrText>
      </w:r>
      <w:r>
        <w:fldChar w:fldCharType="separate"/>
      </w:r>
      <w:r>
        <w:t>Hallegatte</w:t>
      </w:r>
      <w:proofErr w:type="spellEnd"/>
      <w:r>
        <w:t>, 2014</w:t>
      </w:r>
      <w:r>
        <w:fldChar w:fldCharType="end"/>
      </w:r>
      <w:r>
        <w:t xml:space="preserve"> ; </w:t>
      </w:r>
      <w:hyperlink w:anchor="koks2016" w:history="1">
        <w:r w:rsidR="00C01F75">
          <w:t>Koks et Thissen, 2016</w:t>
        </w:r>
      </w:hyperlink>
      <w:r>
        <w:t>). C’est elle qui restitue le mieux les enseignements empiriques de la section 1 — prédominance des pertes indirectes, rôle de la substituabilité et des inventaires, temporalité de la crise et du rétablissement.</w:t>
      </w:r>
    </w:p>
    <w:p w14:paraId="05305CE1" w14:textId="77777777" w:rsidR="00C01F75" w:rsidRDefault="00000000" w:rsidP="0077027A">
      <w:pPr>
        <w:pStyle w:val="Titre3"/>
        <w:jc w:val="both"/>
      </w:pPr>
      <w:bookmarkStart w:id="23" w:name="_Toc233908873"/>
      <w:r>
        <w:t>6.2 Le choix retenu et sa justification</w:t>
      </w:r>
      <w:bookmarkEnd w:id="23"/>
    </w:p>
    <w:p w14:paraId="2B67DB56" w14:textId="77777777" w:rsidR="00C01F75" w:rsidRDefault="00000000" w:rsidP="0077027A">
      <w:pPr>
        <w:spacing w:after="200" w:line="320" w:lineRule="auto"/>
        <w:jc w:val="both"/>
      </w:pPr>
      <w:r>
        <w:t>Ce mémoire s’inscrit dans cette dernière famille, avec une architecture de couplage séquentiel (</w:t>
      </w:r>
      <w:r>
        <w:rPr>
          <w:i/>
          <w:iCs/>
        </w:rPr>
        <w:t xml:space="preserve">soft </w:t>
      </w:r>
      <w:proofErr w:type="spellStart"/>
      <w:r>
        <w:rPr>
          <w:i/>
          <w:iCs/>
        </w:rPr>
        <w:t>coupling</w:t>
      </w:r>
      <w:proofErr w:type="spellEnd"/>
      <w:r>
        <w:t>) : le modèle de fret traduit un scénario de perturbation du réseau en variations de coûts, de temps et de capacités de transport par secteur et par liaison ; ces sorties ont vocation à être injectées comme chocs d’offre dans le modèle ESTEEM, dont la dynamique à inventaires, prix visqueux et anticipations adaptatives propage le choc au reste de l’économie. Trois considérations fondent ce choix contre les alternatives.</w:t>
      </w:r>
    </w:p>
    <w:p w14:paraId="4A56438A" w14:textId="77777777" w:rsidR="00C01F75" w:rsidRDefault="00000000" w:rsidP="0077027A">
      <w:pPr>
        <w:spacing w:after="200" w:line="320" w:lineRule="auto"/>
        <w:jc w:val="both"/>
      </w:pPr>
      <w:r>
        <w:t>La première est la cohérence temporelle. L’objet d’étude — les effets infra-annuels d’une inondation sur la production et l’inflation — relève du court terme hors équilibre, régime pour lequel les cadres IO dynamiques à inventaires sont mieux adaptés que les SCGE ; retenir un SCGE aurait importé dans les résultats l’optimisme structurel de la substitution par les prix, précisément ce que la littérature post-catastrophe invalide.</w:t>
      </w:r>
    </w:p>
    <w:p w14:paraId="6A69E20B" w14:textId="77777777" w:rsidR="00C01F75" w:rsidRDefault="00000000" w:rsidP="0077027A">
      <w:pPr>
        <w:spacing w:after="200" w:line="320" w:lineRule="auto"/>
        <w:jc w:val="both"/>
      </w:pPr>
      <w:r>
        <w:t>La deuxième est la cohérence comptable. Le modèle de fret étant construit sur les grandeurs sectorielles de la matrice de comptabilité sociale qui alimente également ESTEEM, les deux modèles partagent nomenclature et unités : le couplage n’exige ni réagrégation ni table de passage arbitraire — là où un modèle à base d’agents ou un RUBMRIO régionalisé aurait requis la construction de comptes régionaux inexistants pour le Rwanda.</w:t>
      </w:r>
    </w:p>
    <w:p w14:paraId="7B11A2D3" w14:textId="77777777" w:rsidR="00C01F75" w:rsidRDefault="00000000" w:rsidP="0077027A">
      <w:pPr>
        <w:spacing w:after="200" w:line="320" w:lineRule="auto"/>
        <w:jc w:val="both"/>
      </w:pPr>
      <w:r>
        <w:t xml:space="preserve">La troisième est la parcimonie face aux données. Chaque degré de sophistication supplémentaire (agents, </w:t>
      </w:r>
      <w:proofErr w:type="spellStart"/>
      <w:r>
        <w:t>hypernetwork</w:t>
      </w:r>
      <w:proofErr w:type="spellEnd"/>
      <w:r>
        <w:t xml:space="preserve">, affectation stochastique, SCGE régionalisé) introduit des paramètres que les données rwandaises ne permettent ni d’estimer ni de valider ; le risque, bien identifié par la littérature sur la modélisation dans les pays en développement, est de produire une précision illusoire dont l’incertitude effective est incontrôlable. Le parti retenu — </w:t>
      </w:r>
      <w:r>
        <w:lastRenderedPageBreak/>
        <w:t>un modèle agrégé, transparent dans ses hypothèses, dont la calibration sommaire est assumée et documentée — privilégie l’</w:t>
      </w:r>
      <w:proofErr w:type="spellStart"/>
      <w:r>
        <w:t>auditabilité</w:t>
      </w:r>
      <w:proofErr w:type="spellEnd"/>
      <w:r>
        <w:t xml:space="preserve"> de la chaîne causale complète (réseau → coûts → flux → économie) sur le raffinement de l’un de ses maillons. Cette hiérarchie est cohérente avec l’objectif du projet : établir la faisabilité et l’architecture du couplage fret–ESTEEM, avant d’en raffiner les briques à mesure que les données de calibration (enquêtes de flux, comptages, données douanières) deviendront mobilisables.</w:t>
      </w:r>
    </w:p>
    <w:p w14:paraId="6EA068E4" w14:textId="77777777" w:rsidR="00C01F75" w:rsidRDefault="00000000" w:rsidP="0077027A">
      <w:pPr>
        <w:spacing w:after="200" w:line="320" w:lineRule="auto"/>
        <w:jc w:val="both"/>
      </w:pPr>
      <w:r>
        <w:t>Il reste que le couplage séquentiel retenu est unidirectionnel : l’économie ne rétroagit pas, dans la version actuelle, sur la demande de fret en cours de crise — la baisse de production induite par le choc devrait en toute rigueur réduire les flux, donc la congestion, donc les coûts. Cette boucle de rétroaction, que seuls les couplages itératifs ou intégrés capturent, constitue avec le passage à l’</w:t>
      </w:r>
      <w:proofErr w:type="spellStart"/>
      <w:r>
        <w:t>hypernetwork</w:t>
      </w:r>
      <w:proofErr w:type="spellEnd"/>
      <w:r>
        <w:t xml:space="preserve"> le principal prolongement méthodologique du travail.</w:t>
      </w:r>
    </w:p>
    <w:p w14:paraId="1AE4F6C8" w14:textId="77777777" w:rsidR="00C01F75" w:rsidRDefault="00000000" w:rsidP="0077027A">
      <w:pPr>
        <w:pStyle w:val="Titre2"/>
        <w:jc w:val="both"/>
      </w:pPr>
      <w:bookmarkStart w:id="24" w:name="_Toc233908874"/>
      <w:r>
        <w:t>Synthèse et positionnement</w:t>
      </w:r>
      <w:bookmarkEnd w:id="24"/>
    </w:p>
    <w:p w14:paraId="5CDC052F" w14:textId="77777777" w:rsidR="00C01F75" w:rsidRDefault="00000000" w:rsidP="0077027A">
      <w:pPr>
        <w:spacing w:after="200" w:line="320" w:lineRule="auto"/>
        <w:jc w:val="both"/>
      </w:pPr>
      <w:r>
        <w:t xml:space="preserve">Au croisement de ces littératures, un déficit apparaît. La propagation des chocs par les réseaux de production est théoriquement fondée et empiriquement établie (section 1) ; les cadres dynamiques à inventaires savent la représenter au niveau macroéconomique (section 3) ; et le transport en a été identifié comme le vecteur critique (section 4). Mais le couplage d’un modèle de fret désagrégé et spatialisé avec un modèle d’impact dynamique demeure rare — et plus rare encore dans le contexte d’un pays à faible revenu et à données lacunaires, le travail de </w:t>
      </w:r>
      <w:hyperlink w:anchor="colon2021" w:history="1">
        <w:r w:rsidR="00C01F75">
          <w:t xml:space="preserve">Colon, </w:t>
        </w:r>
        <w:proofErr w:type="spellStart"/>
        <w:r w:rsidR="00C01F75">
          <w:t>Hallegatte</w:t>
        </w:r>
        <w:proofErr w:type="spellEnd"/>
        <w:r w:rsidR="00C01F75">
          <w:t xml:space="preserve"> et Rozenberg (2021)</w:t>
        </w:r>
      </w:hyperlink>
      <w:r>
        <w:t xml:space="preserve"> constituant l’exception la plus aboutie, au prix d’une architecture à base d’agents difficilement transposable. C’est dans cet espace que se situe la contribution de ce mémoire : construire, pour le Rwanda, la brique « fret » susceptible de servir de couche spatiale et logistique à un modèle d’impact de type ESTEEM — un modèle de demande sectorielle, de distribution gravitaire, d’affectation au réseau routier et de comptabilité des coûts logistiques, capable de traduire une perturbation physique du réseau en chocs de coût et de disponibilité propagés au reste de l’économie. Faute de temps et de données, la calibration reste sommaire et le couplage effectif demeure l’horizon du projet ; mais l’édifice méthodologique posé ici entend en constituer la fondation.</w:t>
      </w:r>
    </w:p>
    <w:p w14:paraId="17BDA630" w14:textId="77777777" w:rsidR="004E7D56" w:rsidRDefault="004E7D56" w:rsidP="0077027A">
      <w:pPr>
        <w:spacing w:after="200" w:line="320" w:lineRule="auto"/>
        <w:jc w:val="both"/>
      </w:pPr>
    </w:p>
    <w:p w14:paraId="08CF3AFA" w14:textId="77777777" w:rsidR="0077027A" w:rsidRDefault="0077027A">
      <w:pPr>
        <w:rPr>
          <w:b/>
          <w:bCs/>
          <w:color w:val="000000"/>
          <w:sz w:val="32"/>
          <w:szCs w:val="32"/>
        </w:rPr>
      </w:pPr>
      <w:bookmarkStart w:id="25" w:name="_Toc233795450"/>
      <w:r>
        <w:br w:type="page"/>
      </w:r>
    </w:p>
    <w:p w14:paraId="2DB6A6AE" w14:textId="027620A6" w:rsidR="004E7D56" w:rsidRDefault="004E7D56" w:rsidP="0077027A">
      <w:pPr>
        <w:pStyle w:val="Titre1"/>
        <w:jc w:val="both"/>
      </w:pPr>
      <w:bookmarkStart w:id="26" w:name="_Toc233908875"/>
      <w:r>
        <w:lastRenderedPageBreak/>
        <w:t>Présentation du modèle</w:t>
      </w:r>
      <w:bookmarkEnd w:id="25"/>
      <w:bookmarkEnd w:id="26"/>
    </w:p>
    <w:p w14:paraId="53253475" w14:textId="77777777" w:rsidR="004E7D56" w:rsidRPr="004B73DC" w:rsidRDefault="004E7D56" w:rsidP="0077027A">
      <w:pPr>
        <w:jc w:val="both"/>
      </w:pPr>
      <w:r>
        <w:t xml:space="preserve">(le </w:t>
      </w:r>
      <w:proofErr w:type="spellStart"/>
      <w:r>
        <w:t>ppt</w:t>
      </w:r>
      <w:proofErr w:type="spellEnd"/>
      <w:r>
        <w:t>)</w:t>
      </w:r>
    </w:p>
    <w:p w14:paraId="555A3EC6" w14:textId="77777777" w:rsidR="004E7D56" w:rsidRDefault="004E7D56" w:rsidP="0077027A">
      <w:pPr>
        <w:jc w:val="both"/>
      </w:pPr>
    </w:p>
    <w:p w14:paraId="1E5EA968" w14:textId="77777777" w:rsidR="0077027A" w:rsidRDefault="0077027A">
      <w:pPr>
        <w:rPr>
          <w:b/>
          <w:bCs/>
          <w:color w:val="000000"/>
          <w:sz w:val="32"/>
          <w:szCs w:val="32"/>
        </w:rPr>
      </w:pPr>
      <w:bookmarkStart w:id="27" w:name="_Toc233795451"/>
      <w:r>
        <w:br w:type="page"/>
      </w:r>
    </w:p>
    <w:p w14:paraId="02271CB5" w14:textId="111644EB" w:rsidR="004E7D56" w:rsidRDefault="004E7D56" w:rsidP="0077027A">
      <w:pPr>
        <w:pStyle w:val="Titre1"/>
        <w:jc w:val="both"/>
      </w:pPr>
      <w:bookmarkStart w:id="28" w:name="_Toc233908876"/>
      <w:r>
        <w:lastRenderedPageBreak/>
        <w:t>Tests de sensibilité et illustration du type de résultats</w:t>
      </w:r>
      <w:bookmarkEnd w:id="27"/>
      <w:bookmarkEnd w:id="28"/>
    </w:p>
    <w:p w14:paraId="3184F903" w14:textId="77777777" w:rsidR="004E7D56" w:rsidRDefault="004E7D56" w:rsidP="0077027A">
      <w:pPr>
        <w:jc w:val="both"/>
      </w:pPr>
    </w:p>
    <w:p w14:paraId="13F70B4E" w14:textId="77777777" w:rsidR="0077027A" w:rsidRDefault="0077027A">
      <w:pPr>
        <w:rPr>
          <w:b/>
          <w:bCs/>
          <w:color w:val="000000"/>
          <w:sz w:val="32"/>
          <w:szCs w:val="32"/>
        </w:rPr>
      </w:pPr>
      <w:r>
        <w:br w:type="page"/>
      </w:r>
    </w:p>
    <w:p w14:paraId="5551B6D7" w14:textId="3CBC0420" w:rsidR="004E7D56" w:rsidRPr="00975212" w:rsidRDefault="004E7D56" w:rsidP="0077027A">
      <w:pPr>
        <w:pStyle w:val="Titre1"/>
      </w:pPr>
      <w:bookmarkStart w:id="29" w:name="_Toc233908877"/>
      <w:r>
        <w:lastRenderedPageBreak/>
        <w:t>Limites et extensions futures</w:t>
      </w:r>
      <w:bookmarkEnd w:id="29"/>
    </w:p>
    <w:p w14:paraId="3AE04347" w14:textId="77777777" w:rsidR="004E7D56" w:rsidRDefault="004E7D56" w:rsidP="0077027A">
      <w:pPr>
        <w:jc w:val="both"/>
      </w:pPr>
    </w:p>
    <w:p w14:paraId="597138F9" w14:textId="77777777" w:rsidR="0077027A" w:rsidRDefault="0077027A">
      <w:pPr>
        <w:rPr>
          <w:b/>
          <w:bCs/>
          <w:color w:val="000000"/>
          <w:sz w:val="32"/>
          <w:szCs w:val="32"/>
        </w:rPr>
      </w:pPr>
      <w:bookmarkStart w:id="30" w:name="_Toc233795452"/>
      <w:r>
        <w:br w:type="page"/>
      </w:r>
    </w:p>
    <w:p w14:paraId="4881C738" w14:textId="07797459" w:rsidR="004E7D56" w:rsidRDefault="004E7D56" w:rsidP="0077027A">
      <w:pPr>
        <w:pStyle w:val="Titre1"/>
      </w:pPr>
      <w:bookmarkStart w:id="31" w:name="_Toc233908878"/>
      <w:r>
        <w:lastRenderedPageBreak/>
        <w:t>Conclusion</w:t>
      </w:r>
      <w:bookmarkEnd w:id="30"/>
      <w:bookmarkEnd w:id="31"/>
    </w:p>
    <w:p w14:paraId="35C493AC" w14:textId="77777777" w:rsidR="004E7D56" w:rsidRDefault="004E7D56" w:rsidP="0077027A">
      <w:pPr>
        <w:jc w:val="both"/>
      </w:pPr>
      <w:r>
        <w:t>Rappel du sujet/ objectif du projet</w:t>
      </w:r>
    </w:p>
    <w:p w14:paraId="51620FA4" w14:textId="77777777" w:rsidR="004E7D56" w:rsidRDefault="004E7D56" w:rsidP="0077027A">
      <w:pPr>
        <w:jc w:val="both"/>
      </w:pPr>
      <w:r>
        <w:t>Résumé du projet et des résultats</w:t>
      </w:r>
    </w:p>
    <w:p w14:paraId="39FEDE78" w14:textId="77777777" w:rsidR="004E7D56" w:rsidRPr="004B73DC" w:rsidRDefault="004E7D56" w:rsidP="0077027A">
      <w:pPr>
        <w:jc w:val="both"/>
      </w:pPr>
      <w:r>
        <w:t xml:space="preserve">Recommandations et travail qui </w:t>
      </w:r>
      <w:proofErr w:type="gramStart"/>
      <w:r>
        <w:t>reste</w:t>
      </w:r>
      <w:proofErr w:type="gramEnd"/>
      <w:r>
        <w:t xml:space="preserve"> à faire</w:t>
      </w:r>
    </w:p>
    <w:p w14:paraId="7711328F" w14:textId="77777777" w:rsidR="004E7D56" w:rsidRDefault="004E7D56" w:rsidP="0077027A">
      <w:pPr>
        <w:spacing w:after="200" w:line="320" w:lineRule="auto"/>
        <w:jc w:val="both"/>
      </w:pPr>
    </w:p>
    <w:p w14:paraId="4C32322F" w14:textId="77777777" w:rsidR="0077027A" w:rsidRDefault="0077027A">
      <w:pPr>
        <w:rPr>
          <w:b/>
          <w:bCs/>
          <w:color w:val="000000"/>
          <w:sz w:val="32"/>
          <w:szCs w:val="32"/>
        </w:rPr>
      </w:pPr>
      <w:r>
        <w:br w:type="page"/>
      </w:r>
    </w:p>
    <w:p w14:paraId="7FBFD48E" w14:textId="249D938C" w:rsidR="00C01F75" w:rsidRDefault="00000000" w:rsidP="0077027A">
      <w:pPr>
        <w:pStyle w:val="Titre1"/>
      </w:pPr>
      <w:bookmarkStart w:id="32" w:name="_Toc233908879"/>
      <w:r>
        <w:lastRenderedPageBreak/>
        <w:t>Bibliographie</w:t>
      </w:r>
      <w:bookmarkEnd w:id="32"/>
    </w:p>
    <w:p w14:paraId="7D4A4EC8" w14:textId="77777777" w:rsidR="00C01F75" w:rsidRDefault="00000000" w:rsidP="0077027A">
      <w:pPr>
        <w:spacing w:after="160" w:line="300" w:lineRule="auto"/>
        <w:ind w:left="567" w:hanging="567"/>
        <w:jc w:val="both"/>
      </w:pPr>
      <w:bookmarkStart w:id="33" w:name="acemoglu2012"/>
      <w:proofErr w:type="spellStart"/>
      <w:r>
        <w:t>Acemoglu</w:t>
      </w:r>
      <w:proofErr w:type="spellEnd"/>
      <w:r>
        <w:t xml:space="preserve">, D., Carvalho, V. M., </w:t>
      </w:r>
      <w:proofErr w:type="spellStart"/>
      <w:r>
        <w:t>Ozdaglar</w:t>
      </w:r>
      <w:proofErr w:type="spellEnd"/>
      <w:r>
        <w:t xml:space="preserve">, A., &amp; Tahbaz-Salehi, A. (2012). The network </w:t>
      </w:r>
      <w:proofErr w:type="spellStart"/>
      <w:r>
        <w:t>origins</w:t>
      </w:r>
      <w:proofErr w:type="spellEnd"/>
      <w:r>
        <w:t xml:space="preserve"> of </w:t>
      </w:r>
      <w:proofErr w:type="spellStart"/>
      <w:r>
        <w:t>aggregate</w:t>
      </w:r>
      <w:proofErr w:type="spellEnd"/>
      <w:r>
        <w:t xml:space="preserve"> fluctuations. </w:t>
      </w:r>
      <w:proofErr w:type="spellStart"/>
      <w:r>
        <w:rPr>
          <w:i/>
          <w:iCs/>
        </w:rPr>
        <w:t>Econometrica</w:t>
      </w:r>
      <w:proofErr w:type="spellEnd"/>
      <w:r>
        <w:t>, 80(5), 1977–2016.</w:t>
      </w:r>
      <w:bookmarkEnd w:id="33"/>
      <w:r>
        <w:t xml:space="preserve"> </w:t>
      </w:r>
      <w:hyperlink r:id="rId8" w:history="1">
        <w:r w:rsidR="00C01F75">
          <w:rPr>
            <w:rStyle w:val="Lienhypertexte"/>
          </w:rPr>
          <w:t>https://doi.org/10.3982/ECTA9623</w:t>
        </w:r>
      </w:hyperlink>
    </w:p>
    <w:p w14:paraId="26BD50F5" w14:textId="77777777" w:rsidR="00C01F75" w:rsidRDefault="00000000" w:rsidP="0077027A">
      <w:pPr>
        <w:spacing w:after="160" w:line="300" w:lineRule="auto"/>
        <w:ind w:left="567" w:hanging="567"/>
        <w:jc w:val="both"/>
      </w:pPr>
      <w:bookmarkStart w:id="34" w:name="anderson2003"/>
      <w:r>
        <w:t xml:space="preserve">Anderson, J. E., &amp; van </w:t>
      </w:r>
      <w:proofErr w:type="spellStart"/>
      <w:r>
        <w:t>Wincoop</w:t>
      </w:r>
      <w:proofErr w:type="spellEnd"/>
      <w:r>
        <w:t xml:space="preserve">, E. (2003). Gravity </w:t>
      </w:r>
      <w:proofErr w:type="spellStart"/>
      <w:r>
        <w:t>with</w:t>
      </w:r>
      <w:proofErr w:type="spellEnd"/>
      <w:r>
        <w:t xml:space="preserve"> </w:t>
      </w:r>
      <w:proofErr w:type="gramStart"/>
      <w:r>
        <w:t>gravitas:</w:t>
      </w:r>
      <w:proofErr w:type="gramEnd"/>
      <w:r>
        <w:t xml:space="preserve"> A solution to the border puzzle. </w:t>
      </w:r>
      <w:r>
        <w:rPr>
          <w:i/>
          <w:iCs/>
        </w:rPr>
        <w:t xml:space="preserve">American </w:t>
      </w:r>
      <w:proofErr w:type="spellStart"/>
      <w:r>
        <w:rPr>
          <w:i/>
          <w:iCs/>
        </w:rPr>
        <w:t>Economic</w:t>
      </w:r>
      <w:proofErr w:type="spellEnd"/>
      <w:r>
        <w:rPr>
          <w:i/>
          <w:iCs/>
        </w:rPr>
        <w:t xml:space="preserve"> </w:t>
      </w:r>
      <w:proofErr w:type="spellStart"/>
      <w:r>
        <w:rPr>
          <w:i/>
          <w:iCs/>
        </w:rPr>
        <w:t>Review</w:t>
      </w:r>
      <w:proofErr w:type="spellEnd"/>
      <w:r>
        <w:t>, 93(1), 170–192.</w:t>
      </w:r>
      <w:bookmarkEnd w:id="34"/>
      <w:r>
        <w:t xml:space="preserve"> </w:t>
      </w:r>
      <w:hyperlink r:id="rId9" w:history="1">
        <w:r w:rsidR="00C01F75">
          <w:rPr>
            <w:rStyle w:val="Lienhypertexte"/>
          </w:rPr>
          <w:t>https://doi.org/10.1257/000282803321455214</w:t>
        </w:r>
      </w:hyperlink>
    </w:p>
    <w:p w14:paraId="47D79C0C" w14:textId="77777777" w:rsidR="00C01F75" w:rsidRDefault="00000000" w:rsidP="0077027A">
      <w:pPr>
        <w:spacing w:after="160" w:line="300" w:lineRule="auto"/>
        <w:ind w:left="567" w:hanging="567"/>
        <w:jc w:val="both"/>
      </w:pPr>
      <w:bookmarkStart w:id="35" w:name="barrot2016"/>
      <w:r>
        <w:t xml:space="preserve">Barrot, J.-N., &amp; Sauvagnat, J. (2016). Input </w:t>
      </w:r>
      <w:proofErr w:type="spellStart"/>
      <w:r>
        <w:t>specificity</w:t>
      </w:r>
      <w:proofErr w:type="spellEnd"/>
      <w:r>
        <w:t xml:space="preserve"> and the propagation of </w:t>
      </w:r>
      <w:proofErr w:type="spellStart"/>
      <w:r>
        <w:t>idiosyncratic</w:t>
      </w:r>
      <w:proofErr w:type="spellEnd"/>
      <w:r>
        <w:t xml:space="preserve"> </w:t>
      </w:r>
      <w:proofErr w:type="spellStart"/>
      <w:r>
        <w:t>shocks</w:t>
      </w:r>
      <w:proofErr w:type="spellEnd"/>
      <w:r>
        <w:t xml:space="preserve"> in production networks. </w:t>
      </w:r>
      <w:proofErr w:type="spellStart"/>
      <w:r>
        <w:rPr>
          <w:i/>
          <w:iCs/>
        </w:rPr>
        <w:t>Quarterly</w:t>
      </w:r>
      <w:proofErr w:type="spellEnd"/>
      <w:r>
        <w:rPr>
          <w:i/>
          <w:iCs/>
        </w:rPr>
        <w:t xml:space="preserve"> Journal of </w:t>
      </w:r>
      <w:proofErr w:type="spellStart"/>
      <w:r>
        <w:rPr>
          <w:i/>
          <w:iCs/>
        </w:rPr>
        <w:t>Economics</w:t>
      </w:r>
      <w:proofErr w:type="spellEnd"/>
      <w:r>
        <w:t>, 131(3), 1543–1592.</w:t>
      </w:r>
      <w:bookmarkEnd w:id="35"/>
      <w:r>
        <w:t xml:space="preserve"> </w:t>
      </w:r>
      <w:hyperlink r:id="rId10" w:history="1">
        <w:r w:rsidR="00C01F75">
          <w:rPr>
            <w:rStyle w:val="Lienhypertexte"/>
          </w:rPr>
          <w:t>https://doi.org/10.1093/qje/qjw018</w:t>
        </w:r>
      </w:hyperlink>
    </w:p>
    <w:p w14:paraId="358A586B" w14:textId="77777777" w:rsidR="00C01F75" w:rsidRDefault="00000000" w:rsidP="0077027A">
      <w:pPr>
        <w:spacing w:after="160" w:line="300" w:lineRule="auto"/>
        <w:ind w:left="567" w:hanging="567"/>
        <w:jc w:val="both"/>
      </w:pPr>
      <w:bookmarkStart w:id="36" w:name="baumol1970"/>
      <w:r>
        <w:t xml:space="preserve">Baumol, W. J., &amp; Vinod, H. D. (1970). An </w:t>
      </w:r>
      <w:proofErr w:type="spellStart"/>
      <w:r>
        <w:t>inventory</w:t>
      </w:r>
      <w:proofErr w:type="spellEnd"/>
      <w:r>
        <w:t xml:space="preserve"> </w:t>
      </w:r>
      <w:proofErr w:type="spellStart"/>
      <w:r>
        <w:t>theoretic</w:t>
      </w:r>
      <w:proofErr w:type="spellEnd"/>
      <w:r>
        <w:t xml:space="preserve"> model of </w:t>
      </w:r>
      <w:proofErr w:type="spellStart"/>
      <w:r>
        <w:t>freight</w:t>
      </w:r>
      <w:proofErr w:type="spellEnd"/>
      <w:r>
        <w:t xml:space="preserve"> transport </w:t>
      </w:r>
      <w:proofErr w:type="spellStart"/>
      <w:r>
        <w:t>demand</w:t>
      </w:r>
      <w:proofErr w:type="spellEnd"/>
      <w:r>
        <w:t xml:space="preserve">. </w:t>
      </w:r>
      <w:r>
        <w:rPr>
          <w:i/>
          <w:iCs/>
        </w:rPr>
        <w:t>Management Science</w:t>
      </w:r>
      <w:r>
        <w:t>, 16(7), 413–421.</w:t>
      </w:r>
      <w:bookmarkEnd w:id="36"/>
      <w:r>
        <w:t xml:space="preserve"> </w:t>
      </w:r>
      <w:hyperlink r:id="rId11" w:history="1">
        <w:r w:rsidR="00C01F75">
          <w:rPr>
            <w:rStyle w:val="Lienhypertexte"/>
          </w:rPr>
          <w:t>https://doi.org/10.1287/mnsc.16.7.413</w:t>
        </w:r>
      </w:hyperlink>
    </w:p>
    <w:p w14:paraId="176ED578" w14:textId="77777777" w:rsidR="00C01F75" w:rsidRDefault="00000000" w:rsidP="0077027A">
      <w:pPr>
        <w:spacing w:after="160" w:line="300" w:lineRule="auto"/>
        <w:ind w:left="567" w:hanging="567"/>
        <w:jc w:val="both"/>
      </w:pPr>
      <w:bookmarkStart w:id="37" w:name="benakiva2013"/>
      <w:r>
        <w:t xml:space="preserve">Ben-Akiva, M., &amp; de Jong, G. (2013). The </w:t>
      </w:r>
      <w:proofErr w:type="spellStart"/>
      <w:r>
        <w:t>aggregate</w:t>
      </w:r>
      <w:proofErr w:type="spellEnd"/>
      <w:r>
        <w:t>–</w:t>
      </w:r>
      <w:proofErr w:type="spellStart"/>
      <w:r>
        <w:t>disaggregate</w:t>
      </w:r>
      <w:proofErr w:type="spellEnd"/>
      <w:r>
        <w:t>–</w:t>
      </w:r>
      <w:proofErr w:type="spellStart"/>
      <w:r>
        <w:t>aggregate</w:t>
      </w:r>
      <w:proofErr w:type="spellEnd"/>
      <w:r>
        <w:t xml:space="preserve"> (ADA) </w:t>
      </w:r>
      <w:proofErr w:type="spellStart"/>
      <w:r>
        <w:t>freight</w:t>
      </w:r>
      <w:proofErr w:type="spellEnd"/>
      <w:r>
        <w:t xml:space="preserve"> model system. In M. Ben-Akiva, H. Meersman &amp; E. Van de </w:t>
      </w:r>
      <w:proofErr w:type="spellStart"/>
      <w:r>
        <w:t>Voorde</w:t>
      </w:r>
      <w:proofErr w:type="spellEnd"/>
      <w:r>
        <w:t xml:space="preserve"> (</w:t>
      </w:r>
      <w:proofErr w:type="spellStart"/>
      <w:r>
        <w:t>dir</w:t>
      </w:r>
      <w:proofErr w:type="spellEnd"/>
      <w:r>
        <w:t xml:space="preserve">.), </w:t>
      </w:r>
      <w:proofErr w:type="spellStart"/>
      <w:r>
        <w:rPr>
          <w:i/>
          <w:iCs/>
        </w:rPr>
        <w:t>Freight</w:t>
      </w:r>
      <w:proofErr w:type="spellEnd"/>
      <w:r>
        <w:rPr>
          <w:i/>
          <w:iCs/>
        </w:rPr>
        <w:t xml:space="preserve"> Transport </w:t>
      </w:r>
      <w:proofErr w:type="spellStart"/>
      <w:r>
        <w:rPr>
          <w:i/>
          <w:iCs/>
        </w:rPr>
        <w:t>Modelling</w:t>
      </w:r>
      <w:proofErr w:type="spellEnd"/>
      <w:r>
        <w:t>. Emerald.</w:t>
      </w:r>
      <w:bookmarkEnd w:id="37"/>
    </w:p>
    <w:p w14:paraId="120012D8" w14:textId="77777777" w:rsidR="00C01F75" w:rsidRDefault="00000000" w:rsidP="0077027A">
      <w:pPr>
        <w:spacing w:after="160" w:line="300" w:lineRule="auto"/>
        <w:ind w:left="567" w:hanging="567"/>
        <w:jc w:val="both"/>
      </w:pPr>
      <w:bookmarkStart w:id="38" w:name="botzen2019"/>
      <w:proofErr w:type="spellStart"/>
      <w:r>
        <w:t>Botzen</w:t>
      </w:r>
      <w:proofErr w:type="spellEnd"/>
      <w:r>
        <w:t xml:space="preserve">, W. J. W., Deschenes, O., &amp; Sanders, M. (2019). The </w:t>
      </w:r>
      <w:proofErr w:type="spellStart"/>
      <w:r>
        <w:t>economic</w:t>
      </w:r>
      <w:proofErr w:type="spellEnd"/>
      <w:r>
        <w:t xml:space="preserve"> impacts of </w:t>
      </w:r>
      <w:proofErr w:type="spellStart"/>
      <w:r>
        <w:t>natural</w:t>
      </w:r>
      <w:proofErr w:type="spellEnd"/>
      <w:r>
        <w:t xml:space="preserve"> </w:t>
      </w:r>
      <w:proofErr w:type="spellStart"/>
      <w:proofErr w:type="gramStart"/>
      <w:r>
        <w:t>disasters</w:t>
      </w:r>
      <w:proofErr w:type="spellEnd"/>
      <w:r>
        <w:t>:</w:t>
      </w:r>
      <w:proofErr w:type="gramEnd"/>
      <w:r>
        <w:t xml:space="preserve"> A </w:t>
      </w:r>
      <w:proofErr w:type="spellStart"/>
      <w:r>
        <w:t>review</w:t>
      </w:r>
      <w:proofErr w:type="spellEnd"/>
      <w:r>
        <w:t xml:space="preserve"> of </w:t>
      </w:r>
      <w:proofErr w:type="spellStart"/>
      <w:r>
        <w:t>models</w:t>
      </w:r>
      <w:proofErr w:type="spellEnd"/>
      <w:r>
        <w:t xml:space="preserve"> and </w:t>
      </w:r>
      <w:proofErr w:type="spellStart"/>
      <w:r>
        <w:t>empirical</w:t>
      </w:r>
      <w:proofErr w:type="spellEnd"/>
      <w:r>
        <w:t xml:space="preserve"> studies. </w:t>
      </w:r>
      <w:proofErr w:type="spellStart"/>
      <w:r>
        <w:rPr>
          <w:i/>
          <w:iCs/>
        </w:rPr>
        <w:t>Review</w:t>
      </w:r>
      <w:proofErr w:type="spellEnd"/>
      <w:r>
        <w:rPr>
          <w:i/>
          <w:iCs/>
        </w:rPr>
        <w:t xml:space="preserve"> of </w:t>
      </w:r>
      <w:proofErr w:type="spellStart"/>
      <w:r>
        <w:rPr>
          <w:i/>
          <w:iCs/>
        </w:rPr>
        <w:t>Environmental</w:t>
      </w:r>
      <w:proofErr w:type="spellEnd"/>
      <w:r>
        <w:rPr>
          <w:i/>
          <w:iCs/>
        </w:rPr>
        <w:t xml:space="preserve"> </w:t>
      </w:r>
      <w:proofErr w:type="spellStart"/>
      <w:r>
        <w:rPr>
          <w:i/>
          <w:iCs/>
        </w:rPr>
        <w:t>Economics</w:t>
      </w:r>
      <w:proofErr w:type="spellEnd"/>
      <w:r>
        <w:rPr>
          <w:i/>
          <w:iCs/>
        </w:rPr>
        <w:t xml:space="preserve"> and Policy</w:t>
      </w:r>
      <w:r>
        <w:t>, 13(2), 167–188.</w:t>
      </w:r>
      <w:bookmarkEnd w:id="38"/>
      <w:r>
        <w:t xml:space="preserve"> </w:t>
      </w:r>
      <w:hyperlink r:id="rId12" w:history="1">
        <w:r w:rsidR="00C01F75">
          <w:rPr>
            <w:rStyle w:val="Lienhypertexte"/>
          </w:rPr>
          <w:t>https://doi.org/10.1093/reep/rez004</w:t>
        </w:r>
      </w:hyperlink>
    </w:p>
    <w:p w14:paraId="27DFAF6D" w14:textId="77777777" w:rsidR="00C01F75" w:rsidRDefault="00000000" w:rsidP="0077027A">
      <w:pPr>
        <w:spacing w:after="160" w:line="300" w:lineRule="auto"/>
        <w:ind w:left="567" w:hanging="567"/>
        <w:jc w:val="both"/>
      </w:pPr>
      <w:bookmarkStart w:id="39" w:name="carvalho2021"/>
      <w:r>
        <w:t xml:space="preserve">Carvalho, V. M., </w:t>
      </w:r>
      <w:proofErr w:type="spellStart"/>
      <w:r>
        <w:t>Nirei</w:t>
      </w:r>
      <w:proofErr w:type="spellEnd"/>
      <w:r>
        <w:t xml:space="preserve">, M., Saito, Y. U., &amp; Tahbaz-Salehi, A. (2021). </w:t>
      </w:r>
      <w:proofErr w:type="spellStart"/>
      <w:r>
        <w:t>Supply</w:t>
      </w:r>
      <w:proofErr w:type="spellEnd"/>
      <w:r>
        <w:t xml:space="preserve"> </w:t>
      </w:r>
      <w:proofErr w:type="spellStart"/>
      <w:r>
        <w:t>chain</w:t>
      </w:r>
      <w:proofErr w:type="spellEnd"/>
      <w:r>
        <w:t xml:space="preserve"> </w:t>
      </w:r>
      <w:proofErr w:type="gramStart"/>
      <w:r>
        <w:t>disruptions:</w:t>
      </w:r>
      <w:proofErr w:type="gramEnd"/>
      <w:r>
        <w:t xml:space="preserve"> </w:t>
      </w:r>
      <w:proofErr w:type="spellStart"/>
      <w:r>
        <w:t>Evidence</w:t>
      </w:r>
      <w:proofErr w:type="spellEnd"/>
      <w:r>
        <w:t xml:space="preserve"> </w:t>
      </w:r>
      <w:proofErr w:type="spellStart"/>
      <w:r>
        <w:t>from</w:t>
      </w:r>
      <w:proofErr w:type="spellEnd"/>
      <w:r>
        <w:t xml:space="preserve"> the Great East Japan </w:t>
      </w:r>
      <w:proofErr w:type="spellStart"/>
      <w:r>
        <w:t>earthquake</w:t>
      </w:r>
      <w:proofErr w:type="spellEnd"/>
      <w:r>
        <w:t xml:space="preserve">. </w:t>
      </w:r>
      <w:proofErr w:type="spellStart"/>
      <w:r>
        <w:rPr>
          <w:i/>
          <w:iCs/>
        </w:rPr>
        <w:t>Quarterly</w:t>
      </w:r>
      <w:proofErr w:type="spellEnd"/>
      <w:r>
        <w:rPr>
          <w:i/>
          <w:iCs/>
        </w:rPr>
        <w:t xml:space="preserve"> Journal of </w:t>
      </w:r>
      <w:proofErr w:type="spellStart"/>
      <w:r>
        <w:rPr>
          <w:i/>
          <w:iCs/>
        </w:rPr>
        <w:t>Economics</w:t>
      </w:r>
      <w:proofErr w:type="spellEnd"/>
      <w:r>
        <w:t>, 136(2), 1255–1321.</w:t>
      </w:r>
      <w:bookmarkEnd w:id="39"/>
      <w:r>
        <w:t xml:space="preserve"> </w:t>
      </w:r>
      <w:hyperlink r:id="rId13" w:history="1">
        <w:r w:rsidR="00C01F75">
          <w:rPr>
            <w:rStyle w:val="Lienhypertexte"/>
          </w:rPr>
          <w:t>https://doi.org/10</w:t>
        </w:r>
        <w:r w:rsidR="00C01F75">
          <w:rPr>
            <w:rStyle w:val="Lienhypertexte"/>
          </w:rPr>
          <w:t>.</w:t>
        </w:r>
        <w:r w:rsidR="00C01F75">
          <w:rPr>
            <w:rStyle w:val="Lienhypertexte"/>
          </w:rPr>
          <w:t>1093/qje/qjaa044</w:t>
        </w:r>
      </w:hyperlink>
    </w:p>
    <w:p w14:paraId="4B59C2F6" w14:textId="77777777" w:rsidR="00C01F75" w:rsidRDefault="00000000" w:rsidP="0077027A">
      <w:pPr>
        <w:spacing w:after="160" w:line="300" w:lineRule="auto"/>
        <w:ind w:left="567" w:hanging="567"/>
        <w:jc w:val="both"/>
      </w:pPr>
      <w:bookmarkStart w:id="40" w:name="colon2021"/>
      <w:r>
        <w:t xml:space="preserve">Colon, C., </w:t>
      </w:r>
      <w:proofErr w:type="spellStart"/>
      <w:r>
        <w:t>Hallegatte</w:t>
      </w:r>
      <w:proofErr w:type="spellEnd"/>
      <w:r>
        <w:t xml:space="preserve">, S., &amp; Rozenberg, J. (2021). </w:t>
      </w:r>
      <w:proofErr w:type="spellStart"/>
      <w:r>
        <w:t>Criticality</w:t>
      </w:r>
      <w:proofErr w:type="spellEnd"/>
      <w:r>
        <w:t xml:space="preserve"> </w:t>
      </w:r>
      <w:proofErr w:type="spellStart"/>
      <w:r>
        <w:t>analysis</w:t>
      </w:r>
      <w:proofErr w:type="spellEnd"/>
      <w:r>
        <w:t xml:space="preserve"> of a </w:t>
      </w:r>
      <w:proofErr w:type="spellStart"/>
      <w:r>
        <w:t>country’s</w:t>
      </w:r>
      <w:proofErr w:type="spellEnd"/>
      <w:r>
        <w:t xml:space="preserve"> transport network via an agent-</w:t>
      </w:r>
      <w:proofErr w:type="spellStart"/>
      <w:r>
        <w:t>based</w:t>
      </w:r>
      <w:proofErr w:type="spellEnd"/>
      <w:r>
        <w:t xml:space="preserve"> </w:t>
      </w:r>
      <w:proofErr w:type="spellStart"/>
      <w:r>
        <w:t>supply</w:t>
      </w:r>
      <w:proofErr w:type="spellEnd"/>
      <w:r>
        <w:t xml:space="preserve"> </w:t>
      </w:r>
      <w:proofErr w:type="spellStart"/>
      <w:r>
        <w:t>chain</w:t>
      </w:r>
      <w:proofErr w:type="spellEnd"/>
      <w:r>
        <w:t xml:space="preserve"> model. </w:t>
      </w:r>
      <w:r>
        <w:rPr>
          <w:i/>
          <w:iCs/>
        </w:rPr>
        <w:t xml:space="preserve">Nature </w:t>
      </w:r>
      <w:proofErr w:type="spellStart"/>
      <w:r>
        <w:rPr>
          <w:i/>
          <w:iCs/>
        </w:rPr>
        <w:t>Sustainability</w:t>
      </w:r>
      <w:proofErr w:type="spellEnd"/>
      <w:r>
        <w:t>, 4, 209–215.</w:t>
      </w:r>
      <w:bookmarkEnd w:id="40"/>
      <w:r>
        <w:t xml:space="preserve"> </w:t>
      </w:r>
      <w:hyperlink r:id="rId14" w:history="1">
        <w:r w:rsidR="00C01F75">
          <w:rPr>
            <w:rStyle w:val="Lienhypertexte"/>
          </w:rPr>
          <w:t>https://doi.org/10.1038/s41893-020-00649-4</w:t>
        </w:r>
      </w:hyperlink>
    </w:p>
    <w:p w14:paraId="4D993374" w14:textId="77777777" w:rsidR="00C01F75" w:rsidRDefault="00000000" w:rsidP="0077027A">
      <w:pPr>
        <w:spacing w:after="160" w:line="300" w:lineRule="auto"/>
        <w:ind w:left="567" w:hanging="567"/>
        <w:jc w:val="both"/>
      </w:pPr>
      <w:bookmarkStart w:id="41" w:name="combes2012"/>
      <w:r>
        <w:t xml:space="preserve">Combes, F. (2012). An </w:t>
      </w:r>
      <w:proofErr w:type="spellStart"/>
      <w:r>
        <w:t>empirical</w:t>
      </w:r>
      <w:proofErr w:type="spellEnd"/>
      <w:r>
        <w:t xml:space="preserve"> </w:t>
      </w:r>
      <w:proofErr w:type="spellStart"/>
      <w:r>
        <w:t>evaluation</w:t>
      </w:r>
      <w:proofErr w:type="spellEnd"/>
      <w:r>
        <w:t xml:space="preserve"> of the EOQ model of </w:t>
      </w:r>
      <w:proofErr w:type="spellStart"/>
      <w:r>
        <w:t>choice</w:t>
      </w:r>
      <w:proofErr w:type="spellEnd"/>
      <w:r>
        <w:t xml:space="preserve"> of </w:t>
      </w:r>
      <w:proofErr w:type="spellStart"/>
      <w:r>
        <w:t>shipment</w:t>
      </w:r>
      <w:proofErr w:type="spellEnd"/>
      <w:r>
        <w:t xml:space="preserve"> size in </w:t>
      </w:r>
      <w:proofErr w:type="spellStart"/>
      <w:r>
        <w:t>freight</w:t>
      </w:r>
      <w:proofErr w:type="spellEnd"/>
      <w:r>
        <w:t xml:space="preserve"> transport. </w:t>
      </w:r>
      <w:r>
        <w:rPr>
          <w:i/>
          <w:iCs/>
        </w:rPr>
        <w:t xml:space="preserve">Transportation </w:t>
      </w:r>
      <w:proofErr w:type="spellStart"/>
      <w:r>
        <w:rPr>
          <w:i/>
          <w:iCs/>
        </w:rPr>
        <w:t>Research</w:t>
      </w:r>
      <w:proofErr w:type="spellEnd"/>
      <w:r>
        <w:rPr>
          <w:i/>
          <w:iCs/>
        </w:rPr>
        <w:t xml:space="preserve"> Record</w:t>
      </w:r>
      <w:r>
        <w:t>, 2269, 92–98.</w:t>
      </w:r>
      <w:bookmarkEnd w:id="41"/>
      <w:r>
        <w:t xml:space="preserve"> </w:t>
      </w:r>
      <w:hyperlink r:id="rId15" w:history="1">
        <w:r w:rsidR="00C01F75">
          <w:rPr>
            <w:rStyle w:val="Lienhypertexte"/>
          </w:rPr>
          <w:t>https://doi.org/10.3141/2269-11</w:t>
        </w:r>
      </w:hyperlink>
    </w:p>
    <w:p w14:paraId="0957CC0D" w14:textId="77777777" w:rsidR="00C01F75" w:rsidRDefault="00000000" w:rsidP="0077027A">
      <w:pPr>
        <w:spacing w:after="160" w:line="300" w:lineRule="auto"/>
        <w:ind w:left="567" w:hanging="567"/>
        <w:jc w:val="both"/>
      </w:pPr>
      <w:bookmarkStart w:id="42" w:name="dejong2004"/>
      <w:r>
        <w:t xml:space="preserve">de Jong, G., Gunn, H., &amp; Walker, W. (2004). National and international </w:t>
      </w:r>
      <w:proofErr w:type="spellStart"/>
      <w:r>
        <w:t>freight</w:t>
      </w:r>
      <w:proofErr w:type="spellEnd"/>
      <w:r>
        <w:t xml:space="preserve"> transport </w:t>
      </w:r>
      <w:proofErr w:type="spellStart"/>
      <w:proofErr w:type="gramStart"/>
      <w:r>
        <w:t>models</w:t>
      </w:r>
      <w:proofErr w:type="spellEnd"/>
      <w:r>
        <w:t>:</w:t>
      </w:r>
      <w:proofErr w:type="gramEnd"/>
      <w:r>
        <w:t xml:space="preserve"> An </w:t>
      </w:r>
      <w:proofErr w:type="spellStart"/>
      <w:r>
        <w:t>overview</w:t>
      </w:r>
      <w:proofErr w:type="spellEnd"/>
      <w:r>
        <w:t xml:space="preserve"> and </w:t>
      </w:r>
      <w:proofErr w:type="spellStart"/>
      <w:r>
        <w:t>ideas</w:t>
      </w:r>
      <w:proofErr w:type="spellEnd"/>
      <w:r>
        <w:t xml:space="preserve"> for future </w:t>
      </w:r>
      <w:proofErr w:type="spellStart"/>
      <w:r>
        <w:t>development</w:t>
      </w:r>
      <w:proofErr w:type="spellEnd"/>
      <w:r>
        <w:t xml:space="preserve">. </w:t>
      </w:r>
      <w:r>
        <w:rPr>
          <w:i/>
          <w:iCs/>
        </w:rPr>
        <w:t xml:space="preserve">Transport </w:t>
      </w:r>
      <w:proofErr w:type="spellStart"/>
      <w:r>
        <w:rPr>
          <w:i/>
          <w:iCs/>
        </w:rPr>
        <w:t>Reviews</w:t>
      </w:r>
      <w:proofErr w:type="spellEnd"/>
      <w:r>
        <w:t>, 24(1), 103–124.</w:t>
      </w:r>
      <w:bookmarkEnd w:id="42"/>
      <w:r>
        <w:t xml:space="preserve"> </w:t>
      </w:r>
      <w:hyperlink r:id="rId16" w:history="1">
        <w:r w:rsidR="00C01F75">
          <w:rPr>
            <w:rStyle w:val="Lienhypertexte"/>
          </w:rPr>
          <w:t>https://doi.org/10.1080/0144164032000080494</w:t>
        </w:r>
      </w:hyperlink>
    </w:p>
    <w:p w14:paraId="083BB936" w14:textId="77777777" w:rsidR="00C01F75" w:rsidRDefault="00000000" w:rsidP="0077027A">
      <w:pPr>
        <w:spacing w:after="160" w:line="300" w:lineRule="auto"/>
        <w:ind w:left="567" w:hanging="567"/>
        <w:jc w:val="both"/>
      </w:pPr>
      <w:bookmarkStart w:id="43" w:name="dejong2013"/>
      <w:r>
        <w:t xml:space="preserve">de Jong, G., </w:t>
      </w:r>
      <w:proofErr w:type="spellStart"/>
      <w:r>
        <w:t>Vierth</w:t>
      </w:r>
      <w:proofErr w:type="spellEnd"/>
      <w:r>
        <w:t xml:space="preserve">, I., </w:t>
      </w:r>
      <w:proofErr w:type="spellStart"/>
      <w:r>
        <w:t>Tavasszy</w:t>
      </w:r>
      <w:proofErr w:type="spellEnd"/>
      <w:r>
        <w:t xml:space="preserve">, L., &amp; Ben-Akiva, M. (2013). </w:t>
      </w:r>
      <w:proofErr w:type="spellStart"/>
      <w:r>
        <w:t>Recent</w:t>
      </w:r>
      <w:proofErr w:type="spellEnd"/>
      <w:r>
        <w:t xml:space="preserve"> </w:t>
      </w:r>
      <w:proofErr w:type="spellStart"/>
      <w:r>
        <w:t>developments</w:t>
      </w:r>
      <w:proofErr w:type="spellEnd"/>
      <w:r>
        <w:t xml:space="preserve"> in national and international </w:t>
      </w:r>
      <w:proofErr w:type="spellStart"/>
      <w:r>
        <w:t>freight</w:t>
      </w:r>
      <w:proofErr w:type="spellEnd"/>
      <w:r>
        <w:t xml:space="preserve"> </w:t>
      </w:r>
      <w:proofErr w:type="spellStart"/>
      <w:r>
        <w:t>models</w:t>
      </w:r>
      <w:proofErr w:type="spellEnd"/>
      <w:r>
        <w:t xml:space="preserve"> </w:t>
      </w:r>
      <w:proofErr w:type="spellStart"/>
      <w:r>
        <w:t>within</w:t>
      </w:r>
      <w:proofErr w:type="spellEnd"/>
      <w:r>
        <w:t xml:space="preserve"> Europe. </w:t>
      </w:r>
      <w:r>
        <w:rPr>
          <w:i/>
          <w:iCs/>
        </w:rPr>
        <w:t>Transportation</w:t>
      </w:r>
      <w:r>
        <w:t>, 40(2), 347–371.</w:t>
      </w:r>
      <w:bookmarkEnd w:id="43"/>
      <w:r>
        <w:t xml:space="preserve"> </w:t>
      </w:r>
      <w:hyperlink r:id="rId17" w:history="1">
        <w:r w:rsidR="00C01F75">
          <w:rPr>
            <w:rStyle w:val="Lienhypertexte"/>
          </w:rPr>
          <w:t>https://doi.org/10.1007/s11116-012-9422-9</w:t>
        </w:r>
      </w:hyperlink>
    </w:p>
    <w:p w14:paraId="763CFFB7" w14:textId="77777777" w:rsidR="00C01F75" w:rsidRDefault="00000000" w:rsidP="0077027A">
      <w:pPr>
        <w:spacing w:after="160" w:line="300" w:lineRule="auto"/>
        <w:ind w:left="567" w:hanging="567"/>
        <w:jc w:val="both"/>
      </w:pPr>
      <w:bookmarkStart w:id="44" w:name="dietzenbacher2013"/>
      <w:proofErr w:type="spellStart"/>
      <w:r>
        <w:lastRenderedPageBreak/>
        <w:t>Dietzenbacher</w:t>
      </w:r>
      <w:proofErr w:type="spellEnd"/>
      <w:r>
        <w:t xml:space="preserve">, E., &amp; Lahr, M. L. (2013). </w:t>
      </w:r>
      <w:proofErr w:type="spellStart"/>
      <w:r>
        <w:t>Expanding</w:t>
      </w:r>
      <w:proofErr w:type="spellEnd"/>
      <w:r>
        <w:t xml:space="preserve"> extractions. </w:t>
      </w:r>
      <w:proofErr w:type="spellStart"/>
      <w:r>
        <w:rPr>
          <w:i/>
          <w:iCs/>
        </w:rPr>
        <w:t>Economic</w:t>
      </w:r>
      <w:proofErr w:type="spellEnd"/>
      <w:r>
        <w:rPr>
          <w:i/>
          <w:iCs/>
        </w:rPr>
        <w:t xml:space="preserve"> </w:t>
      </w:r>
      <w:proofErr w:type="spellStart"/>
      <w:r>
        <w:rPr>
          <w:i/>
          <w:iCs/>
        </w:rPr>
        <w:t>Systems</w:t>
      </w:r>
      <w:proofErr w:type="spellEnd"/>
      <w:r>
        <w:rPr>
          <w:i/>
          <w:iCs/>
        </w:rPr>
        <w:t xml:space="preserve"> </w:t>
      </w:r>
      <w:proofErr w:type="spellStart"/>
      <w:r>
        <w:rPr>
          <w:i/>
          <w:iCs/>
        </w:rPr>
        <w:t>Research</w:t>
      </w:r>
      <w:proofErr w:type="spellEnd"/>
      <w:r>
        <w:t>, 25(3), 341–360.</w:t>
      </w:r>
      <w:bookmarkEnd w:id="44"/>
      <w:r>
        <w:t xml:space="preserve"> </w:t>
      </w:r>
      <w:hyperlink r:id="rId18" w:history="1">
        <w:r w:rsidR="00C01F75">
          <w:rPr>
            <w:rStyle w:val="Lienhypertexte"/>
          </w:rPr>
          <w:t>https://doi.org/10.1080/09535314.2013.774266</w:t>
        </w:r>
      </w:hyperlink>
    </w:p>
    <w:p w14:paraId="1D2B0B0A" w14:textId="77777777" w:rsidR="00C01F75" w:rsidRDefault="00000000" w:rsidP="0077027A">
      <w:pPr>
        <w:spacing w:after="160" w:line="300" w:lineRule="auto"/>
        <w:ind w:left="567" w:hanging="567"/>
        <w:jc w:val="both"/>
      </w:pPr>
      <w:bookmarkStart w:id="45" w:name="felbermayr2014"/>
      <w:r>
        <w:t xml:space="preserve">Felbermayr, G., &amp; Gröschl, J. (2014). </w:t>
      </w:r>
      <w:proofErr w:type="spellStart"/>
      <w:r>
        <w:t>Naturally</w:t>
      </w:r>
      <w:proofErr w:type="spellEnd"/>
      <w:r>
        <w:t xml:space="preserve"> </w:t>
      </w:r>
      <w:proofErr w:type="spellStart"/>
      <w:proofErr w:type="gramStart"/>
      <w:r>
        <w:t>negative</w:t>
      </w:r>
      <w:proofErr w:type="spellEnd"/>
      <w:r>
        <w:t>:</w:t>
      </w:r>
      <w:proofErr w:type="gramEnd"/>
      <w:r>
        <w:t xml:space="preserve"> The </w:t>
      </w:r>
      <w:proofErr w:type="spellStart"/>
      <w:r>
        <w:t>growth</w:t>
      </w:r>
      <w:proofErr w:type="spellEnd"/>
      <w:r>
        <w:t xml:space="preserve"> </w:t>
      </w:r>
      <w:proofErr w:type="spellStart"/>
      <w:r>
        <w:t>effects</w:t>
      </w:r>
      <w:proofErr w:type="spellEnd"/>
      <w:r>
        <w:t xml:space="preserve"> of </w:t>
      </w:r>
      <w:proofErr w:type="spellStart"/>
      <w:r>
        <w:t>natural</w:t>
      </w:r>
      <w:proofErr w:type="spellEnd"/>
      <w:r>
        <w:t xml:space="preserve"> </w:t>
      </w:r>
      <w:proofErr w:type="spellStart"/>
      <w:r>
        <w:t>disasters</w:t>
      </w:r>
      <w:proofErr w:type="spellEnd"/>
      <w:r>
        <w:t xml:space="preserve">. </w:t>
      </w:r>
      <w:r>
        <w:rPr>
          <w:i/>
          <w:iCs/>
        </w:rPr>
        <w:t xml:space="preserve">Journal of </w:t>
      </w:r>
      <w:proofErr w:type="spellStart"/>
      <w:r>
        <w:rPr>
          <w:i/>
          <w:iCs/>
        </w:rPr>
        <w:t>Development</w:t>
      </w:r>
      <w:proofErr w:type="spellEnd"/>
      <w:r>
        <w:rPr>
          <w:i/>
          <w:iCs/>
        </w:rPr>
        <w:t xml:space="preserve"> </w:t>
      </w:r>
      <w:proofErr w:type="spellStart"/>
      <w:r>
        <w:rPr>
          <w:i/>
          <w:iCs/>
        </w:rPr>
        <w:t>Economics</w:t>
      </w:r>
      <w:proofErr w:type="spellEnd"/>
      <w:r>
        <w:t>, 111, 92–106.</w:t>
      </w:r>
      <w:bookmarkEnd w:id="45"/>
      <w:r>
        <w:t xml:space="preserve"> </w:t>
      </w:r>
      <w:hyperlink r:id="rId19" w:history="1">
        <w:r w:rsidR="00C01F75">
          <w:rPr>
            <w:rStyle w:val="Lienhypertexte"/>
          </w:rPr>
          <w:t>https://doi.org/10.1016/j.jdeveco.2014.07.004</w:t>
        </w:r>
      </w:hyperlink>
    </w:p>
    <w:p w14:paraId="17534658" w14:textId="77777777" w:rsidR="00C01F75" w:rsidRDefault="00000000" w:rsidP="0077027A">
      <w:pPr>
        <w:spacing w:after="160" w:line="300" w:lineRule="auto"/>
        <w:ind w:left="567" w:hanging="567"/>
        <w:jc w:val="both"/>
      </w:pPr>
      <w:bookmarkStart w:id="46" w:name="gabaix2011"/>
      <w:proofErr w:type="spellStart"/>
      <w:r>
        <w:t>Gabaix</w:t>
      </w:r>
      <w:proofErr w:type="spellEnd"/>
      <w:r>
        <w:t xml:space="preserve">, X. (2011). The </w:t>
      </w:r>
      <w:proofErr w:type="spellStart"/>
      <w:r>
        <w:t>granular</w:t>
      </w:r>
      <w:proofErr w:type="spellEnd"/>
      <w:r>
        <w:t xml:space="preserve"> </w:t>
      </w:r>
      <w:proofErr w:type="spellStart"/>
      <w:r>
        <w:t>origins</w:t>
      </w:r>
      <w:proofErr w:type="spellEnd"/>
      <w:r>
        <w:t xml:space="preserve"> of </w:t>
      </w:r>
      <w:proofErr w:type="spellStart"/>
      <w:r>
        <w:t>aggregate</w:t>
      </w:r>
      <w:proofErr w:type="spellEnd"/>
      <w:r>
        <w:t xml:space="preserve"> fluctuations. </w:t>
      </w:r>
      <w:proofErr w:type="spellStart"/>
      <w:r>
        <w:rPr>
          <w:i/>
          <w:iCs/>
        </w:rPr>
        <w:t>Econometrica</w:t>
      </w:r>
      <w:proofErr w:type="spellEnd"/>
      <w:r>
        <w:t>, 79(3), 733–772.</w:t>
      </w:r>
      <w:bookmarkEnd w:id="46"/>
      <w:r>
        <w:t xml:space="preserve"> </w:t>
      </w:r>
      <w:hyperlink r:id="rId20" w:history="1">
        <w:r w:rsidR="00C01F75">
          <w:rPr>
            <w:rStyle w:val="Lienhypertexte"/>
          </w:rPr>
          <w:t>https://doi.org/10.3982/ECTA8769</w:t>
        </w:r>
      </w:hyperlink>
    </w:p>
    <w:p w14:paraId="70BE4AEC" w14:textId="77777777" w:rsidR="00C01F75" w:rsidRDefault="00000000" w:rsidP="0077027A">
      <w:pPr>
        <w:spacing w:after="160" w:line="300" w:lineRule="auto"/>
        <w:ind w:left="567" w:hanging="567"/>
        <w:jc w:val="both"/>
      </w:pPr>
      <w:bookmarkStart w:id="47" w:name="guan2020"/>
      <w:r>
        <w:t xml:space="preserve">Guan, D., Wang, D., </w:t>
      </w:r>
      <w:proofErr w:type="spellStart"/>
      <w:r>
        <w:t>Hallegatte</w:t>
      </w:r>
      <w:proofErr w:type="spellEnd"/>
      <w:r>
        <w:t xml:space="preserve">, S., et al. (2020). Global </w:t>
      </w:r>
      <w:proofErr w:type="spellStart"/>
      <w:r>
        <w:t>supply-chain</w:t>
      </w:r>
      <w:proofErr w:type="spellEnd"/>
      <w:r>
        <w:t xml:space="preserve"> </w:t>
      </w:r>
      <w:proofErr w:type="spellStart"/>
      <w:r>
        <w:t>effects</w:t>
      </w:r>
      <w:proofErr w:type="spellEnd"/>
      <w:r>
        <w:t xml:space="preserve"> of COVID-19 control </w:t>
      </w:r>
      <w:proofErr w:type="spellStart"/>
      <w:r>
        <w:t>measures</w:t>
      </w:r>
      <w:proofErr w:type="spellEnd"/>
      <w:r>
        <w:t xml:space="preserve">. </w:t>
      </w:r>
      <w:r>
        <w:rPr>
          <w:i/>
          <w:iCs/>
        </w:rPr>
        <w:t xml:space="preserve">Nature Human </w:t>
      </w:r>
      <w:proofErr w:type="spellStart"/>
      <w:r>
        <w:rPr>
          <w:i/>
          <w:iCs/>
        </w:rPr>
        <w:t>Behaviour</w:t>
      </w:r>
      <w:proofErr w:type="spellEnd"/>
      <w:r>
        <w:t>, 4, 577–587.</w:t>
      </w:r>
      <w:bookmarkEnd w:id="47"/>
      <w:r>
        <w:t xml:space="preserve"> </w:t>
      </w:r>
      <w:hyperlink r:id="rId21" w:history="1">
        <w:r w:rsidR="00C01F75">
          <w:rPr>
            <w:rStyle w:val="Lienhypertexte"/>
          </w:rPr>
          <w:t>https://doi.org/10.1038/s41562-020-0896-8</w:t>
        </w:r>
      </w:hyperlink>
    </w:p>
    <w:p w14:paraId="4F4D3F56" w14:textId="77777777" w:rsidR="00C01F75" w:rsidRDefault="00000000" w:rsidP="0077027A">
      <w:pPr>
        <w:spacing w:after="160" w:line="300" w:lineRule="auto"/>
        <w:ind w:left="567" w:hanging="567"/>
        <w:jc w:val="both"/>
      </w:pPr>
      <w:bookmarkStart w:id="48" w:name="guilbault2009"/>
      <w:r>
        <w:t xml:space="preserve">Guilbault, M., &amp; </w:t>
      </w:r>
      <w:proofErr w:type="spellStart"/>
      <w:r>
        <w:t>Soppé</w:t>
      </w:r>
      <w:proofErr w:type="spellEnd"/>
      <w:r>
        <w:t xml:space="preserve">, M. (2009). </w:t>
      </w:r>
      <w:r>
        <w:rPr>
          <w:i/>
          <w:iCs/>
        </w:rPr>
        <w:t>Apports des enquêtes chargeurs. Connaissance des chaînes de transport de marchandises et de leurs déterminants logistiques</w:t>
      </w:r>
      <w:r>
        <w:t xml:space="preserve"> (enquête ECHO). INRETS.</w:t>
      </w:r>
      <w:bookmarkEnd w:id="48"/>
    </w:p>
    <w:p w14:paraId="6183ACF8" w14:textId="77777777" w:rsidR="00C01F75" w:rsidRDefault="00000000" w:rsidP="0077027A">
      <w:pPr>
        <w:spacing w:after="160" w:line="300" w:lineRule="auto"/>
        <w:ind w:left="567" w:hanging="567"/>
        <w:jc w:val="both"/>
      </w:pPr>
      <w:bookmarkStart w:id="49" w:name="hallegatte2008"/>
      <w:proofErr w:type="spellStart"/>
      <w:r>
        <w:t>Hallegatte</w:t>
      </w:r>
      <w:proofErr w:type="spellEnd"/>
      <w:r>
        <w:t xml:space="preserve">, S. (2008). An adaptive </w:t>
      </w:r>
      <w:proofErr w:type="spellStart"/>
      <w:r>
        <w:t>regional</w:t>
      </w:r>
      <w:proofErr w:type="spellEnd"/>
      <w:r>
        <w:t xml:space="preserve"> input-output model and </w:t>
      </w:r>
      <w:proofErr w:type="spellStart"/>
      <w:r>
        <w:t>its</w:t>
      </w:r>
      <w:proofErr w:type="spellEnd"/>
      <w:r>
        <w:t xml:space="preserve"> application to the </w:t>
      </w:r>
      <w:proofErr w:type="spellStart"/>
      <w:r>
        <w:t>assessment</w:t>
      </w:r>
      <w:proofErr w:type="spellEnd"/>
      <w:r>
        <w:t xml:space="preserve"> of the </w:t>
      </w:r>
      <w:proofErr w:type="spellStart"/>
      <w:r>
        <w:t>economic</w:t>
      </w:r>
      <w:proofErr w:type="spellEnd"/>
      <w:r>
        <w:t xml:space="preserve"> </w:t>
      </w:r>
      <w:proofErr w:type="spellStart"/>
      <w:r>
        <w:t>cost</w:t>
      </w:r>
      <w:proofErr w:type="spellEnd"/>
      <w:r>
        <w:t xml:space="preserve"> of Katrina. </w:t>
      </w:r>
      <w:r>
        <w:rPr>
          <w:i/>
          <w:iCs/>
        </w:rPr>
        <w:t>Risk Analysis</w:t>
      </w:r>
      <w:r>
        <w:t>, 28(3), 779–799.</w:t>
      </w:r>
      <w:bookmarkEnd w:id="49"/>
      <w:r>
        <w:t xml:space="preserve"> </w:t>
      </w:r>
      <w:hyperlink r:id="rId22" w:history="1">
        <w:r w:rsidR="00C01F75">
          <w:rPr>
            <w:rStyle w:val="Lienhypertexte"/>
          </w:rPr>
          <w:t>https://doi.org/10.1111/j.1539-6924.2008.01046.x</w:t>
        </w:r>
      </w:hyperlink>
    </w:p>
    <w:p w14:paraId="138F810F" w14:textId="77777777" w:rsidR="00C01F75" w:rsidRDefault="00000000" w:rsidP="0077027A">
      <w:pPr>
        <w:spacing w:after="160" w:line="300" w:lineRule="auto"/>
        <w:ind w:left="567" w:hanging="567"/>
        <w:jc w:val="both"/>
      </w:pPr>
      <w:bookmarkStart w:id="50" w:name="hallegatte2014"/>
      <w:proofErr w:type="spellStart"/>
      <w:r>
        <w:t>Hallegatte</w:t>
      </w:r>
      <w:proofErr w:type="spellEnd"/>
      <w:r>
        <w:t xml:space="preserve">, S. (2014). Modeling the </w:t>
      </w:r>
      <w:proofErr w:type="spellStart"/>
      <w:r>
        <w:t>role</w:t>
      </w:r>
      <w:proofErr w:type="spellEnd"/>
      <w:r>
        <w:t xml:space="preserve"> of inventories and </w:t>
      </w:r>
      <w:proofErr w:type="spellStart"/>
      <w:r>
        <w:t>heterogeneity</w:t>
      </w:r>
      <w:proofErr w:type="spellEnd"/>
      <w:r>
        <w:t xml:space="preserve"> in the </w:t>
      </w:r>
      <w:proofErr w:type="spellStart"/>
      <w:r>
        <w:t>assessment</w:t>
      </w:r>
      <w:proofErr w:type="spellEnd"/>
      <w:r>
        <w:t xml:space="preserve"> of the </w:t>
      </w:r>
      <w:proofErr w:type="spellStart"/>
      <w:r>
        <w:t>economic</w:t>
      </w:r>
      <w:proofErr w:type="spellEnd"/>
      <w:r>
        <w:t xml:space="preserve"> </w:t>
      </w:r>
      <w:proofErr w:type="spellStart"/>
      <w:r>
        <w:t>costs</w:t>
      </w:r>
      <w:proofErr w:type="spellEnd"/>
      <w:r>
        <w:t xml:space="preserve"> of </w:t>
      </w:r>
      <w:proofErr w:type="spellStart"/>
      <w:r>
        <w:t>natural</w:t>
      </w:r>
      <w:proofErr w:type="spellEnd"/>
      <w:r>
        <w:t xml:space="preserve"> </w:t>
      </w:r>
      <w:proofErr w:type="spellStart"/>
      <w:r>
        <w:t>disasters</w:t>
      </w:r>
      <w:proofErr w:type="spellEnd"/>
      <w:r>
        <w:t xml:space="preserve">. </w:t>
      </w:r>
      <w:r>
        <w:rPr>
          <w:i/>
          <w:iCs/>
        </w:rPr>
        <w:t>Risk Analysis</w:t>
      </w:r>
      <w:r>
        <w:t>, 34(1), 152–167.</w:t>
      </w:r>
      <w:bookmarkEnd w:id="50"/>
      <w:r>
        <w:t xml:space="preserve"> </w:t>
      </w:r>
      <w:hyperlink r:id="rId23" w:history="1">
        <w:r w:rsidR="00C01F75">
          <w:rPr>
            <w:rStyle w:val="Lienhypertexte"/>
          </w:rPr>
          <w:t>https://doi.org/10.1111/risa.12090</w:t>
        </w:r>
      </w:hyperlink>
    </w:p>
    <w:p w14:paraId="0356E38F" w14:textId="77777777" w:rsidR="00C01F75" w:rsidRDefault="00000000" w:rsidP="0077027A">
      <w:pPr>
        <w:spacing w:after="160" w:line="300" w:lineRule="auto"/>
        <w:ind w:left="567" w:hanging="567"/>
        <w:jc w:val="both"/>
      </w:pPr>
      <w:bookmarkStart w:id="51" w:name="hallegatte2013"/>
      <w:proofErr w:type="spellStart"/>
      <w:r>
        <w:t>Hallegatte</w:t>
      </w:r>
      <w:proofErr w:type="spellEnd"/>
      <w:r>
        <w:t>, S., Green, C., Nicholls, R. J., &amp; Corfee-</w:t>
      </w:r>
      <w:proofErr w:type="spellStart"/>
      <w:r>
        <w:t>Morlot</w:t>
      </w:r>
      <w:proofErr w:type="spellEnd"/>
      <w:r>
        <w:t xml:space="preserve">, J. (2013). Future flood </w:t>
      </w:r>
      <w:proofErr w:type="spellStart"/>
      <w:r>
        <w:t>losses</w:t>
      </w:r>
      <w:proofErr w:type="spellEnd"/>
      <w:r>
        <w:t xml:space="preserve"> in major </w:t>
      </w:r>
      <w:proofErr w:type="spellStart"/>
      <w:r>
        <w:t>coastal</w:t>
      </w:r>
      <w:proofErr w:type="spellEnd"/>
      <w:r>
        <w:t xml:space="preserve"> </w:t>
      </w:r>
      <w:proofErr w:type="spellStart"/>
      <w:r>
        <w:t>cities</w:t>
      </w:r>
      <w:proofErr w:type="spellEnd"/>
      <w:r>
        <w:t xml:space="preserve">. </w:t>
      </w:r>
      <w:r>
        <w:rPr>
          <w:i/>
          <w:iCs/>
        </w:rPr>
        <w:t xml:space="preserve">Nature </w:t>
      </w:r>
      <w:proofErr w:type="spellStart"/>
      <w:r>
        <w:rPr>
          <w:i/>
          <w:iCs/>
        </w:rPr>
        <w:t>Climate</w:t>
      </w:r>
      <w:proofErr w:type="spellEnd"/>
      <w:r>
        <w:rPr>
          <w:i/>
          <w:iCs/>
        </w:rPr>
        <w:t xml:space="preserve"> Change</w:t>
      </w:r>
      <w:r>
        <w:t>, 3, 802–806.</w:t>
      </w:r>
      <w:bookmarkEnd w:id="51"/>
      <w:r>
        <w:t xml:space="preserve"> </w:t>
      </w:r>
      <w:hyperlink r:id="rId24" w:history="1">
        <w:r w:rsidR="00C01F75">
          <w:rPr>
            <w:rStyle w:val="Lienhypertexte"/>
          </w:rPr>
          <w:t>https://doi.org/10.1038/nclimate1979</w:t>
        </w:r>
      </w:hyperlink>
    </w:p>
    <w:p w14:paraId="3764A6E3" w14:textId="77777777" w:rsidR="00C01F75" w:rsidRDefault="00000000" w:rsidP="0077027A">
      <w:pPr>
        <w:spacing w:after="160" w:line="300" w:lineRule="auto"/>
        <w:ind w:left="567" w:hanging="567"/>
        <w:jc w:val="both"/>
      </w:pPr>
      <w:bookmarkStart w:id="52" w:name="hallegatte2019"/>
      <w:proofErr w:type="spellStart"/>
      <w:r>
        <w:t>Hallegatte</w:t>
      </w:r>
      <w:proofErr w:type="spellEnd"/>
      <w:r>
        <w:t xml:space="preserve">, S., Rentschler, J., &amp; Rozenberg, J. (2019). </w:t>
      </w:r>
      <w:proofErr w:type="spellStart"/>
      <w:proofErr w:type="gramStart"/>
      <w:r>
        <w:rPr>
          <w:i/>
          <w:iCs/>
        </w:rPr>
        <w:t>Lifelines</w:t>
      </w:r>
      <w:proofErr w:type="spellEnd"/>
      <w:r>
        <w:rPr>
          <w:i/>
          <w:iCs/>
        </w:rPr>
        <w:t>:</w:t>
      </w:r>
      <w:proofErr w:type="gramEnd"/>
      <w:r>
        <w:rPr>
          <w:i/>
          <w:iCs/>
        </w:rPr>
        <w:t xml:space="preserve"> The </w:t>
      </w:r>
      <w:proofErr w:type="spellStart"/>
      <w:r>
        <w:rPr>
          <w:i/>
          <w:iCs/>
        </w:rPr>
        <w:t>Resilient</w:t>
      </w:r>
      <w:proofErr w:type="spellEnd"/>
      <w:r>
        <w:rPr>
          <w:i/>
          <w:iCs/>
        </w:rPr>
        <w:t xml:space="preserve"> Infrastructure Opportunity</w:t>
      </w:r>
      <w:r>
        <w:t>. Banque mondiale.</w:t>
      </w:r>
      <w:bookmarkEnd w:id="52"/>
      <w:r>
        <w:t xml:space="preserve"> </w:t>
      </w:r>
      <w:hyperlink r:id="rId25" w:history="1">
        <w:r w:rsidR="00C01F75">
          <w:rPr>
            <w:rStyle w:val="Lienhypertexte"/>
          </w:rPr>
          <w:t>https://openknowledge.worldbank.org/handle/10986/31805</w:t>
        </w:r>
      </w:hyperlink>
    </w:p>
    <w:p w14:paraId="2B632650" w14:textId="77777777" w:rsidR="00C01F75" w:rsidRDefault="00000000" w:rsidP="0077027A">
      <w:pPr>
        <w:spacing w:after="160" w:line="300" w:lineRule="auto"/>
        <w:ind w:left="567" w:hanging="567"/>
        <w:jc w:val="both"/>
      </w:pPr>
      <w:bookmarkStart w:id="53" w:name="hallegatte2017"/>
      <w:proofErr w:type="spellStart"/>
      <w:r>
        <w:t>Hallegatte</w:t>
      </w:r>
      <w:proofErr w:type="spellEnd"/>
      <w:r>
        <w:t xml:space="preserve">, S., Vogt-Schilb, A., Bangalore, M., &amp; Rozenberg, J. (2017). </w:t>
      </w:r>
      <w:proofErr w:type="spellStart"/>
      <w:proofErr w:type="gramStart"/>
      <w:r>
        <w:rPr>
          <w:i/>
          <w:iCs/>
        </w:rPr>
        <w:t>Unbreakable</w:t>
      </w:r>
      <w:proofErr w:type="spellEnd"/>
      <w:r>
        <w:rPr>
          <w:i/>
          <w:iCs/>
        </w:rPr>
        <w:t>:</w:t>
      </w:r>
      <w:proofErr w:type="gramEnd"/>
      <w:r>
        <w:rPr>
          <w:i/>
          <w:iCs/>
        </w:rPr>
        <w:t xml:space="preserve"> Building the </w:t>
      </w:r>
      <w:proofErr w:type="spellStart"/>
      <w:r>
        <w:rPr>
          <w:i/>
          <w:iCs/>
        </w:rPr>
        <w:t>Resilience</w:t>
      </w:r>
      <w:proofErr w:type="spellEnd"/>
      <w:r>
        <w:rPr>
          <w:i/>
          <w:iCs/>
        </w:rPr>
        <w:t xml:space="preserve"> of the Poor in the Face of Natural </w:t>
      </w:r>
      <w:proofErr w:type="spellStart"/>
      <w:r>
        <w:rPr>
          <w:i/>
          <w:iCs/>
        </w:rPr>
        <w:t>Disasters</w:t>
      </w:r>
      <w:proofErr w:type="spellEnd"/>
      <w:r>
        <w:t>. Banque mondiale.</w:t>
      </w:r>
      <w:bookmarkEnd w:id="53"/>
      <w:r>
        <w:t xml:space="preserve"> </w:t>
      </w:r>
      <w:hyperlink r:id="rId26" w:history="1">
        <w:r w:rsidR="00C01F75">
          <w:rPr>
            <w:rStyle w:val="Lienhypertexte"/>
          </w:rPr>
          <w:t>https://openknowledge.worldbank.org/handle/10986/25335</w:t>
        </w:r>
      </w:hyperlink>
    </w:p>
    <w:p w14:paraId="15C1885B" w14:textId="77777777" w:rsidR="00C01F75" w:rsidRDefault="00000000" w:rsidP="0077027A">
      <w:pPr>
        <w:spacing w:after="160" w:line="300" w:lineRule="auto"/>
        <w:ind w:left="567" w:hanging="567"/>
        <w:jc w:val="both"/>
      </w:pPr>
      <w:bookmarkStart w:id="54" w:name="henriet2012"/>
      <w:r>
        <w:t xml:space="preserve">Henriet, F., </w:t>
      </w:r>
      <w:proofErr w:type="spellStart"/>
      <w:r>
        <w:t>Hallegatte</w:t>
      </w:r>
      <w:proofErr w:type="spellEnd"/>
      <w:r>
        <w:t xml:space="preserve">, S., &amp; </w:t>
      </w:r>
      <w:proofErr w:type="spellStart"/>
      <w:r>
        <w:t>Tabourier</w:t>
      </w:r>
      <w:proofErr w:type="spellEnd"/>
      <w:r>
        <w:t xml:space="preserve">, L. (2012). Firm-network </w:t>
      </w:r>
      <w:proofErr w:type="spellStart"/>
      <w:r>
        <w:t>characteristics</w:t>
      </w:r>
      <w:proofErr w:type="spellEnd"/>
      <w:r>
        <w:t xml:space="preserve"> and </w:t>
      </w:r>
      <w:proofErr w:type="spellStart"/>
      <w:r>
        <w:t>economic</w:t>
      </w:r>
      <w:proofErr w:type="spellEnd"/>
      <w:r>
        <w:t xml:space="preserve"> </w:t>
      </w:r>
      <w:proofErr w:type="spellStart"/>
      <w:r>
        <w:t>robustness</w:t>
      </w:r>
      <w:proofErr w:type="spellEnd"/>
      <w:r>
        <w:t xml:space="preserve"> to </w:t>
      </w:r>
      <w:proofErr w:type="spellStart"/>
      <w:r>
        <w:t>natural</w:t>
      </w:r>
      <w:proofErr w:type="spellEnd"/>
      <w:r>
        <w:t xml:space="preserve"> </w:t>
      </w:r>
      <w:proofErr w:type="spellStart"/>
      <w:r>
        <w:t>disasters</w:t>
      </w:r>
      <w:proofErr w:type="spellEnd"/>
      <w:r>
        <w:t xml:space="preserve">. </w:t>
      </w:r>
      <w:r>
        <w:rPr>
          <w:i/>
          <w:iCs/>
        </w:rPr>
        <w:t xml:space="preserve">Journal of </w:t>
      </w:r>
      <w:proofErr w:type="spellStart"/>
      <w:r>
        <w:rPr>
          <w:i/>
          <w:iCs/>
        </w:rPr>
        <w:t>Economic</w:t>
      </w:r>
      <w:proofErr w:type="spellEnd"/>
      <w:r>
        <w:rPr>
          <w:i/>
          <w:iCs/>
        </w:rPr>
        <w:t xml:space="preserve"> Dynamics and Control</w:t>
      </w:r>
      <w:r>
        <w:t>, 36(1), 150–167.</w:t>
      </w:r>
      <w:bookmarkEnd w:id="54"/>
      <w:r>
        <w:t xml:space="preserve"> </w:t>
      </w:r>
      <w:hyperlink r:id="rId27" w:history="1">
        <w:r w:rsidR="00C01F75">
          <w:rPr>
            <w:rStyle w:val="Lienhypertexte"/>
          </w:rPr>
          <w:t>https://doi.org/10.1016/j.jedc.2011.10.001</w:t>
        </w:r>
      </w:hyperlink>
    </w:p>
    <w:p w14:paraId="3C98D4DD" w14:textId="77777777" w:rsidR="00C01F75" w:rsidRDefault="00000000" w:rsidP="0077027A">
      <w:pPr>
        <w:spacing w:after="160" w:line="300" w:lineRule="auto"/>
        <w:ind w:left="567" w:hanging="567"/>
        <w:jc w:val="both"/>
      </w:pPr>
      <w:bookmarkStart w:id="55" w:name="hsiang2010"/>
      <w:r>
        <w:t xml:space="preserve">Hsiang, S. M. (2010). </w:t>
      </w:r>
      <w:proofErr w:type="spellStart"/>
      <w:r>
        <w:t>Temperatures</w:t>
      </w:r>
      <w:proofErr w:type="spellEnd"/>
      <w:r>
        <w:t xml:space="preserve"> and cyclones </w:t>
      </w:r>
      <w:proofErr w:type="spellStart"/>
      <w:r>
        <w:t>strongly</w:t>
      </w:r>
      <w:proofErr w:type="spellEnd"/>
      <w:r>
        <w:t xml:space="preserve"> </w:t>
      </w:r>
      <w:proofErr w:type="spellStart"/>
      <w:r>
        <w:t>associated</w:t>
      </w:r>
      <w:proofErr w:type="spellEnd"/>
      <w:r>
        <w:t xml:space="preserve"> </w:t>
      </w:r>
      <w:proofErr w:type="spellStart"/>
      <w:r>
        <w:t>with</w:t>
      </w:r>
      <w:proofErr w:type="spellEnd"/>
      <w:r>
        <w:t xml:space="preserve"> </w:t>
      </w:r>
      <w:proofErr w:type="spellStart"/>
      <w:r>
        <w:t>economic</w:t>
      </w:r>
      <w:proofErr w:type="spellEnd"/>
      <w:r>
        <w:t xml:space="preserve"> production in the Caribbean and Central America. </w:t>
      </w:r>
      <w:proofErr w:type="spellStart"/>
      <w:r>
        <w:rPr>
          <w:i/>
          <w:iCs/>
        </w:rPr>
        <w:t>Proceedings</w:t>
      </w:r>
      <w:proofErr w:type="spellEnd"/>
      <w:r>
        <w:rPr>
          <w:i/>
          <w:iCs/>
        </w:rPr>
        <w:t xml:space="preserve"> of the National </w:t>
      </w:r>
      <w:proofErr w:type="spellStart"/>
      <w:r>
        <w:rPr>
          <w:i/>
          <w:iCs/>
        </w:rPr>
        <w:t>Academy</w:t>
      </w:r>
      <w:proofErr w:type="spellEnd"/>
      <w:r>
        <w:rPr>
          <w:i/>
          <w:iCs/>
        </w:rPr>
        <w:t xml:space="preserve"> of Sciences</w:t>
      </w:r>
      <w:r>
        <w:t>, 107(35), 15367–15372.</w:t>
      </w:r>
      <w:bookmarkEnd w:id="55"/>
      <w:r>
        <w:t xml:space="preserve"> </w:t>
      </w:r>
      <w:hyperlink r:id="rId28" w:history="1">
        <w:r w:rsidR="00C01F75">
          <w:rPr>
            <w:rStyle w:val="Lienhypertexte"/>
          </w:rPr>
          <w:t>https://doi.org/10.1073/pnas.1009510107</w:t>
        </w:r>
      </w:hyperlink>
    </w:p>
    <w:p w14:paraId="4E2AF8E7" w14:textId="77777777" w:rsidR="00C01F75" w:rsidRDefault="00000000" w:rsidP="0077027A">
      <w:pPr>
        <w:spacing w:after="160" w:line="300" w:lineRule="auto"/>
        <w:ind w:left="567" w:hanging="567"/>
        <w:jc w:val="both"/>
      </w:pPr>
      <w:bookmarkStart w:id="56" w:name="inoue2019"/>
      <w:r>
        <w:lastRenderedPageBreak/>
        <w:t>Inoue, H., &amp; Todo, Y. (2019). Firm-</w:t>
      </w:r>
      <w:proofErr w:type="spellStart"/>
      <w:r>
        <w:t>level</w:t>
      </w:r>
      <w:proofErr w:type="spellEnd"/>
      <w:r>
        <w:t xml:space="preserve"> propagation of </w:t>
      </w:r>
      <w:proofErr w:type="spellStart"/>
      <w:r>
        <w:t>shocks</w:t>
      </w:r>
      <w:proofErr w:type="spellEnd"/>
      <w:r>
        <w:t xml:space="preserve"> </w:t>
      </w:r>
      <w:proofErr w:type="spellStart"/>
      <w:r>
        <w:t>through</w:t>
      </w:r>
      <w:proofErr w:type="spellEnd"/>
      <w:r>
        <w:t xml:space="preserve"> </w:t>
      </w:r>
      <w:proofErr w:type="spellStart"/>
      <w:r>
        <w:t>supply-chain</w:t>
      </w:r>
      <w:proofErr w:type="spellEnd"/>
      <w:r>
        <w:t xml:space="preserve"> networks. </w:t>
      </w:r>
      <w:r>
        <w:rPr>
          <w:i/>
          <w:iCs/>
        </w:rPr>
        <w:t xml:space="preserve">Nature </w:t>
      </w:r>
      <w:proofErr w:type="spellStart"/>
      <w:r>
        <w:rPr>
          <w:i/>
          <w:iCs/>
        </w:rPr>
        <w:t>Sustainability</w:t>
      </w:r>
      <w:proofErr w:type="spellEnd"/>
      <w:r>
        <w:t>, 2, 841–847.</w:t>
      </w:r>
      <w:bookmarkEnd w:id="56"/>
      <w:r>
        <w:t xml:space="preserve"> </w:t>
      </w:r>
      <w:hyperlink r:id="rId29" w:history="1">
        <w:r w:rsidR="00C01F75">
          <w:rPr>
            <w:rStyle w:val="Lienhypertexte"/>
          </w:rPr>
          <w:t>https://doi.org/10.1038/s41893-019-0351-x</w:t>
        </w:r>
      </w:hyperlink>
    </w:p>
    <w:p w14:paraId="619B8EDB" w14:textId="77777777" w:rsidR="00C01F75" w:rsidRDefault="00000000" w:rsidP="0077027A">
      <w:pPr>
        <w:spacing w:after="160" w:line="300" w:lineRule="auto"/>
        <w:ind w:left="567" w:hanging="567"/>
        <w:jc w:val="both"/>
      </w:pPr>
      <w:bookmarkStart w:id="57" w:name="ipcc2021"/>
      <w:r>
        <w:t xml:space="preserve">IPCC (2021). </w:t>
      </w:r>
      <w:proofErr w:type="spellStart"/>
      <w:r>
        <w:rPr>
          <w:i/>
          <w:iCs/>
        </w:rPr>
        <w:t>Climate</w:t>
      </w:r>
      <w:proofErr w:type="spellEnd"/>
      <w:r>
        <w:rPr>
          <w:i/>
          <w:iCs/>
        </w:rPr>
        <w:t xml:space="preserve"> Change </w:t>
      </w:r>
      <w:proofErr w:type="gramStart"/>
      <w:r>
        <w:rPr>
          <w:i/>
          <w:iCs/>
        </w:rPr>
        <w:t>2021:</w:t>
      </w:r>
      <w:proofErr w:type="gramEnd"/>
      <w:r>
        <w:rPr>
          <w:i/>
          <w:iCs/>
        </w:rPr>
        <w:t xml:space="preserve"> The Physical Science Basis. Contribution of Working Group I to the </w:t>
      </w:r>
      <w:proofErr w:type="spellStart"/>
      <w:r>
        <w:rPr>
          <w:i/>
          <w:iCs/>
        </w:rPr>
        <w:t>Sixth</w:t>
      </w:r>
      <w:proofErr w:type="spellEnd"/>
      <w:r>
        <w:rPr>
          <w:i/>
          <w:iCs/>
        </w:rPr>
        <w:t xml:space="preserve"> </w:t>
      </w:r>
      <w:proofErr w:type="spellStart"/>
      <w:r>
        <w:rPr>
          <w:i/>
          <w:iCs/>
        </w:rPr>
        <w:t>Assessment</w:t>
      </w:r>
      <w:proofErr w:type="spellEnd"/>
      <w:r>
        <w:rPr>
          <w:i/>
          <w:iCs/>
        </w:rPr>
        <w:t xml:space="preserve"> Report of the </w:t>
      </w:r>
      <w:proofErr w:type="spellStart"/>
      <w:r>
        <w:rPr>
          <w:i/>
          <w:iCs/>
        </w:rPr>
        <w:t>Intergovernmental</w:t>
      </w:r>
      <w:proofErr w:type="spellEnd"/>
      <w:r>
        <w:rPr>
          <w:i/>
          <w:iCs/>
        </w:rPr>
        <w:t xml:space="preserve"> Panel on </w:t>
      </w:r>
      <w:proofErr w:type="spellStart"/>
      <w:r>
        <w:rPr>
          <w:i/>
          <w:iCs/>
        </w:rPr>
        <w:t>Climate</w:t>
      </w:r>
      <w:proofErr w:type="spellEnd"/>
      <w:r>
        <w:rPr>
          <w:i/>
          <w:iCs/>
        </w:rPr>
        <w:t xml:space="preserve"> Change</w:t>
      </w:r>
      <w:r>
        <w:t xml:space="preserve">. Cambridge </w:t>
      </w:r>
      <w:proofErr w:type="spellStart"/>
      <w:r>
        <w:t>University</w:t>
      </w:r>
      <w:proofErr w:type="spellEnd"/>
      <w:r>
        <w:t xml:space="preserve"> Press.</w:t>
      </w:r>
      <w:bookmarkEnd w:id="57"/>
      <w:r>
        <w:t xml:space="preserve"> </w:t>
      </w:r>
      <w:hyperlink r:id="rId30" w:history="1">
        <w:r w:rsidR="00C01F75">
          <w:rPr>
            <w:rStyle w:val="Lienhypertexte"/>
          </w:rPr>
          <w:t>https://www.ipcc.ch/report/ar6/wg1/</w:t>
        </w:r>
      </w:hyperlink>
    </w:p>
    <w:p w14:paraId="27C458B4" w14:textId="77777777" w:rsidR="00C01F75" w:rsidRDefault="00000000" w:rsidP="0077027A">
      <w:pPr>
        <w:spacing w:after="160" w:line="300" w:lineRule="auto"/>
        <w:ind w:left="567" w:hanging="567"/>
        <w:jc w:val="both"/>
      </w:pPr>
      <w:bookmarkStart w:id="58" w:name="jenelius2015"/>
      <w:r>
        <w:t xml:space="preserve">Jenelius, E., &amp; Mattsson, L.-G. (2015). Road network </w:t>
      </w:r>
      <w:proofErr w:type="spellStart"/>
      <w:r>
        <w:t>vulnerability</w:t>
      </w:r>
      <w:proofErr w:type="spellEnd"/>
      <w:r>
        <w:t xml:space="preserve"> </w:t>
      </w:r>
      <w:proofErr w:type="spellStart"/>
      <w:proofErr w:type="gramStart"/>
      <w:r>
        <w:t>analysis</w:t>
      </w:r>
      <w:proofErr w:type="spellEnd"/>
      <w:r>
        <w:t>:</w:t>
      </w:r>
      <w:proofErr w:type="gramEnd"/>
      <w:r>
        <w:t xml:space="preserve"> </w:t>
      </w:r>
      <w:proofErr w:type="spellStart"/>
      <w:r>
        <w:t>Conceptualization</w:t>
      </w:r>
      <w:proofErr w:type="spellEnd"/>
      <w:r>
        <w:t xml:space="preserve">, </w:t>
      </w:r>
      <w:proofErr w:type="spellStart"/>
      <w:r>
        <w:t>implementation</w:t>
      </w:r>
      <w:proofErr w:type="spellEnd"/>
      <w:r>
        <w:t xml:space="preserve"> and application. </w:t>
      </w:r>
      <w:r>
        <w:rPr>
          <w:i/>
          <w:iCs/>
        </w:rPr>
        <w:t xml:space="preserve">Computers, </w:t>
      </w:r>
      <w:proofErr w:type="spellStart"/>
      <w:r>
        <w:rPr>
          <w:i/>
          <w:iCs/>
        </w:rPr>
        <w:t>Environment</w:t>
      </w:r>
      <w:proofErr w:type="spellEnd"/>
      <w:r>
        <w:rPr>
          <w:i/>
          <w:iCs/>
        </w:rPr>
        <w:t xml:space="preserve"> and Urban </w:t>
      </w:r>
      <w:proofErr w:type="spellStart"/>
      <w:r>
        <w:rPr>
          <w:i/>
          <w:iCs/>
        </w:rPr>
        <w:t>Systems</w:t>
      </w:r>
      <w:proofErr w:type="spellEnd"/>
      <w:r>
        <w:t>, 49, 136–147.</w:t>
      </w:r>
      <w:bookmarkEnd w:id="58"/>
      <w:r>
        <w:t xml:space="preserve"> </w:t>
      </w:r>
      <w:hyperlink r:id="rId31" w:history="1">
        <w:r w:rsidR="00C01F75">
          <w:rPr>
            <w:rStyle w:val="Lienhypertexte"/>
          </w:rPr>
          <w:t>https://doi.org/10.1016/j.compenvurbsys.2014.02.003</w:t>
        </w:r>
      </w:hyperlink>
    </w:p>
    <w:p w14:paraId="328BAF82" w14:textId="77777777" w:rsidR="00C01F75" w:rsidRDefault="00000000" w:rsidP="0077027A">
      <w:pPr>
        <w:spacing w:after="160" w:line="300" w:lineRule="auto"/>
        <w:ind w:left="567" w:hanging="567"/>
        <w:jc w:val="both"/>
      </w:pPr>
      <w:bookmarkStart w:id="59" w:name="koks2016"/>
      <w:r>
        <w:t xml:space="preserve">Koks, E. E., &amp; Thissen, M. (2016). A </w:t>
      </w:r>
      <w:proofErr w:type="spellStart"/>
      <w:r>
        <w:t>multiregional</w:t>
      </w:r>
      <w:proofErr w:type="spellEnd"/>
      <w:r>
        <w:t xml:space="preserve"> impact </w:t>
      </w:r>
      <w:proofErr w:type="spellStart"/>
      <w:r>
        <w:t>assessment</w:t>
      </w:r>
      <w:proofErr w:type="spellEnd"/>
      <w:r>
        <w:t xml:space="preserve"> model for </w:t>
      </w:r>
      <w:proofErr w:type="spellStart"/>
      <w:r>
        <w:t>disaster</w:t>
      </w:r>
      <w:proofErr w:type="spellEnd"/>
      <w:r>
        <w:t xml:space="preserve"> </w:t>
      </w:r>
      <w:proofErr w:type="spellStart"/>
      <w:r>
        <w:t>analysis</w:t>
      </w:r>
      <w:proofErr w:type="spellEnd"/>
      <w:r>
        <w:t xml:space="preserve">. </w:t>
      </w:r>
      <w:proofErr w:type="spellStart"/>
      <w:r>
        <w:rPr>
          <w:i/>
          <w:iCs/>
        </w:rPr>
        <w:t>Economic</w:t>
      </w:r>
      <w:proofErr w:type="spellEnd"/>
      <w:r>
        <w:rPr>
          <w:i/>
          <w:iCs/>
        </w:rPr>
        <w:t xml:space="preserve"> </w:t>
      </w:r>
      <w:proofErr w:type="spellStart"/>
      <w:r>
        <w:rPr>
          <w:i/>
          <w:iCs/>
        </w:rPr>
        <w:t>Systems</w:t>
      </w:r>
      <w:proofErr w:type="spellEnd"/>
      <w:r>
        <w:rPr>
          <w:i/>
          <w:iCs/>
        </w:rPr>
        <w:t xml:space="preserve"> </w:t>
      </w:r>
      <w:proofErr w:type="spellStart"/>
      <w:r>
        <w:rPr>
          <w:i/>
          <w:iCs/>
        </w:rPr>
        <w:t>Research</w:t>
      </w:r>
      <w:proofErr w:type="spellEnd"/>
      <w:r>
        <w:t>, 28(4), 429–449.</w:t>
      </w:r>
      <w:bookmarkEnd w:id="59"/>
      <w:r>
        <w:t xml:space="preserve"> </w:t>
      </w:r>
      <w:hyperlink r:id="rId32" w:history="1">
        <w:r w:rsidR="00C01F75">
          <w:rPr>
            <w:rStyle w:val="Lienhypertexte"/>
          </w:rPr>
          <w:t>https://doi.org/10.1080/09535314.2016.1232701</w:t>
        </w:r>
      </w:hyperlink>
    </w:p>
    <w:p w14:paraId="33D8D7F5" w14:textId="77777777" w:rsidR="00C01F75" w:rsidRDefault="00000000" w:rsidP="0077027A">
      <w:pPr>
        <w:spacing w:after="160" w:line="300" w:lineRule="auto"/>
        <w:ind w:left="567" w:hanging="567"/>
        <w:jc w:val="both"/>
      </w:pPr>
      <w:bookmarkStart w:id="60" w:name="koks2019"/>
      <w:r>
        <w:t>Koks, E. E., Rozenberg, J., Zorn, C., et al. (2019). A global multi-</w:t>
      </w:r>
      <w:proofErr w:type="spellStart"/>
      <w:r>
        <w:t>hazard</w:t>
      </w:r>
      <w:proofErr w:type="spellEnd"/>
      <w:r>
        <w:t xml:space="preserve"> </w:t>
      </w:r>
      <w:proofErr w:type="spellStart"/>
      <w:r>
        <w:t>risk</w:t>
      </w:r>
      <w:proofErr w:type="spellEnd"/>
      <w:r>
        <w:t xml:space="preserve"> </w:t>
      </w:r>
      <w:proofErr w:type="spellStart"/>
      <w:r>
        <w:t>analysis</w:t>
      </w:r>
      <w:proofErr w:type="spellEnd"/>
      <w:r>
        <w:t xml:space="preserve"> of road and railway infrastructure assets. </w:t>
      </w:r>
      <w:r>
        <w:rPr>
          <w:i/>
          <w:iCs/>
        </w:rPr>
        <w:t>Nature Communications</w:t>
      </w:r>
      <w:r>
        <w:t>, 10, 2677.</w:t>
      </w:r>
      <w:bookmarkEnd w:id="60"/>
      <w:r>
        <w:t xml:space="preserve"> </w:t>
      </w:r>
      <w:hyperlink r:id="rId33" w:history="1">
        <w:r w:rsidR="00C01F75">
          <w:rPr>
            <w:rStyle w:val="Lienhypertexte"/>
          </w:rPr>
          <w:t>https://doi.org/10.1038/s41467-019-10442-3</w:t>
        </w:r>
      </w:hyperlink>
    </w:p>
    <w:p w14:paraId="20E1A1A8" w14:textId="77777777" w:rsidR="00C01F75" w:rsidRDefault="00000000" w:rsidP="0077027A">
      <w:pPr>
        <w:spacing w:after="160" w:line="300" w:lineRule="auto"/>
        <w:ind w:left="567" w:hanging="567"/>
        <w:jc w:val="both"/>
      </w:pPr>
      <w:bookmarkStart w:id="61" w:name="leontief1936"/>
      <w:r>
        <w:t xml:space="preserve">Leontief, W. (1936). Quantitative input and output relations in the </w:t>
      </w:r>
      <w:proofErr w:type="spellStart"/>
      <w:r>
        <w:t>economic</w:t>
      </w:r>
      <w:proofErr w:type="spellEnd"/>
      <w:r>
        <w:t xml:space="preserve"> system of the United States. </w:t>
      </w:r>
      <w:proofErr w:type="spellStart"/>
      <w:r>
        <w:rPr>
          <w:i/>
          <w:iCs/>
        </w:rPr>
        <w:t>Review</w:t>
      </w:r>
      <w:proofErr w:type="spellEnd"/>
      <w:r>
        <w:rPr>
          <w:i/>
          <w:iCs/>
        </w:rPr>
        <w:t xml:space="preserve"> of </w:t>
      </w:r>
      <w:proofErr w:type="spellStart"/>
      <w:r>
        <w:rPr>
          <w:i/>
          <w:iCs/>
        </w:rPr>
        <w:t>Economics</w:t>
      </w:r>
      <w:proofErr w:type="spellEnd"/>
      <w:r>
        <w:rPr>
          <w:i/>
          <w:iCs/>
        </w:rPr>
        <w:t xml:space="preserve"> and </w:t>
      </w:r>
      <w:proofErr w:type="spellStart"/>
      <w:r>
        <w:rPr>
          <w:i/>
          <w:iCs/>
        </w:rPr>
        <w:t>Statistics</w:t>
      </w:r>
      <w:proofErr w:type="spellEnd"/>
      <w:r>
        <w:t>, 18(3), 105–125.</w:t>
      </w:r>
      <w:bookmarkEnd w:id="61"/>
      <w:r>
        <w:t xml:space="preserve"> </w:t>
      </w:r>
      <w:hyperlink r:id="rId34" w:history="1">
        <w:r w:rsidR="00C01F75">
          <w:rPr>
            <w:rStyle w:val="Lienhypertexte"/>
          </w:rPr>
          <w:t>https://doi.org/10.2307/1927837</w:t>
        </w:r>
      </w:hyperlink>
    </w:p>
    <w:p w14:paraId="0B0360BC" w14:textId="77777777" w:rsidR="00C01F75" w:rsidRDefault="00000000" w:rsidP="0077027A">
      <w:pPr>
        <w:spacing w:after="160" w:line="300" w:lineRule="auto"/>
        <w:ind w:left="567" w:hanging="567"/>
        <w:jc w:val="both"/>
      </w:pPr>
      <w:bookmarkStart w:id="62" w:name="liedtke2009"/>
      <w:r>
        <w:t>Liedtke, G. (2009). Principles of micro-</w:t>
      </w:r>
      <w:proofErr w:type="spellStart"/>
      <w:r>
        <w:t>behavior</w:t>
      </w:r>
      <w:proofErr w:type="spellEnd"/>
      <w:r>
        <w:t xml:space="preserve"> </w:t>
      </w:r>
      <w:proofErr w:type="spellStart"/>
      <w:r>
        <w:t>commodity</w:t>
      </w:r>
      <w:proofErr w:type="spellEnd"/>
      <w:r>
        <w:t xml:space="preserve"> transport modeling. </w:t>
      </w:r>
      <w:r>
        <w:rPr>
          <w:i/>
          <w:iCs/>
        </w:rPr>
        <w:t xml:space="preserve">Transportation </w:t>
      </w:r>
      <w:proofErr w:type="spellStart"/>
      <w:r>
        <w:rPr>
          <w:i/>
          <w:iCs/>
        </w:rPr>
        <w:t>Research</w:t>
      </w:r>
      <w:proofErr w:type="spellEnd"/>
      <w:r>
        <w:rPr>
          <w:i/>
          <w:iCs/>
        </w:rPr>
        <w:t xml:space="preserve"> Part </w:t>
      </w:r>
      <w:proofErr w:type="gramStart"/>
      <w:r>
        <w:rPr>
          <w:i/>
          <w:iCs/>
        </w:rPr>
        <w:t>E:</w:t>
      </w:r>
      <w:proofErr w:type="gramEnd"/>
      <w:r>
        <w:rPr>
          <w:i/>
          <w:iCs/>
        </w:rPr>
        <w:t xml:space="preserve"> </w:t>
      </w:r>
      <w:proofErr w:type="spellStart"/>
      <w:r>
        <w:rPr>
          <w:i/>
          <w:iCs/>
        </w:rPr>
        <w:t>Logistics</w:t>
      </w:r>
      <w:proofErr w:type="spellEnd"/>
      <w:r>
        <w:rPr>
          <w:i/>
          <w:iCs/>
        </w:rPr>
        <w:t xml:space="preserve"> and Transportation </w:t>
      </w:r>
      <w:proofErr w:type="spellStart"/>
      <w:r>
        <w:rPr>
          <w:i/>
          <w:iCs/>
        </w:rPr>
        <w:t>Review</w:t>
      </w:r>
      <w:proofErr w:type="spellEnd"/>
      <w:r>
        <w:t>, 45(5), 795–809.</w:t>
      </w:r>
      <w:bookmarkEnd w:id="62"/>
      <w:r>
        <w:t xml:space="preserve"> </w:t>
      </w:r>
      <w:hyperlink r:id="rId35" w:history="1">
        <w:r w:rsidR="00C01F75">
          <w:rPr>
            <w:rStyle w:val="Lienhypertexte"/>
          </w:rPr>
          <w:t>https://doi.org/10.1016/j.tre.2008.07.002</w:t>
        </w:r>
      </w:hyperlink>
    </w:p>
    <w:p w14:paraId="46D23641" w14:textId="0CE46429" w:rsidR="007A5E61" w:rsidRDefault="007A5E61" w:rsidP="0077027A">
      <w:pPr>
        <w:spacing w:after="160" w:line="300" w:lineRule="auto"/>
        <w:ind w:left="567" w:hanging="567"/>
        <w:jc w:val="both"/>
      </w:pPr>
      <w:bookmarkStart w:id="63" w:name="lucas1977"/>
      <w:r>
        <w:t xml:space="preserve">Lucas, R. E. (1977), « </w:t>
      </w:r>
      <w:proofErr w:type="spellStart"/>
      <w:r>
        <w:t>Understanding</w:t>
      </w:r>
      <w:proofErr w:type="spellEnd"/>
      <w:r>
        <w:t xml:space="preserve"> Business Cycles », </w:t>
      </w:r>
      <w:r>
        <w:rPr>
          <w:rStyle w:val="Accentuation"/>
        </w:rPr>
        <w:t xml:space="preserve">Carnegie-Rochester </w:t>
      </w:r>
      <w:proofErr w:type="spellStart"/>
      <w:r>
        <w:rPr>
          <w:rStyle w:val="Accentuation"/>
        </w:rPr>
        <w:t>Conference</w:t>
      </w:r>
      <w:proofErr w:type="spellEnd"/>
      <w:r>
        <w:rPr>
          <w:rStyle w:val="Accentuation"/>
        </w:rPr>
        <w:t xml:space="preserve"> </w:t>
      </w:r>
      <w:proofErr w:type="spellStart"/>
      <w:r>
        <w:rPr>
          <w:rStyle w:val="Accentuation"/>
        </w:rPr>
        <w:t>Series</w:t>
      </w:r>
      <w:proofErr w:type="spellEnd"/>
      <w:r>
        <w:rPr>
          <w:rStyle w:val="Accentuation"/>
        </w:rPr>
        <w:t xml:space="preserve"> on Public Policy</w:t>
      </w:r>
      <w:r>
        <w:t xml:space="preserve">, vol. 5, p. 7–29. </w:t>
      </w:r>
      <w:hyperlink r:id="rId36" w:history="1">
        <w:r w:rsidRPr="007A5E61">
          <w:rPr>
            <w:rStyle w:val="Lienhypertexte"/>
          </w:rPr>
          <w:t>https://doi.org/10.1016/0167-2231(77)90002-1</w:t>
        </w:r>
      </w:hyperlink>
    </w:p>
    <w:p w14:paraId="1BA2B057" w14:textId="77777777" w:rsidR="00C01F75" w:rsidRDefault="00000000" w:rsidP="0077027A">
      <w:pPr>
        <w:spacing w:after="160" w:line="300" w:lineRule="auto"/>
        <w:ind w:left="567" w:hanging="567"/>
        <w:jc w:val="both"/>
      </w:pPr>
      <w:bookmarkStart w:id="64" w:name="maoh2008"/>
      <w:bookmarkEnd w:id="63"/>
      <w:proofErr w:type="spellStart"/>
      <w:r>
        <w:t>Maoh</w:t>
      </w:r>
      <w:proofErr w:type="spellEnd"/>
      <w:r>
        <w:t xml:space="preserve">, H., </w:t>
      </w:r>
      <w:proofErr w:type="spellStart"/>
      <w:r>
        <w:t>Kanaroglou</w:t>
      </w:r>
      <w:proofErr w:type="spellEnd"/>
      <w:r>
        <w:t xml:space="preserve">, P., &amp; </w:t>
      </w:r>
      <w:proofErr w:type="spellStart"/>
      <w:r>
        <w:t>Woudsma</w:t>
      </w:r>
      <w:proofErr w:type="spellEnd"/>
      <w:r>
        <w:t xml:space="preserve">, C. (2008). Simulation model for </w:t>
      </w:r>
      <w:proofErr w:type="spellStart"/>
      <w:r>
        <w:t>assessing</w:t>
      </w:r>
      <w:proofErr w:type="spellEnd"/>
      <w:r>
        <w:t xml:space="preserve"> the impact of </w:t>
      </w:r>
      <w:proofErr w:type="spellStart"/>
      <w:r>
        <w:t>climate</w:t>
      </w:r>
      <w:proofErr w:type="spellEnd"/>
      <w:r>
        <w:t xml:space="preserve"> change on transportation and the </w:t>
      </w:r>
      <w:proofErr w:type="spellStart"/>
      <w:r>
        <w:t>economy</w:t>
      </w:r>
      <w:proofErr w:type="spellEnd"/>
      <w:r>
        <w:t xml:space="preserve"> in Canada. </w:t>
      </w:r>
      <w:r>
        <w:rPr>
          <w:i/>
          <w:iCs/>
        </w:rPr>
        <w:t xml:space="preserve">Transportation </w:t>
      </w:r>
      <w:proofErr w:type="spellStart"/>
      <w:r>
        <w:rPr>
          <w:i/>
          <w:iCs/>
        </w:rPr>
        <w:t>Research</w:t>
      </w:r>
      <w:proofErr w:type="spellEnd"/>
      <w:r>
        <w:rPr>
          <w:i/>
          <w:iCs/>
        </w:rPr>
        <w:t xml:space="preserve"> Record</w:t>
      </w:r>
      <w:r>
        <w:t>, 2067, 84–92.</w:t>
      </w:r>
      <w:bookmarkEnd w:id="64"/>
      <w:r>
        <w:t xml:space="preserve"> </w:t>
      </w:r>
      <w:hyperlink r:id="rId37" w:history="1">
        <w:r w:rsidR="00C01F75">
          <w:rPr>
            <w:rStyle w:val="Lienhypertexte"/>
          </w:rPr>
          <w:t>https://doi.org/10.3141/2067-10</w:t>
        </w:r>
      </w:hyperlink>
    </w:p>
    <w:p w14:paraId="4B53BB3E" w14:textId="77777777" w:rsidR="00C01F75" w:rsidRDefault="00000000" w:rsidP="0077027A">
      <w:pPr>
        <w:spacing w:after="160" w:line="300" w:lineRule="auto"/>
        <w:ind w:left="567" w:hanging="567"/>
        <w:jc w:val="both"/>
      </w:pPr>
      <w:bookmarkStart w:id="65" w:name="mcfadden1974"/>
      <w:r>
        <w:t xml:space="preserve">McFadden, D. (1974). </w:t>
      </w:r>
      <w:proofErr w:type="spellStart"/>
      <w:r>
        <w:t>Conditional</w:t>
      </w:r>
      <w:proofErr w:type="spellEnd"/>
      <w:r>
        <w:t xml:space="preserve"> </w:t>
      </w:r>
      <w:proofErr w:type="spellStart"/>
      <w:r>
        <w:t>logit</w:t>
      </w:r>
      <w:proofErr w:type="spellEnd"/>
      <w:r>
        <w:t xml:space="preserve"> </w:t>
      </w:r>
      <w:proofErr w:type="spellStart"/>
      <w:r>
        <w:t>analysis</w:t>
      </w:r>
      <w:proofErr w:type="spellEnd"/>
      <w:r>
        <w:t xml:space="preserve"> of qualitative </w:t>
      </w:r>
      <w:proofErr w:type="spellStart"/>
      <w:r>
        <w:t>choice</w:t>
      </w:r>
      <w:proofErr w:type="spellEnd"/>
      <w:r>
        <w:t xml:space="preserve"> </w:t>
      </w:r>
      <w:proofErr w:type="spellStart"/>
      <w:r>
        <w:t>behavior</w:t>
      </w:r>
      <w:proofErr w:type="spellEnd"/>
      <w:r>
        <w:t>. In P. Zarembka (</w:t>
      </w:r>
      <w:proofErr w:type="spellStart"/>
      <w:r>
        <w:t>dir</w:t>
      </w:r>
      <w:proofErr w:type="spellEnd"/>
      <w:r>
        <w:t xml:space="preserve">.), </w:t>
      </w:r>
      <w:proofErr w:type="spellStart"/>
      <w:r>
        <w:rPr>
          <w:i/>
          <w:iCs/>
        </w:rPr>
        <w:t>Frontiers</w:t>
      </w:r>
      <w:proofErr w:type="spellEnd"/>
      <w:r>
        <w:rPr>
          <w:i/>
          <w:iCs/>
        </w:rPr>
        <w:t xml:space="preserve"> in </w:t>
      </w:r>
      <w:proofErr w:type="spellStart"/>
      <w:r>
        <w:rPr>
          <w:i/>
          <w:iCs/>
        </w:rPr>
        <w:t>Econometrics</w:t>
      </w:r>
      <w:proofErr w:type="spellEnd"/>
      <w:r>
        <w:t xml:space="preserve"> (p. 105–142). Academic Press.</w:t>
      </w:r>
      <w:bookmarkEnd w:id="65"/>
    </w:p>
    <w:p w14:paraId="664317DB" w14:textId="77777777" w:rsidR="00C01F75" w:rsidRDefault="00000000" w:rsidP="0077027A">
      <w:pPr>
        <w:spacing w:after="160" w:line="300" w:lineRule="auto"/>
        <w:ind w:left="567" w:hanging="567"/>
        <w:jc w:val="both"/>
      </w:pPr>
      <w:bookmarkStart w:id="66" w:name="miller2009"/>
      <w:r>
        <w:t xml:space="preserve">Miller, R. E., &amp; Blair, P. D. (2009). </w:t>
      </w:r>
      <w:r>
        <w:rPr>
          <w:i/>
          <w:iCs/>
        </w:rPr>
        <w:t xml:space="preserve">Input-Output </w:t>
      </w:r>
      <w:proofErr w:type="spellStart"/>
      <w:proofErr w:type="gramStart"/>
      <w:r>
        <w:rPr>
          <w:i/>
          <w:iCs/>
        </w:rPr>
        <w:t>Analysis</w:t>
      </w:r>
      <w:proofErr w:type="spellEnd"/>
      <w:r>
        <w:rPr>
          <w:i/>
          <w:iCs/>
        </w:rPr>
        <w:t>:</w:t>
      </w:r>
      <w:proofErr w:type="gramEnd"/>
      <w:r>
        <w:rPr>
          <w:i/>
          <w:iCs/>
        </w:rPr>
        <w:t xml:space="preserve"> </w:t>
      </w:r>
      <w:proofErr w:type="spellStart"/>
      <w:r>
        <w:rPr>
          <w:i/>
          <w:iCs/>
        </w:rPr>
        <w:t>Foundations</w:t>
      </w:r>
      <w:proofErr w:type="spellEnd"/>
      <w:r>
        <w:rPr>
          <w:i/>
          <w:iCs/>
        </w:rPr>
        <w:t xml:space="preserve"> and Extensions</w:t>
      </w:r>
      <w:r>
        <w:t xml:space="preserve"> (2e éd.). Cambridge </w:t>
      </w:r>
      <w:proofErr w:type="spellStart"/>
      <w:r>
        <w:t>University</w:t>
      </w:r>
      <w:proofErr w:type="spellEnd"/>
      <w:r>
        <w:t xml:space="preserve"> Press.</w:t>
      </w:r>
      <w:bookmarkEnd w:id="66"/>
    </w:p>
    <w:p w14:paraId="36F720B3" w14:textId="77777777" w:rsidR="00C01F75" w:rsidRDefault="00000000" w:rsidP="0077027A">
      <w:pPr>
        <w:spacing w:after="160" w:line="300" w:lineRule="auto"/>
        <w:ind w:left="567" w:hanging="567"/>
        <w:jc w:val="both"/>
      </w:pPr>
      <w:bookmarkStart w:id="67" w:name="noy2009"/>
      <w:r>
        <w:t xml:space="preserve">Noy, I. (2009). The </w:t>
      </w:r>
      <w:proofErr w:type="spellStart"/>
      <w:r>
        <w:t>macroeconomic</w:t>
      </w:r>
      <w:proofErr w:type="spellEnd"/>
      <w:r>
        <w:t xml:space="preserve"> </w:t>
      </w:r>
      <w:proofErr w:type="spellStart"/>
      <w:r>
        <w:t>consequences</w:t>
      </w:r>
      <w:proofErr w:type="spellEnd"/>
      <w:r>
        <w:t xml:space="preserve"> of </w:t>
      </w:r>
      <w:proofErr w:type="spellStart"/>
      <w:r>
        <w:t>disasters</w:t>
      </w:r>
      <w:proofErr w:type="spellEnd"/>
      <w:r>
        <w:t xml:space="preserve">. </w:t>
      </w:r>
      <w:r>
        <w:rPr>
          <w:i/>
          <w:iCs/>
        </w:rPr>
        <w:t xml:space="preserve">Journal of </w:t>
      </w:r>
      <w:proofErr w:type="spellStart"/>
      <w:r>
        <w:rPr>
          <w:i/>
          <w:iCs/>
        </w:rPr>
        <w:t>Development</w:t>
      </w:r>
      <w:proofErr w:type="spellEnd"/>
      <w:r>
        <w:rPr>
          <w:i/>
          <w:iCs/>
        </w:rPr>
        <w:t xml:space="preserve"> </w:t>
      </w:r>
      <w:proofErr w:type="spellStart"/>
      <w:r>
        <w:rPr>
          <w:i/>
          <w:iCs/>
        </w:rPr>
        <w:t>Economics</w:t>
      </w:r>
      <w:proofErr w:type="spellEnd"/>
      <w:r>
        <w:t>, 88(2), 221–231.</w:t>
      </w:r>
      <w:bookmarkEnd w:id="67"/>
      <w:r>
        <w:t xml:space="preserve"> </w:t>
      </w:r>
      <w:hyperlink r:id="rId38" w:history="1">
        <w:r w:rsidR="00C01F75">
          <w:rPr>
            <w:rStyle w:val="Lienhypertexte"/>
          </w:rPr>
          <w:t>https://doi.org/10.1016/j.jdeveco.2008.02.005</w:t>
        </w:r>
      </w:hyperlink>
    </w:p>
    <w:p w14:paraId="41AE3B55" w14:textId="77777777" w:rsidR="00C01F75" w:rsidRDefault="00000000" w:rsidP="0077027A">
      <w:pPr>
        <w:spacing w:after="160" w:line="300" w:lineRule="auto"/>
        <w:ind w:left="567" w:hanging="567"/>
        <w:jc w:val="both"/>
      </w:pPr>
      <w:bookmarkStart w:id="68" w:name="okuyama2007"/>
      <w:r>
        <w:t xml:space="preserve">Okuyama, Y. (2007). </w:t>
      </w:r>
      <w:proofErr w:type="spellStart"/>
      <w:r>
        <w:t>Economic</w:t>
      </w:r>
      <w:proofErr w:type="spellEnd"/>
      <w:r>
        <w:t xml:space="preserve"> modeling for </w:t>
      </w:r>
      <w:proofErr w:type="spellStart"/>
      <w:r>
        <w:t>disaster</w:t>
      </w:r>
      <w:proofErr w:type="spellEnd"/>
      <w:r>
        <w:t xml:space="preserve"> impact </w:t>
      </w:r>
      <w:proofErr w:type="spellStart"/>
      <w:proofErr w:type="gramStart"/>
      <w:r>
        <w:t>analysis</w:t>
      </w:r>
      <w:proofErr w:type="spellEnd"/>
      <w:r>
        <w:t>:</w:t>
      </w:r>
      <w:proofErr w:type="gramEnd"/>
      <w:r>
        <w:t xml:space="preserve"> Past, </w:t>
      </w:r>
      <w:proofErr w:type="spellStart"/>
      <w:r>
        <w:t>present</w:t>
      </w:r>
      <w:proofErr w:type="spellEnd"/>
      <w:r>
        <w:t xml:space="preserve">, and future. </w:t>
      </w:r>
      <w:proofErr w:type="spellStart"/>
      <w:r>
        <w:rPr>
          <w:i/>
          <w:iCs/>
        </w:rPr>
        <w:t>Economic</w:t>
      </w:r>
      <w:proofErr w:type="spellEnd"/>
      <w:r>
        <w:rPr>
          <w:i/>
          <w:iCs/>
        </w:rPr>
        <w:t xml:space="preserve"> </w:t>
      </w:r>
      <w:proofErr w:type="spellStart"/>
      <w:r>
        <w:rPr>
          <w:i/>
          <w:iCs/>
        </w:rPr>
        <w:t>Systems</w:t>
      </w:r>
      <w:proofErr w:type="spellEnd"/>
      <w:r>
        <w:rPr>
          <w:i/>
          <w:iCs/>
        </w:rPr>
        <w:t xml:space="preserve"> </w:t>
      </w:r>
      <w:proofErr w:type="spellStart"/>
      <w:r>
        <w:rPr>
          <w:i/>
          <w:iCs/>
        </w:rPr>
        <w:t>Research</w:t>
      </w:r>
      <w:proofErr w:type="spellEnd"/>
      <w:r>
        <w:t>, 19(2), 115–124.</w:t>
      </w:r>
      <w:bookmarkEnd w:id="68"/>
      <w:r>
        <w:t xml:space="preserve"> </w:t>
      </w:r>
      <w:hyperlink r:id="rId39" w:history="1">
        <w:r w:rsidR="00C01F75">
          <w:rPr>
            <w:rStyle w:val="Lienhypertexte"/>
          </w:rPr>
          <w:t>https://doi.org/10.1080/09535310701328435</w:t>
        </w:r>
      </w:hyperlink>
    </w:p>
    <w:p w14:paraId="54271095" w14:textId="77777777" w:rsidR="00C01F75" w:rsidRDefault="00000000" w:rsidP="0077027A">
      <w:pPr>
        <w:spacing w:after="160" w:line="300" w:lineRule="auto"/>
        <w:ind w:left="567" w:hanging="567"/>
        <w:jc w:val="both"/>
      </w:pPr>
      <w:bookmarkStart w:id="69" w:name="okuyama2014"/>
      <w:r>
        <w:lastRenderedPageBreak/>
        <w:t xml:space="preserve">Okuyama, Y., &amp; Santos, J. R. (2014). </w:t>
      </w:r>
      <w:proofErr w:type="spellStart"/>
      <w:r>
        <w:t>Disaster</w:t>
      </w:r>
      <w:proofErr w:type="spellEnd"/>
      <w:r>
        <w:t xml:space="preserve"> impact and input-output </w:t>
      </w:r>
      <w:proofErr w:type="spellStart"/>
      <w:r>
        <w:t>analysis</w:t>
      </w:r>
      <w:proofErr w:type="spellEnd"/>
      <w:r>
        <w:t xml:space="preserve">. </w:t>
      </w:r>
      <w:proofErr w:type="spellStart"/>
      <w:r>
        <w:rPr>
          <w:i/>
          <w:iCs/>
        </w:rPr>
        <w:t>Economic</w:t>
      </w:r>
      <w:proofErr w:type="spellEnd"/>
      <w:r>
        <w:rPr>
          <w:i/>
          <w:iCs/>
        </w:rPr>
        <w:t xml:space="preserve"> </w:t>
      </w:r>
      <w:proofErr w:type="spellStart"/>
      <w:r>
        <w:rPr>
          <w:i/>
          <w:iCs/>
        </w:rPr>
        <w:t>Systems</w:t>
      </w:r>
      <w:proofErr w:type="spellEnd"/>
      <w:r>
        <w:rPr>
          <w:i/>
          <w:iCs/>
        </w:rPr>
        <w:t xml:space="preserve"> </w:t>
      </w:r>
      <w:proofErr w:type="spellStart"/>
      <w:r>
        <w:rPr>
          <w:i/>
          <w:iCs/>
        </w:rPr>
        <w:t>Research</w:t>
      </w:r>
      <w:proofErr w:type="spellEnd"/>
      <w:r>
        <w:t>, 26(1), 1–12.</w:t>
      </w:r>
      <w:bookmarkEnd w:id="69"/>
      <w:r>
        <w:t xml:space="preserve"> </w:t>
      </w:r>
      <w:hyperlink r:id="rId40" w:history="1">
        <w:r w:rsidR="00C01F75">
          <w:rPr>
            <w:rStyle w:val="Lienhypertexte"/>
          </w:rPr>
          <w:t>https://doi.org/10.1080/09535314.2013.871505</w:t>
        </w:r>
      </w:hyperlink>
    </w:p>
    <w:p w14:paraId="79B402C3" w14:textId="77777777" w:rsidR="00C01F75" w:rsidRDefault="00000000" w:rsidP="0077027A">
      <w:pPr>
        <w:spacing w:after="160" w:line="300" w:lineRule="auto"/>
        <w:ind w:left="567" w:hanging="567"/>
        <w:jc w:val="both"/>
      </w:pPr>
      <w:bookmarkStart w:id="70" w:name="ortuzar2011"/>
      <w:proofErr w:type="spellStart"/>
      <w:r>
        <w:t>Ortúzar</w:t>
      </w:r>
      <w:proofErr w:type="spellEnd"/>
      <w:r>
        <w:t xml:space="preserve">, J. de D., &amp; Willumsen, L. G. (2011). </w:t>
      </w:r>
      <w:proofErr w:type="spellStart"/>
      <w:r>
        <w:rPr>
          <w:i/>
          <w:iCs/>
        </w:rPr>
        <w:t>Modelling</w:t>
      </w:r>
      <w:proofErr w:type="spellEnd"/>
      <w:r>
        <w:rPr>
          <w:i/>
          <w:iCs/>
        </w:rPr>
        <w:t xml:space="preserve"> Transport</w:t>
      </w:r>
      <w:r>
        <w:t xml:space="preserve"> (4e éd.). Wiley.</w:t>
      </w:r>
      <w:bookmarkEnd w:id="70"/>
    </w:p>
    <w:p w14:paraId="09DADC7E" w14:textId="77777777" w:rsidR="00C01F75" w:rsidRDefault="00000000" w:rsidP="0077027A">
      <w:pPr>
        <w:spacing w:after="160" w:line="300" w:lineRule="auto"/>
        <w:ind w:left="567" w:hanging="567"/>
        <w:jc w:val="both"/>
      </w:pPr>
      <w:bookmarkStart w:id="71" w:name="otto2017"/>
      <w:r>
        <w:t xml:space="preserve">Otto, C., Willner, S. N., Wenz, L., Frieler, K., &amp; Levermann, A. (2017). Modeling </w:t>
      </w:r>
      <w:proofErr w:type="spellStart"/>
      <w:r>
        <w:t>loss</w:t>
      </w:r>
      <w:proofErr w:type="spellEnd"/>
      <w:r>
        <w:t xml:space="preserve">-propagation in the global </w:t>
      </w:r>
      <w:proofErr w:type="spellStart"/>
      <w:r>
        <w:t>supply</w:t>
      </w:r>
      <w:proofErr w:type="spellEnd"/>
      <w:r>
        <w:t xml:space="preserve"> </w:t>
      </w:r>
      <w:proofErr w:type="gramStart"/>
      <w:r>
        <w:t>network:</w:t>
      </w:r>
      <w:proofErr w:type="gramEnd"/>
      <w:r>
        <w:t xml:space="preserve"> The </w:t>
      </w:r>
      <w:proofErr w:type="spellStart"/>
      <w:r>
        <w:t>dynamic</w:t>
      </w:r>
      <w:proofErr w:type="spellEnd"/>
      <w:r>
        <w:t xml:space="preserve"> agent-</w:t>
      </w:r>
      <w:proofErr w:type="spellStart"/>
      <w:r>
        <w:t>based</w:t>
      </w:r>
      <w:proofErr w:type="spellEnd"/>
      <w:r>
        <w:t xml:space="preserve"> model acclimate. </w:t>
      </w:r>
      <w:r>
        <w:rPr>
          <w:i/>
          <w:iCs/>
        </w:rPr>
        <w:t xml:space="preserve">Journal of </w:t>
      </w:r>
      <w:proofErr w:type="spellStart"/>
      <w:r>
        <w:rPr>
          <w:i/>
          <w:iCs/>
        </w:rPr>
        <w:t>Economic</w:t>
      </w:r>
      <w:proofErr w:type="spellEnd"/>
      <w:r>
        <w:rPr>
          <w:i/>
          <w:iCs/>
        </w:rPr>
        <w:t xml:space="preserve"> Dynamics and Control</w:t>
      </w:r>
      <w:r>
        <w:t>, 83, 232–269.</w:t>
      </w:r>
      <w:bookmarkEnd w:id="71"/>
      <w:r>
        <w:t xml:space="preserve"> </w:t>
      </w:r>
      <w:hyperlink r:id="rId41" w:history="1">
        <w:r w:rsidR="00C01F75">
          <w:rPr>
            <w:rStyle w:val="Lienhypertexte"/>
          </w:rPr>
          <w:t>https://doi.org/10.1016/j.jedc.2017.08.001</w:t>
        </w:r>
      </w:hyperlink>
    </w:p>
    <w:p w14:paraId="2C498599" w14:textId="77777777" w:rsidR="00C01F75" w:rsidRDefault="00000000" w:rsidP="0077027A">
      <w:pPr>
        <w:spacing w:after="160" w:line="300" w:lineRule="auto"/>
        <w:ind w:left="567" w:hanging="567"/>
        <w:jc w:val="both"/>
      </w:pPr>
      <w:bookmarkStart w:id="72" w:name="pichler2022"/>
      <w:r>
        <w:t xml:space="preserve">Pichler, A., Pangallo, M., </w:t>
      </w:r>
      <w:proofErr w:type="spellStart"/>
      <w:r>
        <w:t>del</w:t>
      </w:r>
      <w:proofErr w:type="spellEnd"/>
      <w:r>
        <w:t xml:space="preserve"> Rio-</w:t>
      </w:r>
      <w:proofErr w:type="spellStart"/>
      <w:r>
        <w:t>Chanona</w:t>
      </w:r>
      <w:proofErr w:type="spellEnd"/>
      <w:r>
        <w:t xml:space="preserve">, R. M., Lafond, F., &amp; Farmer, J. D. (2022). </w:t>
      </w:r>
      <w:proofErr w:type="spellStart"/>
      <w:r>
        <w:t>Forecasting</w:t>
      </w:r>
      <w:proofErr w:type="spellEnd"/>
      <w:r>
        <w:t xml:space="preserve"> the propagation of </w:t>
      </w:r>
      <w:proofErr w:type="spellStart"/>
      <w:r>
        <w:t>pandemic</w:t>
      </w:r>
      <w:proofErr w:type="spellEnd"/>
      <w:r>
        <w:t xml:space="preserve"> </w:t>
      </w:r>
      <w:proofErr w:type="spellStart"/>
      <w:r>
        <w:t>shocks</w:t>
      </w:r>
      <w:proofErr w:type="spellEnd"/>
      <w:r>
        <w:t xml:space="preserve"> </w:t>
      </w:r>
      <w:proofErr w:type="spellStart"/>
      <w:r>
        <w:t>with</w:t>
      </w:r>
      <w:proofErr w:type="spellEnd"/>
      <w:r>
        <w:t xml:space="preserve"> a </w:t>
      </w:r>
      <w:proofErr w:type="spellStart"/>
      <w:r>
        <w:t>dynamic</w:t>
      </w:r>
      <w:proofErr w:type="spellEnd"/>
      <w:r>
        <w:t xml:space="preserve"> input-output model. </w:t>
      </w:r>
      <w:r>
        <w:rPr>
          <w:i/>
          <w:iCs/>
        </w:rPr>
        <w:t xml:space="preserve">Journal of </w:t>
      </w:r>
      <w:proofErr w:type="spellStart"/>
      <w:r>
        <w:rPr>
          <w:i/>
          <w:iCs/>
        </w:rPr>
        <w:t>Economic</w:t>
      </w:r>
      <w:proofErr w:type="spellEnd"/>
      <w:r>
        <w:rPr>
          <w:i/>
          <w:iCs/>
        </w:rPr>
        <w:t xml:space="preserve"> Dynamics and Control</w:t>
      </w:r>
      <w:r>
        <w:t>, 144, 104527.</w:t>
      </w:r>
      <w:bookmarkEnd w:id="72"/>
      <w:r>
        <w:t xml:space="preserve"> </w:t>
      </w:r>
      <w:hyperlink r:id="rId42" w:history="1">
        <w:r w:rsidR="00C01F75">
          <w:rPr>
            <w:rStyle w:val="Lienhypertexte"/>
          </w:rPr>
          <w:t>https://doi.org/10.1016/j.jedc.2022.104527</w:t>
        </w:r>
      </w:hyperlink>
    </w:p>
    <w:p w14:paraId="2E7C105D" w14:textId="4E576553" w:rsidR="007360B5" w:rsidRDefault="007360B5" w:rsidP="0077027A">
      <w:pPr>
        <w:spacing w:after="160" w:line="300" w:lineRule="auto"/>
        <w:ind w:left="567" w:hanging="567"/>
        <w:jc w:val="both"/>
      </w:pPr>
      <w:bookmarkStart w:id="73" w:name="poledna2018"/>
      <w:proofErr w:type="spellStart"/>
      <w:r w:rsidRPr="007360B5">
        <w:t>Poledna</w:t>
      </w:r>
      <w:proofErr w:type="spellEnd"/>
      <w:r w:rsidRPr="007360B5">
        <w:t xml:space="preserve">, S., </w:t>
      </w:r>
      <w:proofErr w:type="spellStart"/>
      <w:r w:rsidRPr="007360B5">
        <w:t>Hochrainer</w:t>
      </w:r>
      <w:proofErr w:type="spellEnd"/>
      <w:r w:rsidRPr="007360B5">
        <w:t xml:space="preserve">-Stigler, S., Miess, M. G., Klimek, P., Schmelzer, S., Sorger, J., </w:t>
      </w:r>
      <w:proofErr w:type="spellStart"/>
      <w:r w:rsidRPr="007360B5">
        <w:t>Shchekinova</w:t>
      </w:r>
      <w:proofErr w:type="spellEnd"/>
      <w:r w:rsidRPr="007360B5">
        <w:t xml:space="preserve">, E., </w:t>
      </w:r>
      <w:proofErr w:type="spellStart"/>
      <w:r w:rsidRPr="007360B5">
        <w:t>Rovenskaya</w:t>
      </w:r>
      <w:proofErr w:type="spellEnd"/>
      <w:r w:rsidRPr="007360B5">
        <w:t xml:space="preserve">, E., </w:t>
      </w:r>
      <w:proofErr w:type="spellStart"/>
      <w:r w:rsidRPr="007360B5">
        <w:t>Linnerooth</w:t>
      </w:r>
      <w:proofErr w:type="spellEnd"/>
      <w:r w:rsidRPr="007360B5">
        <w:t xml:space="preserve">-Bayer, J., Dieckmann, U., &amp; Thurner, S. (2018). </w:t>
      </w:r>
      <w:proofErr w:type="spellStart"/>
      <w:r w:rsidRPr="007360B5">
        <w:rPr>
          <w:i/>
          <w:iCs/>
        </w:rPr>
        <w:t>When</w:t>
      </w:r>
      <w:proofErr w:type="spellEnd"/>
      <w:r w:rsidRPr="007360B5">
        <w:rPr>
          <w:i/>
          <w:iCs/>
        </w:rPr>
        <w:t xml:space="preserve"> </w:t>
      </w:r>
      <w:proofErr w:type="spellStart"/>
      <w:r w:rsidRPr="007360B5">
        <w:rPr>
          <w:i/>
          <w:iCs/>
        </w:rPr>
        <w:t>does</w:t>
      </w:r>
      <w:proofErr w:type="spellEnd"/>
      <w:r w:rsidRPr="007360B5">
        <w:rPr>
          <w:i/>
          <w:iCs/>
        </w:rPr>
        <w:t xml:space="preserve"> a </w:t>
      </w:r>
      <w:proofErr w:type="spellStart"/>
      <w:r w:rsidRPr="007360B5">
        <w:rPr>
          <w:i/>
          <w:iCs/>
        </w:rPr>
        <w:t>disaster</w:t>
      </w:r>
      <w:proofErr w:type="spellEnd"/>
      <w:r w:rsidRPr="007360B5">
        <w:rPr>
          <w:i/>
          <w:iCs/>
        </w:rPr>
        <w:t xml:space="preserve"> </w:t>
      </w:r>
      <w:proofErr w:type="spellStart"/>
      <w:r w:rsidRPr="007360B5">
        <w:rPr>
          <w:i/>
          <w:iCs/>
        </w:rPr>
        <w:t>become</w:t>
      </w:r>
      <w:proofErr w:type="spellEnd"/>
      <w:r w:rsidRPr="007360B5">
        <w:rPr>
          <w:i/>
          <w:iCs/>
        </w:rPr>
        <w:t xml:space="preserve"> a </w:t>
      </w:r>
      <w:proofErr w:type="spellStart"/>
      <w:r w:rsidRPr="007360B5">
        <w:rPr>
          <w:i/>
          <w:iCs/>
        </w:rPr>
        <w:t>systemic</w:t>
      </w:r>
      <w:proofErr w:type="spellEnd"/>
      <w:r w:rsidRPr="007360B5">
        <w:rPr>
          <w:i/>
          <w:iCs/>
        </w:rPr>
        <w:t xml:space="preserve"> </w:t>
      </w:r>
      <w:proofErr w:type="spellStart"/>
      <w:proofErr w:type="gramStart"/>
      <w:r w:rsidRPr="007360B5">
        <w:rPr>
          <w:i/>
          <w:iCs/>
        </w:rPr>
        <w:t>event</w:t>
      </w:r>
      <w:proofErr w:type="spellEnd"/>
      <w:r w:rsidRPr="007360B5">
        <w:rPr>
          <w:i/>
          <w:iCs/>
        </w:rPr>
        <w:t>?</w:t>
      </w:r>
      <w:proofErr w:type="gramEnd"/>
      <w:r w:rsidRPr="007360B5">
        <w:rPr>
          <w:i/>
          <w:iCs/>
        </w:rPr>
        <w:t xml:space="preserve"> </w:t>
      </w:r>
      <w:proofErr w:type="spellStart"/>
      <w:r w:rsidRPr="007360B5">
        <w:rPr>
          <w:i/>
          <w:iCs/>
        </w:rPr>
        <w:t>Estimating</w:t>
      </w:r>
      <w:proofErr w:type="spellEnd"/>
      <w:r w:rsidRPr="007360B5">
        <w:rPr>
          <w:i/>
          <w:iCs/>
        </w:rPr>
        <w:t xml:space="preserve"> indirect </w:t>
      </w:r>
      <w:proofErr w:type="spellStart"/>
      <w:r w:rsidRPr="007360B5">
        <w:rPr>
          <w:i/>
          <w:iCs/>
        </w:rPr>
        <w:t>economic</w:t>
      </w:r>
      <w:proofErr w:type="spellEnd"/>
      <w:r w:rsidRPr="007360B5">
        <w:rPr>
          <w:i/>
          <w:iCs/>
        </w:rPr>
        <w:t xml:space="preserve"> </w:t>
      </w:r>
      <w:proofErr w:type="spellStart"/>
      <w:r w:rsidRPr="007360B5">
        <w:rPr>
          <w:i/>
          <w:iCs/>
        </w:rPr>
        <w:t>losses</w:t>
      </w:r>
      <w:proofErr w:type="spellEnd"/>
      <w:r w:rsidRPr="007360B5">
        <w:rPr>
          <w:i/>
          <w:iCs/>
        </w:rPr>
        <w:t xml:space="preserve"> </w:t>
      </w:r>
      <w:proofErr w:type="spellStart"/>
      <w:r w:rsidRPr="007360B5">
        <w:rPr>
          <w:i/>
          <w:iCs/>
        </w:rPr>
        <w:t>from</w:t>
      </w:r>
      <w:proofErr w:type="spellEnd"/>
      <w:r w:rsidRPr="007360B5">
        <w:rPr>
          <w:i/>
          <w:iCs/>
        </w:rPr>
        <w:t xml:space="preserve"> </w:t>
      </w:r>
      <w:proofErr w:type="spellStart"/>
      <w:r w:rsidRPr="007360B5">
        <w:rPr>
          <w:i/>
          <w:iCs/>
        </w:rPr>
        <w:t>natural</w:t>
      </w:r>
      <w:proofErr w:type="spellEnd"/>
      <w:r w:rsidRPr="007360B5">
        <w:rPr>
          <w:i/>
          <w:iCs/>
        </w:rPr>
        <w:t xml:space="preserve"> </w:t>
      </w:r>
      <w:proofErr w:type="spellStart"/>
      <w:r w:rsidRPr="007360B5">
        <w:rPr>
          <w:i/>
          <w:iCs/>
        </w:rPr>
        <w:t>disasters</w:t>
      </w:r>
      <w:proofErr w:type="spellEnd"/>
      <w:r w:rsidRPr="007360B5">
        <w:t xml:space="preserve"> [</w:t>
      </w:r>
      <w:proofErr w:type="spellStart"/>
      <w:r w:rsidRPr="007360B5">
        <w:t>Preprint</w:t>
      </w:r>
      <w:proofErr w:type="spellEnd"/>
      <w:r w:rsidRPr="007360B5">
        <w:t xml:space="preserve">]. </w:t>
      </w:r>
      <w:hyperlink r:id="rId43" w:history="1">
        <w:r w:rsidRPr="007360B5">
          <w:rPr>
            <w:color w:val="0000FF"/>
            <w:u w:val="single"/>
          </w:rPr>
          <w:t>https://doi.org/10.48550/arXiv.1801.09740</w:t>
        </w:r>
      </w:hyperlink>
    </w:p>
    <w:p w14:paraId="1B96FE6C" w14:textId="77777777" w:rsidR="00C01F75" w:rsidRDefault="00000000" w:rsidP="0077027A">
      <w:pPr>
        <w:spacing w:after="160" w:line="300" w:lineRule="auto"/>
        <w:ind w:left="567" w:hanging="567"/>
        <w:jc w:val="both"/>
      </w:pPr>
      <w:bookmarkStart w:id="74" w:name="rose2007"/>
      <w:bookmarkEnd w:id="73"/>
      <w:r>
        <w:t xml:space="preserve">Rose, A. (2007). </w:t>
      </w:r>
      <w:proofErr w:type="spellStart"/>
      <w:r>
        <w:t>Economic</w:t>
      </w:r>
      <w:proofErr w:type="spellEnd"/>
      <w:r>
        <w:t xml:space="preserve"> </w:t>
      </w:r>
      <w:proofErr w:type="spellStart"/>
      <w:r>
        <w:t>resilience</w:t>
      </w:r>
      <w:proofErr w:type="spellEnd"/>
      <w:r>
        <w:t xml:space="preserve"> to </w:t>
      </w:r>
      <w:proofErr w:type="spellStart"/>
      <w:r>
        <w:t>natural</w:t>
      </w:r>
      <w:proofErr w:type="spellEnd"/>
      <w:r>
        <w:t xml:space="preserve"> and man-made </w:t>
      </w:r>
      <w:proofErr w:type="spellStart"/>
      <w:proofErr w:type="gramStart"/>
      <w:r>
        <w:t>disasters</w:t>
      </w:r>
      <w:proofErr w:type="spellEnd"/>
      <w:r>
        <w:t>:</w:t>
      </w:r>
      <w:proofErr w:type="gramEnd"/>
      <w:r>
        <w:t xml:space="preserve"> </w:t>
      </w:r>
      <w:proofErr w:type="spellStart"/>
      <w:r>
        <w:t>Multidisciplinary</w:t>
      </w:r>
      <w:proofErr w:type="spellEnd"/>
      <w:r>
        <w:t xml:space="preserve"> </w:t>
      </w:r>
      <w:proofErr w:type="spellStart"/>
      <w:r>
        <w:t>origins</w:t>
      </w:r>
      <w:proofErr w:type="spellEnd"/>
      <w:r>
        <w:t xml:space="preserve"> and </w:t>
      </w:r>
      <w:proofErr w:type="spellStart"/>
      <w:r>
        <w:t>contextual</w:t>
      </w:r>
      <w:proofErr w:type="spellEnd"/>
      <w:r>
        <w:t xml:space="preserve"> dimensions. </w:t>
      </w:r>
      <w:proofErr w:type="spellStart"/>
      <w:r>
        <w:rPr>
          <w:i/>
          <w:iCs/>
        </w:rPr>
        <w:t>Environmental</w:t>
      </w:r>
      <w:proofErr w:type="spellEnd"/>
      <w:r>
        <w:rPr>
          <w:i/>
          <w:iCs/>
        </w:rPr>
        <w:t xml:space="preserve"> </w:t>
      </w:r>
      <w:proofErr w:type="spellStart"/>
      <w:r>
        <w:rPr>
          <w:i/>
          <w:iCs/>
        </w:rPr>
        <w:t>Hazards</w:t>
      </w:r>
      <w:proofErr w:type="spellEnd"/>
      <w:r>
        <w:t>, 7(4), 383–398.</w:t>
      </w:r>
      <w:bookmarkEnd w:id="74"/>
      <w:r>
        <w:t xml:space="preserve"> </w:t>
      </w:r>
      <w:hyperlink r:id="rId44" w:history="1">
        <w:r w:rsidR="00C01F75">
          <w:rPr>
            <w:rStyle w:val="Lienhypertexte"/>
          </w:rPr>
          <w:t>https://doi.org/10.1016/j</w:t>
        </w:r>
        <w:r w:rsidR="00C01F75">
          <w:rPr>
            <w:rStyle w:val="Lienhypertexte"/>
          </w:rPr>
          <w:t>.</w:t>
        </w:r>
        <w:r w:rsidR="00C01F75">
          <w:rPr>
            <w:rStyle w:val="Lienhypertexte"/>
          </w:rPr>
          <w:t>envhaz.2007.10.001</w:t>
        </w:r>
      </w:hyperlink>
    </w:p>
    <w:p w14:paraId="0AAB45C9" w14:textId="77777777" w:rsidR="00C01F75" w:rsidRDefault="00000000" w:rsidP="0077027A">
      <w:pPr>
        <w:spacing w:after="160" w:line="300" w:lineRule="auto"/>
        <w:ind w:left="567" w:hanging="567"/>
        <w:jc w:val="both"/>
      </w:pPr>
      <w:bookmarkStart w:id="75" w:name="rose2005"/>
      <w:r>
        <w:t xml:space="preserve">Rose, A., &amp; Liao, S.-Y. (2005). Modeling </w:t>
      </w:r>
      <w:proofErr w:type="spellStart"/>
      <w:r>
        <w:t>regional</w:t>
      </w:r>
      <w:proofErr w:type="spellEnd"/>
      <w:r>
        <w:t xml:space="preserve"> </w:t>
      </w:r>
      <w:proofErr w:type="spellStart"/>
      <w:r>
        <w:t>economic</w:t>
      </w:r>
      <w:proofErr w:type="spellEnd"/>
      <w:r>
        <w:t xml:space="preserve"> </w:t>
      </w:r>
      <w:proofErr w:type="spellStart"/>
      <w:r>
        <w:t>resilience</w:t>
      </w:r>
      <w:proofErr w:type="spellEnd"/>
      <w:r>
        <w:t xml:space="preserve"> to </w:t>
      </w:r>
      <w:proofErr w:type="spellStart"/>
      <w:proofErr w:type="gramStart"/>
      <w:r>
        <w:t>disasters</w:t>
      </w:r>
      <w:proofErr w:type="spellEnd"/>
      <w:r>
        <w:t>:</w:t>
      </w:r>
      <w:proofErr w:type="gramEnd"/>
      <w:r>
        <w:t xml:space="preserve"> A computable </w:t>
      </w:r>
      <w:proofErr w:type="spellStart"/>
      <w:r>
        <w:t>general</w:t>
      </w:r>
      <w:proofErr w:type="spellEnd"/>
      <w:r>
        <w:t xml:space="preserve"> </w:t>
      </w:r>
      <w:proofErr w:type="spellStart"/>
      <w:r>
        <w:t>equilibrium</w:t>
      </w:r>
      <w:proofErr w:type="spellEnd"/>
      <w:r>
        <w:t xml:space="preserve"> </w:t>
      </w:r>
      <w:proofErr w:type="spellStart"/>
      <w:r>
        <w:t>analysis</w:t>
      </w:r>
      <w:proofErr w:type="spellEnd"/>
      <w:r>
        <w:t xml:space="preserve"> of water service disruptions. </w:t>
      </w:r>
      <w:r>
        <w:rPr>
          <w:i/>
          <w:iCs/>
        </w:rPr>
        <w:t>Journal of Regional Science</w:t>
      </w:r>
      <w:r>
        <w:t>, 45(1), 75–112.</w:t>
      </w:r>
      <w:bookmarkEnd w:id="75"/>
      <w:r>
        <w:t xml:space="preserve"> </w:t>
      </w:r>
      <w:hyperlink r:id="rId45" w:history="1">
        <w:r w:rsidR="00C01F75">
          <w:rPr>
            <w:rStyle w:val="Lienhypertexte"/>
          </w:rPr>
          <w:t>https://doi.org/10.1111/j.0022-4146.2005.00365.x</w:t>
        </w:r>
      </w:hyperlink>
    </w:p>
    <w:p w14:paraId="67A0ED9C" w14:textId="77777777" w:rsidR="00C01F75" w:rsidRDefault="00000000" w:rsidP="0077027A">
      <w:pPr>
        <w:spacing w:after="160" w:line="300" w:lineRule="auto"/>
        <w:ind w:left="567" w:hanging="567"/>
        <w:jc w:val="both"/>
      </w:pPr>
      <w:bookmarkStart w:id="76" w:name="rozenberg2019"/>
      <w:r>
        <w:t xml:space="preserve">Rozenberg, J., &amp; </w:t>
      </w:r>
      <w:proofErr w:type="spellStart"/>
      <w:r>
        <w:t>Fay</w:t>
      </w:r>
      <w:proofErr w:type="spellEnd"/>
      <w:r>
        <w:t xml:space="preserve">, M. (2019). </w:t>
      </w:r>
      <w:r>
        <w:rPr>
          <w:i/>
          <w:iCs/>
        </w:rPr>
        <w:t xml:space="preserve">Beyond the </w:t>
      </w:r>
      <w:proofErr w:type="gramStart"/>
      <w:r>
        <w:rPr>
          <w:i/>
          <w:iCs/>
        </w:rPr>
        <w:t>Gap:</w:t>
      </w:r>
      <w:proofErr w:type="gramEnd"/>
      <w:r>
        <w:rPr>
          <w:i/>
          <w:iCs/>
        </w:rPr>
        <w:t xml:space="preserve"> How Countries Can </w:t>
      </w:r>
      <w:proofErr w:type="spellStart"/>
      <w:r>
        <w:rPr>
          <w:i/>
          <w:iCs/>
        </w:rPr>
        <w:t>Afford</w:t>
      </w:r>
      <w:proofErr w:type="spellEnd"/>
      <w:r>
        <w:rPr>
          <w:i/>
          <w:iCs/>
        </w:rPr>
        <w:t xml:space="preserve"> the Infrastructure They Need </w:t>
      </w:r>
      <w:proofErr w:type="spellStart"/>
      <w:r>
        <w:rPr>
          <w:i/>
          <w:iCs/>
        </w:rPr>
        <w:t>while</w:t>
      </w:r>
      <w:proofErr w:type="spellEnd"/>
      <w:r>
        <w:rPr>
          <w:i/>
          <w:iCs/>
        </w:rPr>
        <w:t xml:space="preserve"> </w:t>
      </w:r>
      <w:proofErr w:type="spellStart"/>
      <w:r>
        <w:rPr>
          <w:i/>
          <w:iCs/>
        </w:rPr>
        <w:t>Protecting</w:t>
      </w:r>
      <w:proofErr w:type="spellEnd"/>
      <w:r>
        <w:rPr>
          <w:i/>
          <w:iCs/>
        </w:rPr>
        <w:t xml:space="preserve"> the Planet</w:t>
      </w:r>
      <w:r>
        <w:t>. Banque mondiale.</w:t>
      </w:r>
      <w:bookmarkEnd w:id="76"/>
      <w:r>
        <w:t xml:space="preserve"> </w:t>
      </w:r>
      <w:hyperlink r:id="rId46" w:history="1">
        <w:r w:rsidR="00C01F75">
          <w:rPr>
            <w:rStyle w:val="Lienhypertexte"/>
          </w:rPr>
          <w:t>https://openknowledge.worldbank.org/handle/10986/31291</w:t>
        </w:r>
      </w:hyperlink>
    </w:p>
    <w:p w14:paraId="23C85F5A" w14:textId="77777777" w:rsidR="00C01F75" w:rsidRDefault="00000000" w:rsidP="0077027A">
      <w:pPr>
        <w:spacing w:after="160" w:line="300" w:lineRule="auto"/>
        <w:ind w:left="567" w:hanging="567"/>
        <w:jc w:val="both"/>
      </w:pPr>
      <w:bookmarkStart w:id="77" w:name="santos2004"/>
      <w:r>
        <w:t xml:space="preserve">Santos, J. R., &amp; Haimes, Y. Y. (2004). Modeling the </w:t>
      </w:r>
      <w:proofErr w:type="spellStart"/>
      <w:r>
        <w:t>demand</w:t>
      </w:r>
      <w:proofErr w:type="spellEnd"/>
      <w:r>
        <w:t xml:space="preserve"> </w:t>
      </w:r>
      <w:proofErr w:type="spellStart"/>
      <w:r>
        <w:t>reduction</w:t>
      </w:r>
      <w:proofErr w:type="spellEnd"/>
      <w:r>
        <w:t xml:space="preserve"> input-output (I-O) </w:t>
      </w:r>
      <w:proofErr w:type="spellStart"/>
      <w:r>
        <w:t>inoperability</w:t>
      </w:r>
      <w:proofErr w:type="spellEnd"/>
      <w:r>
        <w:t xml:space="preserve"> due to </w:t>
      </w:r>
      <w:proofErr w:type="spellStart"/>
      <w:r>
        <w:t>terrorism</w:t>
      </w:r>
      <w:proofErr w:type="spellEnd"/>
      <w:r>
        <w:t xml:space="preserve"> of </w:t>
      </w:r>
      <w:proofErr w:type="spellStart"/>
      <w:r>
        <w:t>interconnected</w:t>
      </w:r>
      <w:proofErr w:type="spellEnd"/>
      <w:r>
        <w:t xml:space="preserve"> infrastructures. </w:t>
      </w:r>
      <w:r>
        <w:rPr>
          <w:i/>
          <w:iCs/>
        </w:rPr>
        <w:t>Risk Analysis</w:t>
      </w:r>
      <w:r>
        <w:t>, 24(6), 1437–1451.</w:t>
      </w:r>
      <w:bookmarkEnd w:id="77"/>
      <w:r>
        <w:t xml:space="preserve"> </w:t>
      </w:r>
      <w:hyperlink r:id="rId47" w:history="1">
        <w:r w:rsidR="00C01F75">
          <w:rPr>
            <w:rStyle w:val="Lienhypertexte"/>
          </w:rPr>
          <w:t>https://doi.org/10.1111/j.0272-4332.2004.00540.x</w:t>
        </w:r>
      </w:hyperlink>
    </w:p>
    <w:p w14:paraId="58FEC5D4" w14:textId="77777777" w:rsidR="00C01F75" w:rsidRDefault="00000000" w:rsidP="0077027A">
      <w:pPr>
        <w:spacing w:after="160" w:line="300" w:lineRule="auto"/>
        <w:ind w:left="567" w:hanging="567"/>
        <w:jc w:val="both"/>
      </w:pPr>
      <w:bookmarkStart w:id="78" w:name="tavasszy2014"/>
      <w:proofErr w:type="spellStart"/>
      <w:r>
        <w:t>Tavasszy</w:t>
      </w:r>
      <w:proofErr w:type="spellEnd"/>
      <w:r>
        <w:t xml:space="preserve">, L. A., &amp; de Jong, G. (2014). </w:t>
      </w:r>
      <w:proofErr w:type="spellStart"/>
      <w:r>
        <w:rPr>
          <w:i/>
          <w:iCs/>
        </w:rPr>
        <w:t>Modelling</w:t>
      </w:r>
      <w:proofErr w:type="spellEnd"/>
      <w:r>
        <w:rPr>
          <w:i/>
          <w:iCs/>
        </w:rPr>
        <w:t xml:space="preserve"> </w:t>
      </w:r>
      <w:proofErr w:type="spellStart"/>
      <w:r>
        <w:rPr>
          <w:i/>
          <w:iCs/>
        </w:rPr>
        <w:t>Freight</w:t>
      </w:r>
      <w:proofErr w:type="spellEnd"/>
      <w:r>
        <w:rPr>
          <w:i/>
          <w:iCs/>
        </w:rPr>
        <w:t xml:space="preserve"> Transport</w:t>
      </w:r>
      <w:r>
        <w:t>. Elsevier.</w:t>
      </w:r>
      <w:bookmarkEnd w:id="78"/>
    </w:p>
    <w:p w14:paraId="40F83074" w14:textId="77777777" w:rsidR="00C01F75" w:rsidRDefault="00000000" w:rsidP="0077027A">
      <w:pPr>
        <w:spacing w:after="160" w:line="300" w:lineRule="auto"/>
        <w:ind w:left="567" w:hanging="567"/>
        <w:jc w:val="both"/>
      </w:pPr>
      <w:bookmarkStart w:id="79" w:name="tavasszy2012"/>
      <w:proofErr w:type="spellStart"/>
      <w:r>
        <w:t>Tavasszy</w:t>
      </w:r>
      <w:proofErr w:type="spellEnd"/>
      <w:r>
        <w:t xml:space="preserve">, L. A., </w:t>
      </w:r>
      <w:proofErr w:type="spellStart"/>
      <w:r>
        <w:t>Ruijgrok</w:t>
      </w:r>
      <w:proofErr w:type="spellEnd"/>
      <w:r>
        <w:t xml:space="preserve">, K., &amp; Davydenko, I. (2012). </w:t>
      </w:r>
      <w:proofErr w:type="spellStart"/>
      <w:r>
        <w:t>Incorporating</w:t>
      </w:r>
      <w:proofErr w:type="spellEnd"/>
      <w:r>
        <w:t xml:space="preserve"> </w:t>
      </w:r>
      <w:proofErr w:type="spellStart"/>
      <w:r>
        <w:t>logistics</w:t>
      </w:r>
      <w:proofErr w:type="spellEnd"/>
      <w:r>
        <w:t xml:space="preserve"> in </w:t>
      </w:r>
      <w:proofErr w:type="spellStart"/>
      <w:r>
        <w:t>freight</w:t>
      </w:r>
      <w:proofErr w:type="spellEnd"/>
      <w:r>
        <w:t xml:space="preserve"> transport </w:t>
      </w:r>
      <w:proofErr w:type="spellStart"/>
      <w:r>
        <w:t>demand</w:t>
      </w:r>
      <w:proofErr w:type="spellEnd"/>
      <w:r>
        <w:t xml:space="preserve"> </w:t>
      </w:r>
      <w:proofErr w:type="spellStart"/>
      <w:proofErr w:type="gramStart"/>
      <w:r>
        <w:t>models</w:t>
      </w:r>
      <w:proofErr w:type="spellEnd"/>
      <w:r>
        <w:t>:</w:t>
      </w:r>
      <w:proofErr w:type="gramEnd"/>
      <w:r>
        <w:t xml:space="preserve"> State-of-the-art and </w:t>
      </w:r>
      <w:proofErr w:type="spellStart"/>
      <w:r>
        <w:t>research</w:t>
      </w:r>
      <w:proofErr w:type="spellEnd"/>
      <w:r>
        <w:t xml:space="preserve"> </w:t>
      </w:r>
      <w:proofErr w:type="spellStart"/>
      <w:r>
        <w:t>opportunities</w:t>
      </w:r>
      <w:proofErr w:type="spellEnd"/>
      <w:r>
        <w:t xml:space="preserve">. </w:t>
      </w:r>
      <w:r>
        <w:rPr>
          <w:i/>
          <w:iCs/>
        </w:rPr>
        <w:t xml:space="preserve">Transport </w:t>
      </w:r>
      <w:proofErr w:type="spellStart"/>
      <w:r>
        <w:rPr>
          <w:i/>
          <w:iCs/>
        </w:rPr>
        <w:t>Reviews</w:t>
      </w:r>
      <w:proofErr w:type="spellEnd"/>
      <w:r>
        <w:t>, 32(2), 203–219.</w:t>
      </w:r>
      <w:bookmarkEnd w:id="79"/>
      <w:r>
        <w:t xml:space="preserve"> </w:t>
      </w:r>
      <w:hyperlink r:id="rId48" w:history="1">
        <w:r w:rsidR="00C01F75">
          <w:rPr>
            <w:rStyle w:val="Lienhypertexte"/>
          </w:rPr>
          <w:t>https://doi.org/10.1080/01441647.2011.644640</w:t>
        </w:r>
      </w:hyperlink>
    </w:p>
    <w:p w14:paraId="0C67B533" w14:textId="77777777" w:rsidR="00C01F75" w:rsidRDefault="00000000" w:rsidP="0077027A">
      <w:pPr>
        <w:spacing w:after="160" w:line="300" w:lineRule="auto"/>
        <w:ind w:left="567" w:hanging="567"/>
        <w:jc w:val="both"/>
      </w:pPr>
      <w:bookmarkStart w:id="80" w:name="tsuchiya2007"/>
      <w:r>
        <w:t xml:space="preserve">Tsuchiya, S., </w:t>
      </w:r>
      <w:proofErr w:type="spellStart"/>
      <w:r>
        <w:t>Tatano</w:t>
      </w:r>
      <w:proofErr w:type="spellEnd"/>
      <w:r>
        <w:t xml:space="preserve">, H., &amp; Okada, N. (2007). </w:t>
      </w:r>
      <w:proofErr w:type="spellStart"/>
      <w:r>
        <w:t>Economic</w:t>
      </w:r>
      <w:proofErr w:type="spellEnd"/>
      <w:r>
        <w:t xml:space="preserve"> </w:t>
      </w:r>
      <w:proofErr w:type="spellStart"/>
      <w:r>
        <w:t>loss</w:t>
      </w:r>
      <w:proofErr w:type="spellEnd"/>
      <w:r>
        <w:t xml:space="preserve"> </w:t>
      </w:r>
      <w:proofErr w:type="spellStart"/>
      <w:r>
        <w:t>assessment</w:t>
      </w:r>
      <w:proofErr w:type="spellEnd"/>
      <w:r>
        <w:t xml:space="preserve"> due to </w:t>
      </w:r>
      <w:proofErr w:type="spellStart"/>
      <w:r>
        <w:t>railroad</w:t>
      </w:r>
      <w:proofErr w:type="spellEnd"/>
      <w:r>
        <w:t xml:space="preserve"> and highway disruptions. </w:t>
      </w:r>
      <w:proofErr w:type="spellStart"/>
      <w:r>
        <w:rPr>
          <w:i/>
          <w:iCs/>
        </w:rPr>
        <w:t>Economic</w:t>
      </w:r>
      <w:proofErr w:type="spellEnd"/>
      <w:r>
        <w:rPr>
          <w:i/>
          <w:iCs/>
        </w:rPr>
        <w:t xml:space="preserve"> </w:t>
      </w:r>
      <w:proofErr w:type="spellStart"/>
      <w:r>
        <w:rPr>
          <w:i/>
          <w:iCs/>
        </w:rPr>
        <w:t>Systems</w:t>
      </w:r>
      <w:proofErr w:type="spellEnd"/>
      <w:r>
        <w:rPr>
          <w:i/>
          <w:iCs/>
        </w:rPr>
        <w:t xml:space="preserve"> </w:t>
      </w:r>
      <w:proofErr w:type="spellStart"/>
      <w:r>
        <w:rPr>
          <w:i/>
          <w:iCs/>
        </w:rPr>
        <w:t>Research</w:t>
      </w:r>
      <w:proofErr w:type="spellEnd"/>
      <w:r>
        <w:t>, 19(2), 147–162.</w:t>
      </w:r>
      <w:bookmarkEnd w:id="80"/>
      <w:r>
        <w:t xml:space="preserve"> </w:t>
      </w:r>
      <w:hyperlink r:id="rId49" w:history="1">
        <w:r w:rsidR="00C01F75">
          <w:rPr>
            <w:rStyle w:val="Lienhypertexte"/>
          </w:rPr>
          <w:t>https://doi.org/10.1080/09535310701328567</w:t>
        </w:r>
      </w:hyperlink>
    </w:p>
    <w:p w14:paraId="019F1DF4" w14:textId="77777777" w:rsidR="00C01F75" w:rsidRDefault="00000000" w:rsidP="0077027A">
      <w:pPr>
        <w:spacing w:after="160" w:line="300" w:lineRule="auto"/>
        <w:ind w:left="567" w:hanging="567"/>
        <w:jc w:val="both"/>
      </w:pPr>
      <w:bookmarkStart w:id="81" w:name="wardrop1952"/>
      <w:r>
        <w:lastRenderedPageBreak/>
        <w:t xml:space="preserve">Wardrop, J. G. (1952). Some </w:t>
      </w:r>
      <w:proofErr w:type="spellStart"/>
      <w:r>
        <w:t>theoretical</w:t>
      </w:r>
      <w:proofErr w:type="spellEnd"/>
      <w:r>
        <w:t xml:space="preserve"> aspects of road </w:t>
      </w:r>
      <w:proofErr w:type="spellStart"/>
      <w:r>
        <w:t>traffic</w:t>
      </w:r>
      <w:proofErr w:type="spellEnd"/>
      <w:r>
        <w:t xml:space="preserve"> </w:t>
      </w:r>
      <w:proofErr w:type="spellStart"/>
      <w:r>
        <w:t>research</w:t>
      </w:r>
      <w:proofErr w:type="spellEnd"/>
      <w:r>
        <w:t xml:space="preserve">. </w:t>
      </w:r>
      <w:proofErr w:type="spellStart"/>
      <w:r>
        <w:rPr>
          <w:i/>
          <w:iCs/>
        </w:rPr>
        <w:t>Proceedings</w:t>
      </w:r>
      <w:proofErr w:type="spellEnd"/>
      <w:r>
        <w:rPr>
          <w:i/>
          <w:iCs/>
        </w:rPr>
        <w:t xml:space="preserve"> of the Institution of Civil </w:t>
      </w:r>
      <w:proofErr w:type="spellStart"/>
      <w:r>
        <w:rPr>
          <w:i/>
          <w:iCs/>
        </w:rPr>
        <w:t>Engineers</w:t>
      </w:r>
      <w:proofErr w:type="spellEnd"/>
      <w:r>
        <w:t>, 1(3), 325–362.</w:t>
      </w:r>
      <w:bookmarkEnd w:id="81"/>
      <w:r>
        <w:t xml:space="preserve"> </w:t>
      </w:r>
      <w:hyperlink r:id="rId50" w:history="1">
        <w:r w:rsidR="00C01F75">
          <w:rPr>
            <w:rStyle w:val="Lienhypertexte"/>
          </w:rPr>
          <w:t>https://doi.org/10.1680/ipeds.1952.11259</w:t>
        </w:r>
      </w:hyperlink>
    </w:p>
    <w:p w14:paraId="504CC480" w14:textId="77777777" w:rsidR="00C01F75" w:rsidRDefault="00000000" w:rsidP="0077027A">
      <w:pPr>
        <w:spacing w:after="160" w:line="300" w:lineRule="auto"/>
        <w:ind w:left="567" w:hanging="567"/>
        <w:jc w:val="both"/>
      </w:pPr>
      <w:bookmarkStart w:id="82" w:name="wilson1967"/>
      <w:r>
        <w:t xml:space="preserve">Wilson, A. G. (1967). A </w:t>
      </w:r>
      <w:proofErr w:type="spellStart"/>
      <w:r>
        <w:t>statistical</w:t>
      </w:r>
      <w:proofErr w:type="spellEnd"/>
      <w:r>
        <w:t xml:space="preserve"> </w:t>
      </w:r>
      <w:proofErr w:type="spellStart"/>
      <w:r>
        <w:t>theory</w:t>
      </w:r>
      <w:proofErr w:type="spellEnd"/>
      <w:r>
        <w:t xml:space="preserve"> of spatial distribution </w:t>
      </w:r>
      <w:proofErr w:type="spellStart"/>
      <w:r>
        <w:t>models</w:t>
      </w:r>
      <w:proofErr w:type="spellEnd"/>
      <w:r>
        <w:t xml:space="preserve">. </w:t>
      </w:r>
      <w:r>
        <w:rPr>
          <w:i/>
          <w:iCs/>
        </w:rPr>
        <w:t xml:space="preserve">Transportation </w:t>
      </w:r>
      <w:proofErr w:type="spellStart"/>
      <w:r>
        <w:rPr>
          <w:i/>
          <w:iCs/>
        </w:rPr>
        <w:t>Research</w:t>
      </w:r>
      <w:proofErr w:type="spellEnd"/>
      <w:r>
        <w:t>, 1(3), 253–269.</w:t>
      </w:r>
      <w:bookmarkEnd w:id="82"/>
      <w:r>
        <w:t xml:space="preserve"> </w:t>
      </w:r>
      <w:hyperlink r:id="rId51" w:history="1">
        <w:r w:rsidR="00C01F75">
          <w:rPr>
            <w:rStyle w:val="Lienhypertexte"/>
          </w:rPr>
          <w:t>https://doi.org/10.1016/0041-1647(67)90035-4</w:t>
        </w:r>
      </w:hyperlink>
    </w:p>
    <w:p w14:paraId="2C1B3872" w14:textId="77777777" w:rsidR="00C01F75" w:rsidRDefault="00000000" w:rsidP="0077027A">
      <w:pPr>
        <w:spacing w:after="160" w:line="300" w:lineRule="auto"/>
        <w:ind w:left="567" w:hanging="567"/>
        <w:jc w:val="both"/>
      </w:pPr>
      <w:r>
        <w:t>[Référence à compléter] Document de travail AFD présentant le modèle ESTEEM (application au Brésil).</w:t>
      </w:r>
    </w:p>
    <w:p w14:paraId="05EFF91D" w14:textId="344BCED7" w:rsidR="0077027A" w:rsidRDefault="0077027A" w:rsidP="0077027A">
      <w:pPr>
        <w:pStyle w:val="Titre1"/>
      </w:pPr>
      <w:bookmarkStart w:id="83" w:name="_Toc233908880"/>
      <w:r>
        <w:t>Annexes</w:t>
      </w:r>
      <w:bookmarkEnd w:id="83"/>
    </w:p>
    <w:sectPr w:rsidR="0077027A">
      <w:footerReference w:type="even" r:id="rId52"/>
      <w:footerReference w:type="default" r:id="rId5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D75CA86" w14:textId="77777777" w:rsidR="00420BFA" w:rsidRDefault="00420BFA" w:rsidP="004E7D56">
      <w:r>
        <w:separator/>
      </w:r>
    </w:p>
  </w:endnote>
  <w:endnote w:type="continuationSeparator" w:id="0">
    <w:p w14:paraId="362B79F2" w14:textId="77777777" w:rsidR="00420BFA" w:rsidRDefault="00420BFA" w:rsidP="004E7D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rodepage"/>
      </w:rPr>
      <w:id w:val="626049699"/>
      <w:docPartObj>
        <w:docPartGallery w:val="Page Numbers (Bottom of Page)"/>
        <w:docPartUnique/>
      </w:docPartObj>
    </w:sdtPr>
    <w:sdtContent>
      <w:p w14:paraId="3F73998D" w14:textId="50817D15" w:rsidR="004E7D56" w:rsidRDefault="004E7D56" w:rsidP="006C20A1">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rPr>
          <w:fldChar w:fldCharType="end"/>
        </w:r>
      </w:p>
    </w:sdtContent>
  </w:sdt>
  <w:p w14:paraId="11D6E7EC" w14:textId="77777777" w:rsidR="004E7D56" w:rsidRDefault="004E7D56" w:rsidP="004E7D56">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rodepage"/>
      </w:rPr>
      <w:id w:val="-1517691139"/>
      <w:docPartObj>
        <w:docPartGallery w:val="Page Numbers (Bottom of Page)"/>
        <w:docPartUnique/>
      </w:docPartObj>
    </w:sdtPr>
    <w:sdtContent>
      <w:p w14:paraId="2A89DD24" w14:textId="74B9C918" w:rsidR="004E7D56" w:rsidRDefault="004E7D56" w:rsidP="006C20A1">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14:paraId="20F8998F" w14:textId="77777777" w:rsidR="004E7D56" w:rsidRDefault="004E7D56" w:rsidP="004E7D56">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8462984" w14:textId="77777777" w:rsidR="00420BFA" w:rsidRDefault="00420BFA" w:rsidP="004E7D56">
      <w:r>
        <w:separator/>
      </w:r>
    </w:p>
  </w:footnote>
  <w:footnote w:type="continuationSeparator" w:id="0">
    <w:p w14:paraId="4B3C457C" w14:textId="77777777" w:rsidR="00420BFA" w:rsidRDefault="00420BFA" w:rsidP="004E7D56">
      <w:r>
        <w:continuationSeparator/>
      </w:r>
    </w:p>
  </w:footnote>
  <w:footnote w:id="1">
    <w:p w14:paraId="7A379B74" w14:textId="77777777" w:rsidR="0077027A" w:rsidRDefault="0077027A" w:rsidP="0077027A">
      <w:pPr>
        <w:jc w:val="both"/>
      </w:pPr>
      <w:r>
        <w:rPr>
          <w:rStyle w:val="Appelnotedebasdep"/>
        </w:rPr>
        <w:footnoteRef/>
      </w:r>
      <w:r>
        <w:t xml:space="preserve"> </w:t>
      </w:r>
      <w:r w:rsidRPr="0077027A">
        <w:rPr>
          <w:sz w:val="16"/>
          <w:szCs w:val="16"/>
        </w:rPr>
        <w:t xml:space="preserve">Il semble également important de préciser dès l’introduction que le projet a été réalisé avec l’appui des différents modèles de LLM de l’entreprise </w:t>
      </w:r>
      <w:proofErr w:type="spellStart"/>
      <w:r w:rsidRPr="0077027A">
        <w:rPr>
          <w:sz w:val="16"/>
          <w:szCs w:val="16"/>
        </w:rPr>
        <w:t>Anthropic</w:t>
      </w:r>
      <w:proofErr w:type="spellEnd"/>
      <w:r w:rsidRPr="0077027A">
        <w:rPr>
          <w:sz w:val="16"/>
          <w:szCs w:val="16"/>
        </w:rPr>
        <w:t xml:space="preserve">. Un abonnement payant à </w:t>
      </w:r>
      <w:proofErr w:type="spellStart"/>
      <w:r w:rsidRPr="0077027A">
        <w:rPr>
          <w:sz w:val="16"/>
          <w:szCs w:val="16"/>
        </w:rPr>
        <w:t>Claude.code</w:t>
      </w:r>
      <w:proofErr w:type="spellEnd"/>
      <w:r w:rsidRPr="0077027A">
        <w:rPr>
          <w:sz w:val="16"/>
          <w:szCs w:val="16"/>
        </w:rPr>
        <w:t xml:space="preserve"> de 20€/mois a été contracté pour faciliter le codage et débogage du modèle, pour la revue de littérature et pour aider à la réflexion sur les avantages et inconvénients des différents choix méthodologiques. </w:t>
      </w:r>
    </w:p>
    <w:p w14:paraId="64177441" w14:textId="42539C97" w:rsidR="0077027A" w:rsidRDefault="0077027A">
      <w:pPr>
        <w:pStyle w:val="Notedebasdepage"/>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D511CD9"/>
    <w:multiLevelType w:val="hybridMultilevel"/>
    <w:tmpl w:val="AF0033B4"/>
    <w:lvl w:ilvl="0" w:tplc="F80ECB70">
      <w:start w:val="1"/>
      <w:numFmt w:val="bullet"/>
      <w:lvlText w:val="●"/>
      <w:lvlJc w:val="left"/>
      <w:pPr>
        <w:ind w:left="720" w:hanging="360"/>
      </w:pPr>
    </w:lvl>
    <w:lvl w:ilvl="1" w:tplc="21E6D214">
      <w:start w:val="1"/>
      <w:numFmt w:val="bullet"/>
      <w:lvlText w:val="○"/>
      <w:lvlJc w:val="left"/>
      <w:pPr>
        <w:ind w:left="1440" w:hanging="360"/>
      </w:pPr>
    </w:lvl>
    <w:lvl w:ilvl="2" w:tplc="D19A9822">
      <w:start w:val="1"/>
      <w:numFmt w:val="bullet"/>
      <w:lvlText w:val="■"/>
      <w:lvlJc w:val="left"/>
      <w:pPr>
        <w:ind w:left="2160" w:hanging="360"/>
      </w:pPr>
    </w:lvl>
    <w:lvl w:ilvl="3" w:tplc="B4A48DF4">
      <w:start w:val="1"/>
      <w:numFmt w:val="bullet"/>
      <w:lvlText w:val="●"/>
      <w:lvlJc w:val="left"/>
      <w:pPr>
        <w:ind w:left="2880" w:hanging="360"/>
      </w:pPr>
    </w:lvl>
    <w:lvl w:ilvl="4" w:tplc="551C7962">
      <w:start w:val="1"/>
      <w:numFmt w:val="bullet"/>
      <w:lvlText w:val="○"/>
      <w:lvlJc w:val="left"/>
      <w:pPr>
        <w:ind w:left="3600" w:hanging="360"/>
      </w:pPr>
    </w:lvl>
    <w:lvl w:ilvl="5" w:tplc="2D8A4C36">
      <w:start w:val="1"/>
      <w:numFmt w:val="bullet"/>
      <w:lvlText w:val="■"/>
      <w:lvlJc w:val="left"/>
      <w:pPr>
        <w:ind w:left="4320" w:hanging="360"/>
      </w:pPr>
    </w:lvl>
    <w:lvl w:ilvl="6" w:tplc="26E8E568">
      <w:start w:val="1"/>
      <w:numFmt w:val="bullet"/>
      <w:lvlText w:val="●"/>
      <w:lvlJc w:val="left"/>
      <w:pPr>
        <w:ind w:left="5040" w:hanging="360"/>
      </w:pPr>
    </w:lvl>
    <w:lvl w:ilvl="7" w:tplc="46E2A89A">
      <w:start w:val="1"/>
      <w:numFmt w:val="bullet"/>
      <w:lvlText w:val="●"/>
      <w:lvlJc w:val="left"/>
      <w:pPr>
        <w:ind w:left="5760" w:hanging="360"/>
      </w:pPr>
    </w:lvl>
    <w:lvl w:ilvl="8" w:tplc="94EA5EDA">
      <w:start w:val="1"/>
      <w:numFmt w:val="bullet"/>
      <w:lvlText w:val="●"/>
      <w:lvlJc w:val="left"/>
      <w:pPr>
        <w:ind w:left="6480" w:hanging="360"/>
      </w:pPr>
    </w:lvl>
  </w:abstractNum>
  <w:num w:numId="1" w16cid:durableId="20186815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9"/>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1F75"/>
    <w:rsid w:val="00037A07"/>
    <w:rsid w:val="00176889"/>
    <w:rsid w:val="001910F8"/>
    <w:rsid w:val="001C1D88"/>
    <w:rsid w:val="00246D7D"/>
    <w:rsid w:val="0029404C"/>
    <w:rsid w:val="003009CC"/>
    <w:rsid w:val="00322CDA"/>
    <w:rsid w:val="003C2ABB"/>
    <w:rsid w:val="003D5F10"/>
    <w:rsid w:val="00420BFA"/>
    <w:rsid w:val="0042147B"/>
    <w:rsid w:val="00490956"/>
    <w:rsid w:val="004B3E0D"/>
    <w:rsid w:val="004C43A6"/>
    <w:rsid w:val="004E7D56"/>
    <w:rsid w:val="00500776"/>
    <w:rsid w:val="00583E05"/>
    <w:rsid w:val="00660EE7"/>
    <w:rsid w:val="006906D5"/>
    <w:rsid w:val="007360B5"/>
    <w:rsid w:val="0077027A"/>
    <w:rsid w:val="007A5E61"/>
    <w:rsid w:val="00990F67"/>
    <w:rsid w:val="00A7457E"/>
    <w:rsid w:val="00AA0DAF"/>
    <w:rsid w:val="00AB0F7F"/>
    <w:rsid w:val="00B77736"/>
    <w:rsid w:val="00C01F75"/>
    <w:rsid w:val="00D56EA6"/>
    <w:rsid w:val="00DB0D23"/>
    <w:rsid w:val="00E72272"/>
    <w:rsid w:val="00F42BE6"/>
    <w:rsid w:val="00F93A7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7C290"/>
  <w15:docId w15:val="{3C51F9C4-0853-EE4E-A9DB-4574C72A0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240"/>
      <w:outlineLvl w:val="0"/>
    </w:pPr>
    <w:rPr>
      <w:b/>
      <w:bCs/>
      <w:color w:val="000000"/>
      <w:sz w:val="32"/>
      <w:szCs w:val="32"/>
    </w:rPr>
  </w:style>
  <w:style w:type="paragraph" w:styleId="Titre2">
    <w:name w:val="heading 2"/>
    <w:uiPriority w:val="9"/>
    <w:unhideWhenUsed/>
    <w:qFormat/>
    <w:pPr>
      <w:spacing w:before="300" w:after="200"/>
      <w:outlineLvl w:val="1"/>
    </w:pPr>
    <w:rPr>
      <w:b/>
      <w:bCs/>
      <w:color w:val="000000"/>
      <w:sz w:val="28"/>
      <w:szCs w:val="28"/>
    </w:rPr>
  </w:style>
  <w:style w:type="paragraph" w:styleId="Titre3">
    <w:name w:val="heading 3"/>
    <w:uiPriority w:val="9"/>
    <w:unhideWhenUsed/>
    <w:qFormat/>
    <w:pPr>
      <w:spacing w:before="240" w:after="160"/>
      <w:outlineLvl w:val="2"/>
    </w:pPr>
    <w:rPr>
      <w:b/>
      <w:bCs/>
      <w:i/>
      <w:iCs/>
      <w:color w:val="000000"/>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detabledesmatires">
    <w:name w:val="TOC Heading"/>
    <w:basedOn w:val="Titre1"/>
    <w:next w:val="Normal"/>
    <w:uiPriority w:val="39"/>
    <w:unhideWhenUsed/>
    <w:qFormat/>
    <w:rsid w:val="004E7D56"/>
    <w:pPr>
      <w:keepNext/>
      <w:keepLines/>
      <w:spacing w:before="480" w:after="0" w:line="276" w:lineRule="auto"/>
      <w:outlineLvl w:val="9"/>
    </w:pPr>
    <w:rPr>
      <w:rFonts w:asciiTheme="majorHAnsi" w:eastAsiaTheme="majorEastAsia" w:hAnsiTheme="majorHAnsi" w:cstheme="majorBidi"/>
      <w:color w:val="0F4761" w:themeColor="accent1" w:themeShade="BF"/>
      <w:sz w:val="28"/>
      <w:szCs w:val="28"/>
    </w:rPr>
  </w:style>
  <w:style w:type="paragraph" w:styleId="TM1">
    <w:name w:val="toc 1"/>
    <w:basedOn w:val="Normal"/>
    <w:next w:val="Normal"/>
    <w:autoRedefine/>
    <w:uiPriority w:val="39"/>
    <w:unhideWhenUsed/>
    <w:rsid w:val="004E7D56"/>
    <w:pPr>
      <w:spacing w:before="120" w:after="120"/>
    </w:pPr>
    <w:rPr>
      <w:rFonts w:asciiTheme="minorHAnsi" w:hAnsiTheme="minorHAnsi"/>
      <w:b/>
      <w:bCs/>
      <w:caps/>
      <w:sz w:val="20"/>
      <w:szCs w:val="20"/>
    </w:rPr>
  </w:style>
  <w:style w:type="paragraph" w:styleId="TM2">
    <w:name w:val="toc 2"/>
    <w:basedOn w:val="Normal"/>
    <w:next w:val="Normal"/>
    <w:autoRedefine/>
    <w:uiPriority w:val="39"/>
    <w:unhideWhenUsed/>
    <w:rsid w:val="004E7D56"/>
    <w:pPr>
      <w:ind w:left="240"/>
    </w:pPr>
    <w:rPr>
      <w:rFonts w:asciiTheme="minorHAnsi" w:hAnsiTheme="minorHAnsi"/>
      <w:smallCaps/>
      <w:sz w:val="20"/>
      <w:szCs w:val="20"/>
    </w:rPr>
  </w:style>
  <w:style w:type="paragraph" w:styleId="TM3">
    <w:name w:val="toc 3"/>
    <w:basedOn w:val="Normal"/>
    <w:next w:val="Normal"/>
    <w:autoRedefine/>
    <w:uiPriority w:val="39"/>
    <w:unhideWhenUsed/>
    <w:rsid w:val="004E7D56"/>
    <w:pPr>
      <w:ind w:left="480"/>
    </w:pPr>
    <w:rPr>
      <w:rFonts w:asciiTheme="minorHAnsi" w:hAnsiTheme="minorHAnsi"/>
      <w:i/>
      <w:iCs/>
      <w:sz w:val="20"/>
      <w:szCs w:val="20"/>
    </w:rPr>
  </w:style>
  <w:style w:type="paragraph" w:styleId="TM4">
    <w:name w:val="toc 4"/>
    <w:basedOn w:val="Normal"/>
    <w:next w:val="Normal"/>
    <w:autoRedefine/>
    <w:uiPriority w:val="39"/>
    <w:semiHidden/>
    <w:unhideWhenUsed/>
    <w:rsid w:val="004E7D56"/>
    <w:pPr>
      <w:ind w:left="720"/>
    </w:pPr>
    <w:rPr>
      <w:rFonts w:asciiTheme="minorHAnsi" w:hAnsiTheme="minorHAnsi"/>
      <w:sz w:val="18"/>
      <w:szCs w:val="18"/>
    </w:rPr>
  </w:style>
  <w:style w:type="paragraph" w:styleId="TM5">
    <w:name w:val="toc 5"/>
    <w:basedOn w:val="Normal"/>
    <w:next w:val="Normal"/>
    <w:autoRedefine/>
    <w:uiPriority w:val="39"/>
    <w:semiHidden/>
    <w:unhideWhenUsed/>
    <w:rsid w:val="004E7D56"/>
    <w:pPr>
      <w:ind w:left="960"/>
    </w:pPr>
    <w:rPr>
      <w:rFonts w:asciiTheme="minorHAnsi" w:hAnsiTheme="minorHAnsi"/>
      <w:sz w:val="18"/>
      <w:szCs w:val="18"/>
    </w:rPr>
  </w:style>
  <w:style w:type="paragraph" w:styleId="TM6">
    <w:name w:val="toc 6"/>
    <w:basedOn w:val="Normal"/>
    <w:next w:val="Normal"/>
    <w:autoRedefine/>
    <w:uiPriority w:val="39"/>
    <w:semiHidden/>
    <w:unhideWhenUsed/>
    <w:rsid w:val="004E7D56"/>
    <w:pPr>
      <w:ind w:left="1200"/>
    </w:pPr>
    <w:rPr>
      <w:rFonts w:asciiTheme="minorHAnsi" w:hAnsiTheme="minorHAnsi"/>
      <w:sz w:val="18"/>
      <w:szCs w:val="18"/>
    </w:rPr>
  </w:style>
  <w:style w:type="paragraph" w:styleId="TM7">
    <w:name w:val="toc 7"/>
    <w:basedOn w:val="Normal"/>
    <w:next w:val="Normal"/>
    <w:autoRedefine/>
    <w:uiPriority w:val="39"/>
    <w:semiHidden/>
    <w:unhideWhenUsed/>
    <w:rsid w:val="004E7D56"/>
    <w:pPr>
      <w:ind w:left="1440"/>
    </w:pPr>
    <w:rPr>
      <w:rFonts w:asciiTheme="minorHAnsi" w:hAnsiTheme="minorHAnsi"/>
      <w:sz w:val="18"/>
      <w:szCs w:val="18"/>
    </w:rPr>
  </w:style>
  <w:style w:type="paragraph" w:styleId="TM8">
    <w:name w:val="toc 8"/>
    <w:basedOn w:val="Normal"/>
    <w:next w:val="Normal"/>
    <w:autoRedefine/>
    <w:uiPriority w:val="39"/>
    <w:semiHidden/>
    <w:unhideWhenUsed/>
    <w:rsid w:val="004E7D56"/>
    <w:pPr>
      <w:ind w:left="1680"/>
    </w:pPr>
    <w:rPr>
      <w:rFonts w:asciiTheme="minorHAnsi" w:hAnsiTheme="minorHAnsi"/>
      <w:sz w:val="18"/>
      <w:szCs w:val="18"/>
    </w:rPr>
  </w:style>
  <w:style w:type="paragraph" w:styleId="TM9">
    <w:name w:val="toc 9"/>
    <w:basedOn w:val="Normal"/>
    <w:next w:val="Normal"/>
    <w:autoRedefine/>
    <w:uiPriority w:val="39"/>
    <w:semiHidden/>
    <w:unhideWhenUsed/>
    <w:rsid w:val="004E7D56"/>
    <w:pPr>
      <w:ind w:left="1920"/>
    </w:pPr>
    <w:rPr>
      <w:rFonts w:asciiTheme="minorHAnsi" w:hAnsiTheme="minorHAnsi"/>
      <w:sz w:val="18"/>
      <w:szCs w:val="18"/>
    </w:rPr>
  </w:style>
  <w:style w:type="paragraph" w:styleId="En-tte">
    <w:name w:val="header"/>
    <w:basedOn w:val="Normal"/>
    <w:link w:val="En-tteCar"/>
    <w:uiPriority w:val="99"/>
    <w:unhideWhenUsed/>
    <w:rsid w:val="004E7D56"/>
    <w:pPr>
      <w:tabs>
        <w:tab w:val="center" w:pos="4536"/>
        <w:tab w:val="right" w:pos="9072"/>
      </w:tabs>
    </w:pPr>
  </w:style>
  <w:style w:type="character" w:customStyle="1" w:styleId="En-tteCar">
    <w:name w:val="En-tête Car"/>
    <w:basedOn w:val="Policepardfaut"/>
    <w:link w:val="En-tte"/>
    <w:uiPriority w:val="99"/>
    <w:rsid w:val="004E7D56"/>
  </w:style>
  <w:style w:type="paragraph" w:styleId="Pieddepage">
    <w:name w:val="footer"/>
    <w:basedOn w:val="Normal"/>
    <w:link w:val="PieddepageCar"/>
    <w:uiPriority w:val="99"/>
    <w:unhideWhenUsed/>
    <w:rsid w:val="004E7D56"/>
    <w:pPr>
      <w:tabs>
        <w:tab w:val="center" w:pos="4536"/>
        <w:tab w:val="right" w:pos="9072"/>
      </w:tabs>
    </w:pPr>
  </w:style>
  <w:style w:type="character" w:customStyle="1" w:styleId="PieddepageCar">
    <w:name w:val="Pied de page Car"/>
    <w:basedOn w:val="Policepardfaut"/>
    <w:link w:val="Pieddepage"/>
    <w:uiPriority w:val="99"/>
    <w:rsid w:val="004E7D56"/>
  </w:style>
  <w:style w:type="character" w:styleId="Numrodepage">
    <w:name w:val="page number"/>
    <w:basedOn w:val="Policepardfaut"/>
    <w:uiPriority w:val="99"/>
    <w:semiHidden/>
    <w:unhideWhenUsed/>
    <w:rsid w:val="004E7D56"/>
  </w:style>
  <w:style w:type="character" w:styleId="Lienhypertextesuivivisit">
    <w:name w:val="FollowedHyperlink"/>
    <w:basedOn w:val="Policepardfaut"/>
    <w:uiPriority w:val="99"/>
    <w:semiHidden/>
    <w:unhideWhenUsed/>
    <w:rsid w:val="00490956"/>
    <w:rPr>
      <w:color w:val="96607D" w:themeColor="followedHyperlink"/>
      <w:u w:val="single"/>
    </w:rPr>
  </w:style>
  <w:style w:type="character" w:styleId="Accentuation">
    <w:name w:val="Emphasis"/>
    <w:basedOn w:val="Policepardfaut"/>
    <w:uiPriority w:val="20"/>
    <w:qFormat/>
    <w:rsid w:val="007A5E61"/>
    <w:rPr>
      <w:i/>
      <w:iCs/>
    </w:rPr>
  </w:style>
  <w:style w:type="character" w:styleId="Mentionnonrsolue">
    <w:name w:val="Unresolved Mention"/>
    <w:basedOn w:val="Policepardfaut"/>
    <w:uiPriority w:val="99"/>
    <w:semiHidden/>
    <w:unhideWhenUsed/>
    <w:rsid w:val="007A5E61"/>
    <w:rPr>
      <w:color w:val="605E5C"/>
      <w:shd w:val="clear" w:color="auto" w:fill="E1DFDD"/>
    </w:rPr>
  </w:style>
  <w:style w:type="character" w:styleId="Textedelespacerserv">
    <w:name w:val="Placeholder Text"/>
    <w:basedOn w:val="Policepardfaut"/>
    <w:uiPriority w:val="99"/>
    <w:semiHidden/>
    <w:rsid w:val="00DB0D2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093/qje/qjaa044" TargetMode="External"/><Relationship Id="rId18" Type="http://schemas.openxmlformats.org/officeDocument/2006/relationships/hyperlink" Target="https://doi.org/10.1080/09535314.2013.774266" TargetMode="External"/><Relationship Id="rId26" Type="http://schemas.openxmlformats.org/officeDocument/2006/relationships/hyperlink" Target="https://openknowledge.worldbank.org/handle/10986/25335" TargetMode="External"/><Relationship Id="rId39" Type="http://schemas.openxmlformats.org/officeDocument/2006/relationships/hyperlink" Target="https://doi.org/10.1080/09535310701328435" TargetMode="External"/><Relationship Id="rId21" Type="http://schemas.openxmlformats.org/officeDocument/2006/relationships/hyperlink" Target="https://doi.org/10.1038/s41562-020-0896-8" TargetMode="External"/><Relationship Id="rId34" Type="http://schemas.openxmlformats.org/officeDocument/2006/relationships/hyperlink" Target="https://doi.org/10.2307/1927837" TargetMode="External"/><Relationship Id="rId42" Type="http://schemas.openxmlformats.org/officeDocument/2006/relationships/hyperlink" Target="https://doi.org/10.1016/j.jedc.2022.104527" TargetMode="External"/><Relationship Id="rId47" Type="http://schemas.openxmlformats.org/officeDocument/2006/relationships/hyperlink" Target="https://doi.org/10.1111/j.0272-4332.2004.00540.x" TargetMode="External"/><Relationship Id="rId50" Type="http://schemas.openxmlformats.org/officeDocument/2006/relationships/hyperlink" Target="https://doi.org/10.1680/ipeds.1952.11259" TargetMode="Externa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080/0144164032000080494" TargetMode="External"/><Relationship Id="rId29" Type="http://schemas.openxmlformats.org/officeDocument/2006/relationships/hyperlink" Target="https://doi.org/10.1038/s41893-019-0351-x" TargetMode="External"/><Relationship Id="rId11" Type="http://schemas.openxmlformats.org/officeDocument/2006/relationships/hyperlink" Target="https://doi.org/10.1287/mnsc.16.7.413" TargetMode="External"/><Relationship Id="rId24" Type="http://schemas.openxmlformats.org/officeDocument/2006/relationships/hyperlink" Target="https://doi.org/10.1038/nclimate1979" TargetMode="External"/><Relationship Id="rId32" Type="http://schemas.openxmlformats.org/officeDocument/2006/relationships/hyperlink" Target="https://doi.org/10.1080/09535314.2016.1232701" TargetMode="External"/><Relationship Id="rId37" Type="http://schemas.openxmlformats.org/officeDocument/2006/relationships/hyperlink" Target="https://doi.org/10.3141/2067-10" TargetMode="External"/><Relationship Id="rId40" Type="http://schemas.openxmlformats.org/officeDocument/2006/relationships/hyperlink" Target="https://doi.org/10.1080/09535314.2013.871505" TargetMode="External"/><Relationship Id="rId45" Type="http://schemas.openxmlformats.org/officeDocument/2006/relationships/hyperlink" Target="https://doi.org/10.1111/j.0022-4146.2005.00365.x" TargetMode="External"/><Relationship Id="rId53"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yperlink" Target="https://doi.org/10.1093/qje/qjw018" TargetMode="External"/><Relationship Id="rId19" Type="http://schemas.openxmlformats.org/officeDocument/2006/relationships/hyperlink" Target="https://doi.org/10.1016/j.jdeveco.2014.07.004" TargetMode="External"/><Relationship Id="rId31" Type="http://schemas.openxmlformats.org/officeDocument/2006/relationships/hyperlink" Target="https://doi.org/10.1016/j.compenvurbsys.2014.02.003" TargetMode="External"/><Relationship Id="rId44" Type="http://schemas.openxmlformats.org/officeDocument/2006/relationships/hyperlink" Target="https://doi.org/10.1016/j.envhaz.2007.10.001" TargetMode="External"/><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doi.org/10.1257/000282803321455214" TargetMode="External"/><Relationship Id="rId14" Type="http://schemas.openxmlformats.org/officeDocument/2006/relationships/hyperlink" Target="https://doi.org/10.1038/s41893-020-00649-4" TargetMode="External"/><Relationship Id="rId22" Type="http://schemas.openxmlformats.org/officeDocument/2006/relationships/hyperlink" Target="https://doi.org/10.1111/j.1539-6924.2008.01046.x" TargetMode="External"/><Relationship Id="rId27" Type="http://schemas.openxmlformats.org/officeDocument/2006/relationships/hyperlink" Target="https://doi.org/10.1016/j.jedc.2011.10.001" TargetMode="External"/><Relationship Id="rId30" Type="http://schemas.openxmlformats.org/officeDocument/2006/relationships/hyperlink" Target="https://www.ipcc.ch/report/ar6/wg1/" TargetMode="External"/><Relationship Id="rId35" Type="http://schemas.openxmlformats.org/officeDocument/2006/relationships/hyperlink" Target="https://doi.org/10.1016/j.tre.2008.07.002" TargetMode="External"/><Relationship Id="rId43" Type="http://schemas.openxmlformats.org/officeDocument/2006/relationships/hyperlink" Target="https://doi.org/10.48550/arXiv.1801.09740" TargetMode="External"/><Relationship Id="rId48" Type="http://schemas.openxmlformats.org/officeDocument/2006/relationships/hyperlink" Target="https://doi.org/10.1080/01441647.2011.644640" TargetMode="External"/><Relationship Id="rId8" Type="http://schemas.openxmlformats.org/officeDocument/2006/relationships/hyperlink" Target="https://doi.org/10.3982/ECTA9623" TargetMode="External"/><Relationship Id="rId51" Type="http://schemas.openxmlformats.org/officeDocument/2006/relationships/hyperlink" Target="https://doi.org/10.1016/0041-1647(67)90035-4" TargetMode="External"/><Relationship Id="rId3" Type="http://schemas.openxmlformats.org/officeDocument/2006/relationships/styles" Target="styles.xml"/><Relationship Id="rId12" Type="http://schemas.openxmlformats.org/officeDocument/2006/relationships/hyperlink" Target="https://doi.org/10.1093/reep/rez004" TargetMode="External"/><Relationship Id="rId17" Type="http://schemas.openxmlformats.org/officeDocument/2006/relationships/hyperlink" Target="https://doi.org/10.1007/s11116-012-9422-9" TargetMode="External"/><Relationship Id="rId25" Type="http://schemas.openxmlformats.org/officeDocument/2006/relationships/hyperlink" Target="https://openknowledge.worldbank.org/handle/10986/31805" TargetMode="External"/><Relationship Id="rId33" Type="http://schemas.openxmlformats.org/officeDocument/2006/relationships/hyperlink" Target="https://doi.org/10.1038/s41467-019-10442-3" TargetMode="External"/><Relationship Id="rId38" Type="http://schemas.openxmlformats.org/officeDocument/2006/relationships/hyperlink" Target="https://doi.org/10.1016/j.jdeveco.2008.02.005" TargetMode="External"/><Relationship Id="rId46" Type="http://schemas.openxmlformats.org/officeDocument/2006/relationships/hyperlink" Target="https://openknowledge.worldbank.org/handle/10986/31291" TargetMode="External"/><Relationship Id="rId20" Type="http://schemas.openxmlformats.org/officeDocument/2006/relationships/hyperlink" Target="https://doi.org/10.3982/ECTA8769" TargetMode="External"/><Relationship Id="rId41" Type="http://schemas.openxmlformats.org/officeDocument/2006/relationships/hyperlink" Target="https://doi.org/10.1016/j.jedc.2017.08.001"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3141/2269-11" TargetMode="External"/><Relationship Id="rId23" Type="http://schemas.openxmlformats.org/officeDocument/2006/relationships/hyperlink" Target="https://doi.org/10.1111/risa.12090" TargetMode="External"/><Relationship Id="rId28" Type="http://schemas.openxmlformats.org/officeDocument/2006/relationships/hyperlink" Target="https://doi.org/10.1073/pnas.1009510107" TargetMode="External"/><Relationship Id="rId36" Type="http://schemas.openxmlformats.org/officeDocument/2006/relationships/hyperlink" Target="https://doi.org/10.1016/0167-2231(77)90002-1" TargetMode="External"/><Relationship Id="rId49" Type="http://schemas.openxmlformats.org/officeDocument/2006/relationships/hyperlink" Target="https://doi.org/10.1080/09535310701328567"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C41399-D966-A440-8F7C-03A5F921D5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TotalTime>
  <Pages>23</Pages>
  <Words>8017</Words>
  <Characters>44095</Characters>
  <Application>Microsoft Office Word</Application>
  <DocSecurity>0</DocSecurity>
  <Lines>367</Lines>
  <Paragraphs>104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52008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Yanis DUMAS</cp:lastModifiedBy>
  <cp:revision>21</cp:revision>
  <dcterms:created xsi:type="dcterms:W3CDTF">2026-07-02T15:14:00Z</dcterms:created>
  <dcterms:modified xsi:type="dcterms:W3CDTF">2026-07-03T17:09:00Z</dcterms:modified>
</cp:coreProperties>
</file>