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22E784F1" w:rsidR="005D0457" w:rsidRDefault="005A0B1C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26E3E5B2" wp14:editId="614B2524">
            <wp:extent cx="5267325" cy="2883535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3947B2FE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4B133C23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  <w:r w:rsidR="005A0B1C">
        <w:rPr>
          <w:rFonts w:hint="cs"/>
          <w:noProof/>
        </w:rPr>
        <w:drawing>
          <wp:inline distT="0" distB="0" distL="0" distR="0" wp14:anchorId="01A51B40" wp14:editId="29D55BBB">
            <wp:extent cx="5267325" cy="4930775"/>
            <wp:effectExtent l="0" t="0" r="952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52D3" w14:textId="4EF81A69" w:rsidR="00240088" w:rsidRDefault="00240088" w:rsidP="005D0457">
      <w:pPr>
        <w:pStyle w:val="Heading3"/>
      </w:pPr>
    </w:p>
    <w:p w14:paraId="1F1A171F" w14:textId="46F5C618" w:rsidR="00342F10" w:rsidRDefault="00342F10" w:rsidP="00342F10"/>
    <w:p w14:paraId="5DBD6BA5" w14:textId="46D78C7B" w:rsidR="00342F10" w:rsidRDefault="00342F10" w:rsidP="00342F10"/>
    <w:p w14:paraId="563527F8" w14:textId="77777777" w:rsidR="00342F10" w:rsidRPr="00342F10" w:rsidRDefault="00342F10" w:rsidP="00342F10">
      <w:pPr>
        <w:rPr>
          <w:rtl/>
        </w:rPr>
      </w:pPr>
    </w:p>
    <w:p w14:paraId="70262F0D" w14:textId="77777777" w:rsidR="00342F10" w:rsidRDefault="00342F10" w:rsidP="005D0457">
      <w:pPr>
        <w:pStyle w:val="Heading3"/>
      </w:pPr>
    </w:p>
    <w:p w14:paraId="6354DB0C" w14:textId="504B346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77777777" w:rsidR="0099289E" w:rsidRDefault="0099289E" w:rsidP="0099289E">
      <w:pPr>
        <w:spacing w:after="0" w:line="240" w:lineRule="auto"/>
        <w:ind w:left="720" w:right="720"/>
      </w:pPr>
    </w:p>
    <w:p w14:paraId="423032EB" w14:textId="00A049DF" w:rsidR="008B2ADD" w:rsidRPr="008B2ADD" w:rsidRDefault="0099289E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noProof/>
        </w:rPr>
        <w:drawing>
          <wp:inline distT="0" distB="0" distL="0" distR="0" wp14:anchorId="4CC0DECB" wp14:editId="415F5081">
            <wp:extent cx="526288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lastRenderedPageBreak/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lastRenderedPageBreak/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מולטי-טראדד.</w:t>
      </w:r>
    </w:p>
    <w:p w14:paraId="71911FC8" w14:textId="77777777" w:rsidR="007C037A" w:rsidRDefault="007C037A" w:rsidP="00DB5E96">
      <w:pPr>
        <w:rPr>
          <w:rtl/>
        </w:rPr>
      </w:pPr>
    </w:p>
    <w:p w14:paraId="6FD9F350" w14:textId="3E8A62F4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proofErr w:type="spellStart"/>
      <w:r w:rsidR="00803691" w:rsidRPr="00BA4B2D">
        <w:rPr>
          <w:rFonts w:ascii="Consolas" w:hAnsi="Consolas" w:cs="Consolas"/>
          <w:color w:val="E36C0A" w:themeColor="accent6" w:themeShade="BF"/>
        </w:rPr>
        <w:t>fetchAlbumsOnLoad</w:t>
      </w:r>
      <w:proofErr w:type="spellEnd"/>
      <w:r w:rsidR="00803691" w:rsidRPr="00BA4B2D">
        <w:rPr>
          <w:rFonts w:ascii="Consolas" w:hAnsi="Consolas" w:hint="cs"/>
          <w:color w:val="E36C0A" w:themeColor="accent6" w:themeShade="BF"/>
          <w:rtl/>
        </w:rPr>
        <w:t xml:space="preserve"> </w:t>
      </w:r>
      <w:r w:rsidR="00F54C6A">
        <w:rPr>
          <w:rFonts w:ascii="Consolas" w:hAnsi="Consolas" w:hint="cs"/>
          <w:color w:val="E36C0A" w:themeColor="accent6" w:themeShade="BF"/>
          <w:rtl/>
        </w:rPr>
        <w:t xml:space="preserve">(שורה 29) </w:t>
      </w:r>
      <w:r w:rsidR="00803691" w:rsidRPr="00803691">
        <w:rPr>
          <w:rFonts w:ascii="Consolas" w:hAnsi="Consolas" w:hint="cs"/>
          <w:color w:val="000000"/>
          <w:rtl/>
        </w:rPr>
        <w:t>בטראד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</w:rPr>
        <w:t>UI</w:t>
      </w:r>
      <w:r w:rsidR="00AA0720">
        <w:rPr>
          <w:rFonts w:ascii="Consolas" w:hAnsi="Consolas" w:hint="cs"/>
          <w:color w:val="000000"/>
          <w:rtl/>
        </w:rPr>
        <w:t>,</w:t>
      </w:r>
      <w:r>
        <w:rPr>
          <w:rFonts w:ascii="Consolas" w:hAnsi="Consolas" w:hint="cs"/>
          <w:color w:val="000000"/>
          <w:rtl/>
        </w:rPr>
        <w:t xml:space="preserve"> </w:t>
      </w:r>
      <w:r w:rsidR="00BD56CD">
        <w:rPr>
          <w:rFonts w:ascii="Consolas" w:hAnsi="Consolas" w:hint="cs"/>
          <w:color w:val="000000"/>
          <w:rtl/>
        </w:rPr>
        <w:t>כדי לא</w:t>
      </w:r>
      <w:r>
        <w:rPr>
          <w:rFonts w:ascii="Consolas" w:hAnsi="Consolas" w:hint="cs"/>
          <w:color w:val="000000"/>
          <w:rtl/>
        </w:rPr>
        <w:t xml:space="preserve"> לפגוע בחווית המשתמש</w:t>
      </w:r>
      <w:r w:rsidR="00BD56CD">
        <w:rPr>
          <w:rFonts w:ascii="Consolas" w:hAnsi="Consolas" w:hint="cs"/>
          <w:color w:val="000000"/>
          <w:rtl/>
        </w:rPr>
        <w:t xml:space="preserve"> </w:t>
      </w:r>
      <w:r w:rsidR="00EB08EA">
        <w:rPr>
          <w:rFonts w:ascii="Consolas" w:hAnsi="Consolas" w:hint="cs"/>
          <w:color w:val="000000"/>
          <w:rtl/>
        </w:rPr>
        <w:t>כיוון שפעולה זו לוקחת זמן</w:t>
      </w:r>
      <w:r>
        <w:rPr>
          <w:rFonts w:ascii="Consolas" w:hAnsi="Consolas" w:hint="cs"/>
          <w:color w:val="000000"/>
          <w:rtl/>
        </w:rPr>
        <w:t>.</w:t>
      </w:r>
    </w:p>
    <w:p w14:paraId="016CD3B3" w14:textId="77777777" w:rsidR="007C037A" w:rsidRPr="006B0F96" w:rsidRDefault="007C037A" w:rsidP="006B0F96">
      <w:pPr>
        <w:rPr>
          <w:rtl/>
        </w:rPr>
      </w:pPr>
    </w:p>
    <w:p w14:paraId="2EB4E71A" w14:textId="31AA4258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proofErr w:type="spellStart"/>
      <w:r w:rsidR="00263761" w:rsidRPr="00BA4B2D">
        <w:rPr>
          <w:rFonts w:ascii="Consolas" w:hAnsi="Consolas" w:cs="Consolas"/>
          <w:color w:val="E36C0A" w:themeColor="accent6" w:themeShade="BF"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r w:rsidR="00263761" w:rsidRPr="00BA4B2D">
        <w:rPr>
          <w:rFonts w:ascii="Consolas" w:hAnsi="Consolas" w:cs="Consolas"/>
          <w:color w:val="E36C0A" w:themeColor="accent6" w:themeShade="BF"/>
        </w:rPr>
        <w:t>sOnLoad</w:t>
      </w:r>
      <w:proofErr w:type="spellEnd"/>
      <w:r w:rsidR="00501BA0"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 w:rsidR="00501BA0">
        <w:rPr>
          <w:rFonts w:ascii="Consolas" w:hAnsi="Consolas" w:hint="cs"/>
          <w:color w:val="E36C0A" w:themeColor="accent6" w:themeShade="BF"/>
          <w:rtl/>
        </w:rPr>
        <w:t>(שורה 29)</w:t>
      </w:r>
      <w:r w:rsidR="00512CC6">
        <w:rPr>
          <w:rFonts w:hint="cs"/>
          <w:rtl/>
        </w:rPr>
        <w:t>.</w:t>
      </w:r>
    </w:p>
    <w:p w14:paraId="3C72552D" w14:textId="0080A606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r w:rsidR="001D2B31">
        <w:rPr>
          <w:rFonts w:hint="cs"/>
          <w:rtl/>
        </w:rPr>
        <w:t>ופננינו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26DEC86" w14:textId="5E60FA06" w:rsidR="003C69CC" w:rsidRDefault="003C69CC" w:rsidP="00512CC6">
      <w:pPr>
        <w:pStyle w:val="ListParagraph"/>
        <w:rPr>
          <w:rtl/>
        </w:rPr>
      </w:pPr>
      <w:r>
        <w:rPr>
          <w:rFonts w:hint="cs"/>
          <w:rtl/>
        </w:rPr>
        <w:t xml:space="preserve">בנוסף השתמשנו באירוע שמודיע ברגע שמשנים את סוג ה </w:t>
      </w:r>
      <w:r>
        <w:t>event</w:t>
      </w:r>
      <w:r>
        <w:rPr>
          <w:rFonts w:hint="cs"/>
          <w:rtl/>
        </w:rPr>
        <w:t xml:space="preserve"> ושם נבצע את אותה הפעולה כמו ב </w:t>
      </w:r>
      <w:proofErr w:type="spellStart"/>
      <w:r w:rsidRPr="003C69CC">
        <w:rPr>
          <w:rFonts w:ascii="Consolas" w:hAnsi="Consolas"/>
        </w:rPr>
        <w:t>on</w:t>
      </w:r>
      <w:r>
        <w:rPr>
          <w:rFonts w:ascii="Consolas" w:hAnsi="Consolas"/>
        </w:rPr>
        <w:t>L</w:t>
      </w:r>
      <w:r w:rsidRPr="003C69CC">
        <w:rPr>
          <w:rFonts w:ascii="Consolas" w:hAnsi="Consolas"/>
        </w:rPr>
        <w:t>oad</w:t>
      </w:r>
      <w:proofErr w:type="spellEnd"/>
      <w:r>
        <w:rPr>
          <w:rFonts w:hint="cs"/>
          <w:rtl/>
        </w:rPr>
        <w:t>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05A4BDA6" w:rsidR="00DB5E96" w:rsidRDefault="00AF1C91" w:rsidP="00B70D6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>
        <w:rPr>
          <w:rFonts w:hint="cs"/>
          <w:rtl/>
        </w:rPr>
        <w:t xml:space="preserve"> </w:t>
      </w:r>
      <w:r w:rsidR="00D77340">
        <w:rPr>
          <w:rFonts w:hint="cs"/>
          <w:rtl/>
        </w:rPr>
        <w:t xml:space="preserve">השתמשנו ב </w:t>
      </w:r>
      <w:r w:rsidR="00D77340">
        <w:t>Data Bindings</w:t>
      </w:r>
      <w:r w:rsidR="00D77340">
        <w:rPr>
          <w:rFonts w:hint="cs"/>
          <w:rtl/>
        </w:rPr>
        <w:t xml:space="preserve"> בכדי לקשור את כל המידעים בטופס עם האיוונט שכרגע נבחר.</w:t>
      </w:r>
    </w:p>
    <w:p w14:paraId="1C0C3A03" w14:textId="396909F9" w:rsidR="008B14B6" w:rsidRDefault="008B14B6" w:rsidP="008B14B6">
      <w:pPr>
        <w:pStyle w:val="ListParagraph"/>
        <w:rPr>
          <w:rtl/>
        </w:rPr>
      </w:pPr>
      <w:r>
        <w:rPr>
          <w:rFonts w:hint="cs"/>
          <w:rtl/>
        </w:rPr>
        <w:t xml:space="preserve">מצבעים קריאה ל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38)</w:t>
      </w:r>
      <w:r>
        <w:rPr>
          <w:rFonts w:hint="cs"/>
          <w:rtl/>
        </w:rPr>
        <w:t xml:space="preserve"> בכדי לבצע </w:t>
      </w:r>
      <w:r>
        <w:t>Data Bindings</w:t>
      </w:r>
      <w:r>
        <w:rPr>
          <w:rFonts w:hint="cs"/>
          <w:rtl/>
        </w:rPr>
        <w:t xml:space="preserve"> עם לוגיקה "מורכבת" יותר</w:t>
      </w:r>
      <w:r w:rsidR="00243C62">
        <w:rPr>
          <w:rFonts w:hint="cs"/>
          <w:rtl/>
        </w:rPr>
        <w:t xml:space="preserve"> כאשר מודיעים על </w:t>
      </w:r>
      <w:r w:rsidR="00243C62">
        <w:t>property changed</w:t>
      </w:r>
      <w:r w:rsidR="00243C62">
        <w:rPr>
          <w:rFonts w:hint="cs"/>
          <w:rtl/>
        </w:rPr>
        <w:t>.</w:t>
      </w:r>
    </w:p>
    <w:p w14:paraId="0DB07512" w14:textId="6C02D943" w:rsidR="00BD09E3" w:rsidRDefault="00BD09E3" w:rsidP="008B14B6">
      <w:pPr>
        <w:pStyle w:val="ListParagraph"/>
        <w:rPr>
          <w:rtl/>
        </w:rPr>
      </w:pPr>
      <w:r>
        <w:rPr>
          <w:rFonts w:hint="cs"/>
          <w:rtl/>
        </w:rPr>
        <w:t xml:space="preserve">עבור שאר </w:t>
      </w:r>
      <w:r w:rsidR="00C62532">
        <w:rPr>
          <w:rFonts w:hint="cs"/>
          <w:rtl/>
        </w:rPr>
        <w:t>הפקדים</w:t>
      </w:r>
      <w:r>
        <w:rPr>
          <w:rFonts w:hint="cs"/>
          <w:rtl/>
        </w:rPr>
        <w:t xml:space="preserve"> השתמשנו ב </w:t>
      </w:r>
      <w:r>
        <w:t>binding</w:t>
      </w:r>
      <w:r>
        <w:rPr>
          <w:rFonts w:hint="cs"/>
          <w:rtl/>
        </w:rPr>
        <w:t xml:space="preserve"> </w:t>
      </w:r>
      <w:r w:rsidR="00C62532">
        <w:rPr>
          <w:rFonts w:hint="cs"/>
          <w:rtl/>
        </w:rPr>
        <w:t>פשוט</w:t>
      </w:r>
      <w:r>
        <w:rPr>
          <w:rFonts w:hint="cs"/>
          <w:rtl/>
        </w:rPr>
        <w:t xml:space="preserve"> דרך הפרופרטי שלהם</w:t>
      </w:r>
      <w:r w:rsidR="006205AE">
        <w:rPr>
          <w:rFonts w:hint="cs"/>
          <w:rtl/>
        </w:rPr>
        <w:t xml:space="preserve"> שמוצג </w:t>
      </w:r>
      <w:r w:rsidR="00CE40AA">
        <w:rPr>
          <w:rFonts w:hint="cs"/>
          <w:rtl/>
        </w:rPr>
        <w:t>ב</w:t>
      </w:r>
      <w:r w:rsidR="00CE40AA">
        <w:t>designer</w:t>
      </w:r>
      <w:r>
        <w:rPr>
          <w:rFonts w:hint="cs"/>
          <w:rtl/>
        </w:rPr>
        <w:t>.</w:t>
      </w:r>
    </w:p>
    <w:p w14:paraId="335E6CEA" w14:textId="76908810" w:rsidR="00904E73" w:rsidRDefault="00904E73" w:rsidP="008B14B6">
      <w:pPr>
        <w:pStyle w:val="ListParagraph"/>
      </w:pPr>
      <w:r>
        <w:rPr>
          <w:rFonts w:hint="cs"/>
          <w:rtl/>
        </w:rPr>
        <w:t xml:space="preserve">בשורות </w:t>
      </w:r>
      <w:r w:rsidRPr="00904E73">
        <w:rPr>
          <w:color w:val="E36C0A" w:themeColor="accent6" w:themeShade="BF"/>
        </w:rPr>
        <w:t>49, 58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1C0D31D" w14:textId="77777777" w:rsidR="001D0DBF" w:rsidRDefault="001D0DBF" w:rsidP="008B14B6">
      <w:pPr>
        <w:pStyle w:val="ListParagraph"/>
        <w:rPr>
          <w:rtl/>
        </w:rPr>
      </w:pPr>
    </w:p>
    <w:p w14:paraId="01FD8755" w14:textId="75E759E1" w:rsidR="00B70D60" w:rsidRDefault="001D0DBF" w:rsidP="00F72112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PostsForm</w:t>
      </w:r>
      <w:proofErr w:type="spellEnd"/>
      <w:r>
        <w:rPr>
          <w:rFonts w:hint="cs"/>
          <w:rtl/>
        </w:rPr>
        <w:t xml:space="preserve"> השתמשנו ב </w:t>
      </w:r>
      <w:r>
        <w:t>Data Bindings</w:t>
      </w:r>
      <w:r w:rsidR="00F72112">
        <w:rPr>
          <w:rFonts w:hint="cs"/>
          <w:rtl/>
        </w:rPr>
        <w:t>.</w:t>
      </w:r>
    </w:p>
    <w:p w14:paraId="4770103D" w14:textId="684497F7" w:rsidR="00F72112" w:rsidRDefault="00F72112" w:rsidP="00F72112">
      <w:pPr>
        <w:pStyle w:val="ListParagraph"/>
        <w:rPr>
          <w:rtl/>
        </w:rPr>
      </w:pPr>
      <w:r>
        <w:rPr>
          <w:rFonts w:hint="cs"/>
          <w:rtl/>
        </w:rPr>
        <w:t xml:space="preserve">מצבעים תחילה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 xml:space="preserve">(שורה 17) </w:t>
      </w:r>
      <w:r>
        <w:rPr>
          <w:rFonts w:hint="cs"/>
          <w:rtl/>
        </w:rPr>
        <w:t xml:space="preserve">בכדי לבצע </w:t>
      </w:r>
      <w:r>
        <w:t>Data Bindings</w:t>
      </w:r>
      <w:r>
        <w:rPr>
          <w:rFonts w:hint="cs"/>
          <w:rtl/>
        </w:rPr>
        <w:t xml:space="preserve"> מורכב יותר לחלק מן המידעים שנציג</w:t>
      </w:r>
      <w:r w:rsidR="008729E6">
        <w:rPr>
          <w:rFonts w:hint="cs"/>
          <w:rtl/>
        </w:rPr>
        <w:t xml:space="preserve"> בחלק מהפקדים</w:t>
      </w:r>
      <w:r>
        <w:rPr>
          <w:rFonts w:hint="cs"/>
          <w:rtl/>
        </w:rPr>
        <w:t>.</w:t>
      </w:r>
    </w:p>
    <w:p w14:paraId="06E451FB" w14:textId="7F0E1E31" w:rsidR="00647529" w:rsidRDefault="00647529" w:rsidP="00647529">
      <w:pPr>
        <w:pStyle w:val="ListParagraph"/>
      </w:pPr>
      <w:r>
        <w:rPr>
          <w:rFonts w:hint="cs"/>
          <w:rtl/>
        </w:rPr>
        <w:t xml:space="preserve">בשורות </w:t>
      </w:r>
      <w:r>
        <w:rPr>
          <w:color w:val="E36C0A" w:themeColor="accent6" w:themeShade="BF"/>
        </w:rPr>
        <w:t>30, 39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F112AFA" w14:textId="77777777" w:rsidR="00B70D60" w:rsidRPr="00647529" w:rsidRDefault="00B70D60" w:rsidP="00DB5E96">
      <w:pPr>
        <w:rPr>
          <w:rtl/>
        </w:rPr>
      </w:pP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D97A" w14:textId="77777777" w:rsidR="0000335D" w:rsidRDefault="0000335D" w:rsidP="00D171E7">
      <w:pPr>
        <w:spacing w:after="0" w:line="240" w:lineRule="auto"/>
      </w:pPr>
      <w:r>
        <w:separator/>
      </w:r>
    </w:p>
  </w:endnote>
  <w:endnote w:type="continuationSeparator" w:id="0">
    <w:p w14:paraId="05DB3FBA" w14:textId="77777777" w:rsidR="0000335D" w:rsidRDefault="0000335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A9B2" w14:textId="77777777" w:rsidR="0000335D" w:rsidRDefault="0000335D" w:rsidP="00D171E7">
      <w:pPr>
        <w:spacing w:after="0" w:line="240" w:lineRule="auto"/>
      </w:pPr>
      <w:r>
        <w:separator/>
      </w:r>
    </w:p>
  </w:footnote>
  <w:footnote w:type="continuationSeparator" w:id="0">
    <w:p w14:paraId="53B72730" w14:textId="77777777" w:rsidR="0000335D" w:rsidRDefault="0000335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35D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2F10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B1C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752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3E8"/>
    <w:rsid w:val="00F27DCC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74</cp:revision>
  <cp:lastPrinted>2013-08-01T09:12:00Z</cp:lastPrinted>
  <dcterms:created xsi:type="dcterms:W3CDTF">2013-11-24T18:21:00Z</dcterms:created>
  <dcterms:modified xsi:type="dcterms:W3CDTF">2021-09-14T20:31:00Z</dcterms:modified>
</cp:coreProperties>
</file>