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3C910A8B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1</w:t>
      </w:r>
      <w:r w:rsidR="001736ED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</w:t>
            </w:r>
            <w:proofErr w:type="spellStart"/>
            <w:r w:rsidRPr="00377243">
              <w:rPr>
                <w:rFonts w:hint="eastAsia"/>
              </w:rPr>
              <w:t>AppData</w:t>
            </w:r>
            <w:proofErr w:type="spellEnd"/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lastRenderedPageBreak/>
        <w:t>命令：</w:t>
      </w:r>
      <w:proofErr w:type="spellStart"/>
      <w:r>
        <w:rPr>
          <w:rFonts w:hint="eastAsia"/>
        </w:rPr>
        <w:t>devmgmt.msc</w:t>
      </w:r>
      <w:proofErr w:type="spellEnd"/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proofErr w:type="spellStart"/>
      <w:r>
        <w:rPr>
          <w:rFonts w:hint="eastAsia"/>
        </w:rPr>
        <w:t>tasklist</w:t>
      </w:r>
      <w:proofErr w:type="spellEnd"/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proofErr w:type="spellStart"/>
      <w:r>
        <w:rPr>
          <w:rFonts w:hint="eastAsia"/>
        </w:rPr>
        <w:t>taskkill</w:t>
      </w:r>
      <w:proofErr w:type="spellEnd"/>
      <w:r>
        <w:rPr>
          <w:rFonts w:hint="eastAsia"/>
        </w:rPr>
        <w:t xml:space="preserve">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gpedit.msc</w:t>
      </w:r>
      <w:proofErr w:type="spellEnd"/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1268A5A8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2</w:t>
      </w:r>
      <w:r w:rsidR="001736ED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proofErr w:type="spellStart"/>
      <w:r>
        <w:rPr>
          <w:rFonts w:hint="eastAsia"/>
        </w:rPr>
        <w:t>eventvwr.msc</w:t>
      </w:r>
      <w:proofErr w:type="spellEnd"/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lastRenderedPageBreak/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 xml:space="preserve">4. </w:t>
      </w:r>
      <w:proofErr w:type="spellStart"/>
      <w:r w:rsidRPr="00FB2733">
        <w:rPr>
          <w:b/>
          <w:bCs/>
        </w:rPr>
        <w:t>arp</w:t>
      </w:r>
      <w:proofErr w:type="spellEnd"/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-s 192.168.1.1 aa-bb-cc-dd-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 xml:space="preserve">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lastRenderedPageBreak/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proofErr w:type="spellStart"/>
      <w:r>
        <w:rPr>
          <w:rFonts w:hint="eastAsia"/>
        </w:rPr>
        <w:t>nslookup</w:t>
      </w:r>
      <w:proofErr w:type="spellEnd"/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>netstat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proofErr w:type="spellStart"/>
      <w:r w:rsidRPr="00FB2733">
        <w:rPr>
          <w:rFonts w:hint="eastAsia"/>
        </w:rPr>
        <w:t>netsh</w:t>
      </w:r>
      <w:proofErr w:type="spellEnd"/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</w:t>
      </w:r>
      <w:proofErr w:type="gramStart"/>
      <w:r>
        <w:t>echo</w:t>
      </w:r>
      <w:proofErr w:type="gramEnd"/>
      <w:r>
        <w:t xml:space="preserve"> off</w:t>
      </w:r>
    </w:p>
    <w:p w14:paraId="1B13D932" w14:textId="77777777" w:rsidR="006F23B8" w:rsidRDefault="006F23B8" w:rsidP="006F23B8">
      <w:pPr>
        <w:pStyle w:val="aff0"/>
      </w:pPr>
      <w:r>
        <w:t>ipconfig /</w:t>
      </w:r>
      <w:proofErr w:type="spellStart"/>
      <w:r>
        <w:t>flushdns</w:t>
      </w:r>
      <w:proofErr w:type="spellEnd"/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</w:t>
      </w:r>
      <w:proofErr w:type="spellStart"/>
      <w:r>
        <w:rPr>
          <w:rFonts w:hint="eastAsia"/>
        </w:rPr>
        <w:t>NetConnection</w:t>
      </w:r>
      <w:proofErr w:type="spellEnd"/>
      <w:r>
        <w:rPr>
          <w:rFonts w:hint="eastAsia"/>
        </w:rPr>
        <w:t xml:space="preserve">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lastRenderedPageBreak/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</w:t>
      </w:r>
      <w:proofErr w:type="spellStart"/>
      <w:r>
        <w:rPr>
          <w:rFonts w:hint="eastAsia"/>
        </w:rPr>
        <w:t>flushdns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适配器（</w:t>
      </w:r>
      <w:proofErr w:type="gramStart"/>
      <w:r>
        <w:rPr>
          <w:rFonts w:hint="eastAsia"/>
        </w:rPr>
        <w:t>禁用再</w:t>
      </w:r>
      <w:proofErr w:type="gramEnd"/>
      <w:r>
        <w:rPr>
          <w:rFonts w:hint="eastAsia"/>
        </w:rPr>
        <w:t>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proofErr w:type="gramStart"/>
      <w:r w:rsidRPr="00F00D45">
        <w:rPr>
          <w:rFonts w:hint="eastAsia"/>
        </w:rPr>
        <w:t>域与</w:t>
      </w:r>
      <w:proofErr w:type="gramEnd"/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=user1, 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lastRenderedPageBreak/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MessageID</w:t>
      </w:r>
      <w:proofErr w:type="spellEnd"/>
      <w:r>
        <w:t>: 1</w:t>
      </w:r>
    </w:p>
    <w:p w14:paraId="5F1CE505" w14:textId="77777777" w:rsidR="003F43DF" w:rsidRDefault="003F43DF" w:rsidP="003F43DF">
      <w:pPr>
        <w:pStyle w:val="aff0"/>
      </w:pPr>
      <w:r>
        <w:t xml:space="preserve">  </w:t>
      </w:r>
      <w:proofErr w:type="spellStart"/>
      <w:r>
        <w:t>ProtocolOp</w:t>
      </w:r>
      <w:proofErr w:type="spellEnd"/>
      <w:r>
        <w:t xml:space="preserve">: </w:t>
      </w:r>
      <w:proofErr w:type="spellStart"/>
      <w:r>
        <w:t>BindRequest</w:t>
      </w:r>
      <w:proofErr w:type="spellEnd"/>
      <w:r>
        <w:t xml:space="preserve">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</w:t>
      </w:r>
      <w:proofErr w:type="spellStart"/>
      <w:r>
        <w:t>cn</w:t>
      </w:r>
      <w:proofErr w:type="spellEnd"/>
      <w:r>
        <w:t>=</w:t>
      </w:r>
      <w:proofErr w:type="spellStart"/>
      <w:r>
        <w:t>admin,dc</w:t>
      </w:r>
      <w:proofErr w:type="spellEnd"/>
      <w:r>
        <w:t>=</w:t>
      </w:r>
      <w:proofErr w:type="spellStart"/>
      <w:r>
        <w:t>example,dc</w:t>
      </w:r>
      <w:proofErr w:type="spellEnd"/>
      <w:r>
        <w:t>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proofErr w:type="gramStart"/>
      <w:r w:rsidRPr="00194FFE">
        <w:rPr>
          <w:rFonts w:hint="eastAsia"/>
          <w:b/>
          <w:bCs/>
        </w:rPr>
        <w:t>域需求</w:t>
      </w:r>
      <w:proofErr w:type="gramEnd"/>
      <w:r w:rsidRPr="00194FFE">
        <w:rPr>
          <w:rFonts w:hint="eastAsia"/>
          <w:b/>
          <w:bCs/>
        </w:rPr>
        <w:t>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proofErr w:type="gramStart"/>
      <w:r w:rsidRPr="00FF3EC1">
        <w:rPr>
          <w:rFonts w:hint="eastAsia"/>
          <w:b/>
          <w:bCs/>
        </w:rPr>
        <w:t>域核心</w:t>
      </w:r>
      <w:proofErr w:type="gramEnd"/>
      <w:r w:rsidRPr="00FF3EC1">
        <w:rPr>
          <w:rFonts w:hint="eastAsia"/>
          <w:b/>
          <w:bCs/>
        </w:rPr>
        <w:t>组件</w:t>
      </w:r>
    </w:p>
    <w:p w14:paraId="551F5DAC" w14:textId="73DAFD74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3</w:t>
      </w:r>
      <w:r w:rsidR="001736ED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proofErr w:type="gramStart"/>
      <w:r w:rsidR="00842200" w:rsidRPr="00842200">
        <w:rPr>
          <w:rFonts w:hint="eastAsia"/>
          <w:bCs/>
        </w:rPr>
        <w:t>域核心</w:t>
      </w:r>
      <w:proofErr w:type="gramEnd"/>
      <w:r w:rsidR="00842200" w:rsidRPr="00842200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proofErr w:type="spellStart"/>
            <w:r w:rsidRPr="00842200">
              <w:rPr>
                <w:rFonts w:hint="eastAsia"/>
              </w:rPr>
              <w:t>NTDS.dit</w:t>
            </w:r>
            <w:proofErr w:type="spellEnd"/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proofErr w:type="gramStart"/>
      <w:r w:rsidRPr="00782142">
        <w:rPr>
          <w:rFonts w:hint="eastAsia"/>
          <w:b/>
          <w:bCs/>
        </w:rPr>
        <w:t>域工作</w:t>
      </w:r>
      <w:proofErr w:type="gramEnd"/>
      <w:r w:rsidRPr="00782142">
        <w:rPr>
          <w:rFonts w:hint="eastAsia"/>
          <w:b/>
          <w:bCs/>
        </w:rPr>
        <w:t>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lastRenderedPageBreak/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但域</w:t>
      </w:r>
      <w:proofErr w:type="gramEnd"/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proofErr w:type="gramStart"/>
      <w:r>
        <w:rPr>
          <w:rFonts w:hint="eastAsia"/>
        </w:rPr>
        <w:t>与域</w:t>
      </w:r>
      <w:proofErr w:type="gramEnd"/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</w:t>
      </w:r>
      <w:proofErr w:type="gramStart"/>
      <w:r>
        <w:rPr>
          <w:rFonts w:hint="eastAsia"/>
        </w:rPr>
        <w:t>域环境</w:t>
      </w:r>
      <w:proofErr w:type="gramEnd"/>
      <w:r>
        <w:rPr>
          <w:rFonts w:hint="eastAsia"/>
        </w:rPr>
        <w:t>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proofErr w:type="gramStart"/>
      <w:r w:rsidRPr="00B412D3">
        <w:rPr>
          <w:rFonts w:hint="eastAsia"/>
        </w:rPr>
        <w:t>域组策略</w:t>
      </w:r>
      <w:proofErr w:type="gramEnd"/>
      <w:r w:rsidRPr="00B412D3">
        <w:rPr>
          <w:rFonts w:hint="eastAsia"/>
        </w:rPr>
        <w:t>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lastRenderedPageBreak/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>net</w:t>
      </w:r>
      <w:proofErr w:type="gramStart"/>
      <w:r>
        <w:rPr>
          <w:rFonts w:hint="eastAsia"/>
        </w:rPr>
        <w:t xml:space="preserve"> user user</w:t>
      </w:r>
      <w:proofErr w:type="gramEnd"/>
      <w:r>
        <w:rPr>
          <w:rFonts w:hint="eastAsia"/>
        </w:rPr>
        <w:t xml:space="preserve">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proofErr w:type="spellStart"/>
      <w:r>
        <w:rPr>
          <w:rFonts w:hint="eastAsia"/>
        </w:rPr>
        <w:t>dsquery</w:t>
      </w:r>
      <w:proofErr w:type="spellEnd"/>
      <w:r>
        <w:rPr>
          <w:rFonts w:hint="eastAsia"/>
        </w:rPr>
        <w:t xml:space="preserve">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proofErr w:type="gramStart"/>
      <w:r w:rsidRPr="00D52F18">
        <w:rPr>
          <w:rFonts w:hint="eastAsia"/>
        </w:rPr>
        <w:t>域应用</w:t>
      </w:r>
      <w:proofErr w:type="gramEnd"/>
      <w:r w:rsidRPr="00D52F18">
        <w:rPr>
          <w:rFonts w:hint="eastAsia"/>
        </w:rPr>
        <w:t>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admin,dc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proofErr w:type="spellStart"/>
      <w:r>
        <w:rPr>
          <w:rFonts w:hint="eastAsia"/>
        </w:rPr>
        <w:t>ou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Users,dc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example,dc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proofErr w:type="spellStart"/>
      <w:r>
        <w:rPr>
          <w:rFonts w:hint="eastAsia"/>
        </w:rPr>
        <w:t>NTDS.dit</w:t>
      </w:r>
      <w:proofErr w:type="spellEnd"/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proofErr w:type="gramStart"/>
      <w:r w:rsidRPr="00437C88">
        <w:rPr>
          <w:rFonts w:hint="eastAsia"/>
          <w:b/>
          <w:bCs/>
        </w:rPr>
        <w:t>域与云集</w:t>
      </w:r>
      <w:proofErr w:type="gramEnd"/>
      <w:r w:rsidRPr="00437C88">
        <w:rPr>
          <w:rFonts w:hint="eastAsia"/>
          <w:b/>
          <w:bCs/>
        </w:rPr>
        <w:t>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</w:t>
      </w:r>
      <w:proofErr w:type="gramStart"/>
      <w:r>
        <w:rPr>
          <w:rFonts w:hint="eastAsia"/>
        </w:rPr>
        <w:t>域控制器</w:t>
      </w:r>
      <w:proofErr w:type="gramEnd"/>
      <w:r>
        <w:rPr>
          <w:rFonts w:hint="eastAsia"/>
        </w:rPr>
        <w:t>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gpresult</w:t>
      </w:r>
      <w:proofErr w:type="spellEnd"/>
      <w:r>
        <w:rPr>
          <w:rFonts w:hint="eastAsia"/>
        </w:rPr>
        <w:t xml:space="preserve">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0C58C583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4</w:t>
      </w:r>
      <w:r w:rsidR="001736ED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proofErr w:type="spellStart"/>
            <w:r w:rsidRPr="00625CB8">
              <w:rPr>
                <w:rFonts w:hint="eastAsia"/>
              </w:rPr>
              <w:t>Zsh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</w:t>
            </w:r>
            <w:proofErr w:type="spellStart"/>
            <w:r w:rsidRPr="00625CB8">
              <w:rPr>
                <w:rFonts w:hint="eastAsia"/>
              </w:rPr>
              <w:t>etc</w:t>
            </w:r>
            <w:proofErr w:type="spellEnd"/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lastRenderedPageBreak/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>tail -f /var/log/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lastRenderedPageBreak/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t>find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-type d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updatedb</w:t>
      </w:r>
      <w:proofErr w:type="spellEnd"/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 xml:space="preserve">locate </w:t>
      </w:r>
      <w:proofErr w:type="spellStart"/>
      <w:r w:rsidRPr="009E342F">
        <w:t>nginx.conf</w:t>
      </w:r>
      <w:proofErr w:type="spellEnd"/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3AB1947C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5</w:t>
      </w:r>
      <w:r w:rsidR="001736E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proofErr w:type="spellStart"/>
            <w:r w:rsidRPr="004D4078">
              <w:t>ip</w:t>
            </w:r>
            <w:proofErr w:type="spellEnd"/>
            <w:r w:rsidRPr="004D4078">
              <w:t xml:space="preserve"> </w:t>
            </w:r>
            <w:proofErr w:type="spellStart"/>
            <w:r w:rsidRPr="004D4078">
              <w:t>addr</w:t>
            </w:r>
            <w:proofErr w:type="spellEnd"/>
            <w:r w:rsidRPr="004D4078">
              <w:t xml:space="preserve">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</w:t>
            </w:r>
            <w:proofErr w:type="spellStart"/>
            <w:r w:rsidRPr="004D4078">
              <w:rPr>
                <w:rFonts w:hint="eastAsia"/>
              </w:rPr>
              <w:t>tuln</w:t>
            </w:r>
            <w:proofErr w:type="spellEnd"/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proofErr w:type="spellStart"/>
            <w:r w:rsidRPr="004D4078">
              <w:t>tcpdump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</w:t>
            </w:r>
            <w:proofErr w:type="gramStart"/>
            <w:r w:rsidRPr="004D4078">
              <w:rPr>
                <w:rFonts w:hint="eastAsia"/>
              </w:rPr>
              <w:t>包分析</w:t>
            </w:r>
            <w:proofErr w:type="gramEnd"/>
            <w:r w:rsidRPr="004D4078">
              <w:rPr>
                <w:rFonts w:hint="eastAsia"/>
              </w:rPr>
              <w:t>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</w:t>
            </w:r>
            <w:proofErr w:type="spellStart"/>
            <w:r w:rsidRPr="004D4078">
              <w:t>i</w:t>
            </w:r>
            <w:proofErr w:type="spellEnd"/>
            <w:r w:rsidRPr="004D4078">
              <w:t xml:space="preserve">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proofErr w:type="spellStart"/>
            <w:r w:rsidRPr="00E763D9">
              <w:t>wget</w:t>
            </w:r>
            <w:proofErr w:type="spellEnd"/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 xml:space="preserve">-A INPUT -p </w:t>
            </w:r>
            <w:proofErr w:type="spellStart"/>
            <w:r w:rsidRPr="00E763D9">
              <w:t>tcp</w:t>
            </w:r>
            <w:proofErr w:type="spellEnd"/>
            <w:r w:rsidRPr="00E763D9">
              <w:t xml:space="preserve"> --</w:t>
            </w:r>
            <w:proofErr w:type="spellStart"/>
            <w:r w:rsidRPr="00E763D9">
              <w:t>dport</w:t>
            </w:r>
            <w:proofErr w:type="spellEnd"/>
            <w:r w:rsidRPr="00E763D9">
              <w:t xml:space="preserve">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0" w:name="_Hlk199425226"/>
      <w:r w:rsidRPr="00085D14">
        <w:rPr>
          <w:rFonts w:hint="eastAsia"/>
          <w:b/>
          <w:bCs/>
        </w:rPr>
        <w:t>系统管理</w:t>
      </w:r>
      <w:bookmarkEnd w:id="0"/>
      <w:r w:rsidRPr="00085D14">
        <w:rPr>
          <w:rFonts w:hint="eastAsia"/>
          <w:b/>
          <w:bCs/>
        </w:rPr>
        <w:t>命令</w:t>
      </w:r>
    </w:p>
    <w:p w14:paraId="48834054" w14:textId="3FE96C65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6</w:t>
      </w:r>
      <w:r w:rsidR="001736ED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166D46">
              <w:rPr>
                <w:rFonts w:cs="Times New Roman"/>
              </w:rPr>
              <w:t>ps</w:t>
            </w:r>
            <w:proofErr w:type="spellEnd"/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sh</w:t>
            </w:r>
            <w:proofErr w:type="spellEnd"/>
            <w:r w:rsidRPr="00166D46">
              <w:rPr>
                <w:rFonts w:hint="eastAsia"/>
              </w:rPr>
              <w:t xml:space="preserve">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lastRenderedPageBreak/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6B6E9645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7</w:t>
      </w:r>
      <w:r w:rsidR="001736ED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 xml:space="preserve">rm -rf </w:t>
            </w:r>
            <w:proofErr w:type="spellStart"/>
            <w:r w:rsidRPr="00356855">
              <w:rPr>
                <w:rFonts w:hint="eastAsia"/>
              </w:rPr>
              <w:t>dir</w:t>
            </w:r>
            <w:proofErr w:type="spellEnd"/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proofErr w:type="spellStart"/>
            <w:r w:rsidRPr="00356855">
              <w:t>chmod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</w:t>
            </w:r>
            <w:proofErr w:type="spellStart"/>
            <w:r w:rsidRPr="00166D46">
              <w:rPr>
                <w:rFonts w:hint="eastAsia"/>
              </w:rPr>
              <w:t>hT</w:t>
            </w:r>
            <w:proofErr w:type="spellEnd"/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proofErr w:type="spellStart"/>
            <w:r w:rsidRPr="00356855">
              <w:t>chown</w:t>
            </w:r>
            <w:proofErr w:type="spellEnd"/>
            <w:r w:rsidRPr="00356855">
              <w:t xml:space="preserve"> </w:t>
            </w:r>
            <w:proofErr w:type="spellStart"/>
            <w:r w:rsidRPr="00356855">
              <w:t>user:group</w:t>
            </w:r>
            <w:proofErr w:type="spellEnd"/>
            <w:r w:rsidRPr="00356855">
              <w:t xml:space="preserve">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5C40F710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rPr>
                <w:rFonts w:cs="Times New Roman"/>
              </w:rPr>
              <w:t>ethtool</w:t>
            </w:r>
            <w:proofErr w:type="spellEnd"/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t>ethtool</w:t>
            </w:r>
            <w:proofErr w:type="spellEnd"/>
            <w:r w:rsidRPr="00CE08A4">
              <w:t xml:space="preserve">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CE08A4">
              <w:t>iperf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iperf</w:t>
            </w:r>
            <w:proofErr w:type="spellEnd"/>
            <w:r w:rsidRPr="00CE08A4">
              <w:rPr>
                <w:rFonts w:hint="eastAsia"/>
              </w:rPr>
              <w:t xml:space="preserve">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lspci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lspci</w:t>
            </w:r>
            <w:proofErr w:type="spellEnd"/>
            <w:r w:rsidRPr="00CE08A4">
              <w:rPr>
                <w:rFonts w:hint="eastAsia"/>
              </w:rPr>
              <w:t xml:space="preserve">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proofErr w:type="spellStart"/>
            <w:r w:rsidRPr="00CE08A4">
              <w:t>lsusb</w:t>
            </w:r>
            <w:proofErr w:type="spellEnd"/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proofErr w:type="spellStart"/>
            <w:r w:rsidRPr="00CE08A4">
              <w:rPr>
                <w:rFonts w:hint="eastAsia"/>
              </w:rPr>
              <w:t>lsusb</w:t>
            </w:r>
            <w:proofErr w:type="spellEnd"/>
            <w:r w:rsidRPr="00CE08A4">
              <w:rPr>
                <w:rFonts w:hint="eastAsia"/>
              </w:rPr>
              <w:t xml:space="preserve">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proofErr w:type="spellStart"/>
      <w:r w:rsidRPr="00630917">
        <w:t>ps</w:t>
      </w:r>
      <w:proofErr w:type="spellEnd"/>
      <w:r w:rsidRPr="00630917">
        <w:t xml:space="preserve"> aux | grep </w:t>
      </w:r>
      <w:proofErr w:type="spellStart"/>
      <w:r w:rsidRPr="00630917">
        <w:t>nginx</w:t>
      </w:r>
      <w:proofErr w:type="spellEnd"/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proofErr w:type="spellStart"/>
      <w:r w:rsidRPr="00382A51">
        <w:rPr>
          <w:rFonts w:hint="eastAsia"/>
        </w:rPr>
        <w:lastRenderedPageBreak/>
        <w:t>chmod</w:t>
      </w:r>
      <w:proofErr w:type="spellEnd"/>
      <w:r w:rsidRPr="00382A51">
        <w:rPr>
          <w:rFonts w:hint="eastAsia"/>
        </w:rPr>
        <w:t xml:space="preserve"> 755 script.sh  # </w:t>
      </w:r>
      <w:r w:rsidRPr="00382A51">
        <w:rPr>
          <w:rFonts w:hint="eastAsia"/>
        </w:rPr>
        <w:t>所有者：</w:t>
      </w:r>
      <w:proofErr w:type="spellStart"/>
      <w:r w:rsidRPr="00382A51">
        <w:rPr>
          <w:rFonts w:hint="eastAsia"/>
        </w:rPr>
        <w:t>rwx</w:t>
      </w:r>
      <w:proofErr w:type="spellEnd"/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3. </w:t>
      </w:r>
      <w:r w:rsidRPr="00382A51">
        <w:rPr>
          <w:rFonts w:hint="eastAsia"/>
          <w:b/>
          <w:bCs/>
        </w:rPr>
        <w:t>服务管理（</w:t>
      </w:r>
      <w:proofErr w:type="spellStart"/>
      <w:r w:rsidRPr="00382A51">
        <w:rPr>
          <w:rFonts w:hint="eastAsia"/>
          <w:b/>
          <w:bCs/>
        </w:rPr>
        <w:t>systemd</w:t>
      </w:r>
      <w:proofErr w:type="spellEnd"/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057E65C3" w14:textId="77777777" w:rsidR="00382A51" w:rsidRDefault="00382A51" w:rsidP="00382A51">
      <w:pPr>
        <w:pStyle w:val="aff0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nginx</w:t>
      </w:r>
      <w:proofErr w:type="spellEnd"/>
    </w:p>
    <w:p w14:paraId="44024A48" w14:textId="5D129DEA" w:rsidR="00382A51" w:rsidRDefault="00382A51" w:rsidP="00382A51">
      <w:pPr>
        <w:pStyle w:val="aff0"/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proofErr w:type="spellStart"/>
      <w:r w:rsidRPr="00382A51">
        <w:t>sudo</w:t>
      </w:r>
      <w:proofErr w:type="spellEnd"/>
      <w:r w:rsidRPr="00382A51">
        <w:t xml:space="preserve">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iputils</w:t>
      </w:r>
      <w:proofErr w:type="spellEnd"/>
      <w:r>
        <w:rPr>
          <w:rFonts w:hint="eastAsia"/>
        </w:rPr>
        <w:t xml:space="preserve">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lastRenderedPageBreak/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信任问题：如何确保接收的公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" w:name="_Hlk199427128"/>
      <w:r w:rsidRPr="00CF0412">
        <w:rPr>
          <w:rFonts w:hint="eastAsia"/>
          <w:b/>
          <w:bCs/>
        </w:rPr>
        <w:t>证书分类</w:t>
      </w:r>
      <w:bookmarkEnd w:id="1"/>
    </w:p>
    <w:p w14:paraId="6CF6982C" w14:textId="115E05E1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>STYLEREF 1 \s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8</w:t>
      </w:r>
      <w:r w:rsidR="001736ED">
        <w:fldChar w:fldCharType="end"/>
      </w:r>
      <w:r w:rsidR="001736ED">
        <w:t>.</w:t>
      </w:r>
      <w:r w:rsidR="001736ED">
        <w:fldChar w:fldCharType="begin"/>
      </w:r>
      <w:r w:rsidR="001736ED">
        <w:instrText xml:space="preserve"> </w:instrText>
      </w:r>
      <w:r w:rsidR="001736ED">
        <w:rPr>
          <w:rFonts w:hint="eastAsia"/>
        </w:rPr>
        <w:instrText xml:space="preserve">SEQ </w:instrText>
      </w:r>
      <w:r w:rsidR="001736ED">
        <w:rPr>
          <w:rFonts w:hint="eastAsia"/>
        </w:rPr>
        <w:instrText>表</w:instrText>
      </w:r>
      <w:r w:rsidR="001736ED">
        <w:rPr>
          <w:rFonts w:hint="eastAsia"/>
        </w:rPr>
        <w:instrText xml:space="preserve"> \* ARABIC \s 1</w:instrText>
      </w:r>
      <w:r w:rsidR="001736ED">
        <w:instrText xml:space="preserve"> </w:instrText>
      </w:r>
      <w:r w:rsidR="001736ED">
        <w:fldChar w:fldCharType="separate"/>
      </w:r>
      <w:r w:rsidR="001736ED">
        <w:rPr>
          <w:noProof/>
        </w:rPr>
        <w:t>9</w:t>
      </w:r>
      <w:r w:rsidR="001736ED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（包含在证书中）和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对证书签名，返回证书文件（如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lastRenderedPageBreak/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0877ADCB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</w:t>
            </w:r>
            <w:proofErr w:type="gramStart"/>
            <w:r w:rsidRPr="001736ED">
              <w:rPr>
                <w:rFonts w:hint="eastAsia"/>
              </w:rPr>
              <w:t>钥</w:t>
            </w:r>
            <w:proofErr w:type="gramEnd"/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pem</w:t>
            </w:r>
            <w:proofErr w:type="spellEnd"/>
            <w:r w:rsidRPr="001736ED">
              <w:t>, .</w:t>
            </w:r>
            <w:proofErr w:type="spellStart"/>
            <w:r w:rsidRPr="001736ED">
              <w:t>crt</w:t>
            </w:r>
            <w:proofErr w:type="spellEnd"/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</w:t>
            </w:r>
            <w:proofErr w:type="spellStart"/>
            <w:r w:rsidRPr="001736ED">
              <w:t>cer</w:t>
            </w:r>
            <w:proofErr w:type="spellEnd"/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</w:t>
            </w:r>
            <w:proofErr w:type="gramStart"/>
            <w:r w:rsidRPr="001736ED">
              <w:rPr>
                <w:rFonts w:hint="eastAsia"/>
              </w:rPr>
              <w:t>私钥</w:t>
            </w:r>
            <w:proofErr w:type="gramEnd"/>
            <w:r w:rsidRPr="001736ED">
              <w:rPr>
                <w:rFonts w:hint="eastAsia"/>
              </w:rPr>
              <w:t>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</w:t>
            </w:r>
            <w:proofErr w:type="spellStart"/>
            <w:r w:rsidRPr="001736ED">
              <w:t>pfx</w:t>
            </w:r>
            <w:proofErr w:type="spellEnd"/>
            <w:r w:rsidRPr="001736ED">
              <w:t>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lastRenderedPageBreak/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46282E9E" w14:textId="4DD4D0AC" w:rsidR="003619E5" w:rsidRPr="003619E5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</w:p>
    <w:sectPr w:rsidR="003619E5" w:rsidRPr="003619E5" w:rsidSect="00B13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8BCD" w14:textId="77777777" w:rsidR="00B03D17" w:rsidRDefault="00B03D17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6F55CE0A" w14:textId="77777777" w:rsidR="00B03D17" w:rsidRDefault="00B03D17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0A75334A" w14:textId="77777777" w:rsidR="00B03D17" w:rsidRDefault="00B03D17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8EBA" w14:textId="77777777" w:rsidR="00B03D17" w:rsidRDefault="00B03D17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38AC78BE" w14:textId="77777777" w:rsidR="00B03D17" w:rsidRDefault="00B03D17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7695BB02" w14:textId="77777777" w:rsidR="00B03D17" w:rsidRDefault="00B03D17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8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9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8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2"/>
  </w:num>
  <w:num w:numId="2">
    <w:abstractNumId w:val="147"/>
  </w:num>
  <w:num w:numId="3">
    <w:abstractNumId w:val="67"/>
  </w:num>
  <w:num w:numId="4">
    <w:abstractNumId w:val="94"/>
  </w:num>
  <w:num w:numId="5">
    <w:abstractNumId w:val="86"/>
  </w:num>
  <w:num w:numId="6">
    <w:abstractNumId w:val="78"/>
  </w:num>
  <w:num w:numId="7">
    <w:abstractNumId w:val="125"/>
  </w:num>
  <w:num w:numId="8">
    <w:abstractNumId w:val="77"/>
  </w:num>
  <w:num w:numId="9">
    <w:abstractNumId w:val="96"/>
  </w:num>
  <w:num w:numId="10">
    <w:abstractNumId w:val="32"/>
  </w:num>
  <w:num w:numId="11">
    <w:abstractNumId w:val="79"/>
  </w:num>
  <w:num w:numId="12">
    <w:abstractNumId w:val="110"/>
  </w:num>
  <w:num w:numId="13">
    <w:abstractNumId w:val="104"/>
  </w:num>
  <w:num w:numId="14">
    <w:abstractNumId w:val="12"/>
  </w:num>
  <w:num w:numId="15">
    <w:abstractNumId w:val="13"/>
  </w:num>
  <w:num w:numId="16">
    <w:abstractNumId w:val="119"/>
  </w:num>
  <w:num w:numId="17">
    <w:abstractNumId w:val="134"/>
  </w:num>
  <w:num w:numId="18">
    <w:abstractNumId w:val="126"/>
  </w:num>
  <w:num w:numId="19">
    <w:abstractNumId w:val="64"/>
  </w:num>
  <w:num w:numId="20">
    <w:abstractNumId w:val="57"/>
  </w:num>
  <w:num w:numId="21">
    <w:abstractNumId w:val="28"/>
  </w:num>
  <w:num w:numId="22">
    <w:abstractNumId w:val="24"/>
  </w:num>
  <w:num w:numId="23">
    <w:abstractNumId w:val="131"/>
  </w:num>
  <w:num w:numId="24">
    <w:abstractNumId w:val="83"/>
  </w:num>
  <w:num w:numId="25">
    <w:abstractNumId w:val="59"/>
  </w:num>
  <w:num w:numId="26">
    <w:abstractNumId w:val="140"/>
  </w:num>
  <w:num w:numId="27">
    <w:abstractNumId w:val="73"/>
  </w:num>
  <w:num w:numId="28">
    <w:abstractNumId w:val="128"/>
  </w:num>
  <w:num w:numId="29">
    <w:abstractNumId w:val="29"/>
  </w:num>
  <w:num w:numId="30">
    <w:abstractNumId w:val="100"/>
  </w:num>
  <w:num w:numId="31">
    <w:abstractNumId w:val="58"/>
  </w:num>
  <w:num w:numId="32">
    <w:abstractNumId w:val="148"/>
  </w:num>
  <w:num w:numId="33">
    <w:abstractNumId w:val="115"/>
  </w:num>
  <w:num w:numId="34">
    <w:abstractNumId w:val="68"/>
  </w:num>
  <w:num w:numId="35">
    <w:abstractNumId w:val="14"/>
  </w:num>
  <w:num w:numId="36">
    <w:abstractNumId w:val="95"/>
  </w:num>
  <w:num w:numId="37">
    <w:abstractNumId w:val="103"/>
  </w:num>
  <w:num w:numId="38">
    <w:abstractNumId w:val="18"/>
  </w:num>
  <w:num w:numId="39">
    <w:abstractNumId w:val="75"/>
  </w:num>
  <w:num w:numId="40">
    <w:abstractNumId w:val="42"/>
  </w:num>
  <w:num w:numId="41">
    <w:abstractNumId w:val="130"/>
  </w:num>
  <w:num w:numId="42">
    <w:abstractNumId w:val="44"/>
  </w:num>
  <w:num w:numId="43">
    <w:abstractNumId w:val="10"/>
  </w:num>
  <w:num w:numId="44">
    <w:abstractNumId w:val="142"/>
  </w:num>
  <w:num w:numId="45">
    <w:abstractNumId w:val="33"/>
  </w:num>
  <w:num w:numId="46">
    <w:abstractNumId w:val="141"/>
  </w:num>
  <w:num w:numId="47">
    <w:abstractNumId w:val="76"/>
  </w:num>
  <w:num w:numId="48">
    <w:abstractNumId w:val="61"/>
  </w:num>
  <w:num w:numId="49">
    <w:abstractNumId w:val="40"/>
  </w:num>
  <w:num w:numId="50">
    <w:abstractNumId w:val="138"/>
  </w:num>
  <w:num w:numId="51">
    <w:abstractNumId w:val="102"/>
  </w:num>
  <w:num w:numId="52">
    <w:abstractNumId w:val="123"/>
  </w:num>
  <w:num w:numId="53">
    <w:abstractNumId w:val="17"/>
  </w:num>
  <w:num w:numId="54">
    <w:abstractNumId w:val="80"/>
  </w:num>
  <w:num w:numId="55">
    <w:abstractNumId w:val="84"/>
  </w:num>
  <w:num w:numId="56">
    <w:abstractNumId w:val="48"/>
  </w:num>
  <w:num w:numId="57">
    <w:abstractNumId w:val="66"/>
  </w:num>
  <w:num w:numId="58">
    <w:abstractNumId w:val="4"/>
  </w:num>
  <w:num w:numId="59">
    <w:abstractNumId w:val="122"/>
  </w:num>
  <w:num w:numId="60">
    <w:abstractNumId w:val="90"/>
  </w:num>
  <w:num w:numId="61">
    <w:abstractNumId w:val="112"/>
  </w:num>
  <w:num w:numId="62">
    <w:abstractNumId w:val="151"/>
  </w:num>
  <w:num w:numId="63">
    <w:abstractNumId w:val="113"/>
  </w:num>
  <w:num w:numId="64">
    <w:abstractNumId w:val="37"/>
  </w:num>
  <w:num w:numId="65">
    <w:abstractNumId w:val="2"/>
  </w:num>
  <w:num w:numId="66">
    <w:abstractNumId w:val="15"/>
  </w:num>
  <w:num w:numId="67">
    <w:abstractNumId w:val="7"/>
  </w:num>
  <w:num w:numId="68">
    <w:abstractNumId w:val="1"/>
  </w:num>
  <w:num w:numId="69">
    <w:abstractNumId w:val="27"/>
  </w:num>
  <w:num w:numId="70">
    <w:abstractNumId w:val="34"/>
  </w:num>
  <w:num w:numId="71">
    <w:abstractNumId w:val="109"/>
  </w:num>
  <w:num w:numId="72">
    <w:abstractNumId w:val="45"/>
  </w:num>
  <w:num w:numId="73">
    <w:abstractNumId w:val="30"/>
  </w:num>
  <w:num w:numId="74">
    <w:abstractNumId w:val="23"/>
  </w:num>
  <w:num w:numId="75">
    <w:abstractNumId w:val="87"/>
  </w:num>
  <w:num w:numId="76">
    <w:abstractNumId w:val="121"/>
  </w:num>
  <w:num w:numId="77">
    <w:abstractNumId w:val="135"/>
  </w:num>
  <w:num w:numId="78">
    <w:abstractNumId w:val="56"/>
  </w:num>
  <w:num w:numId="79">
    <w:abstractNumId w:val="9"/>
  </w:num>
  <w:num w:numId="80">
    <w:abstractNumId w:val="150"/>
  </w:num>
  <w:num w:numId="81">
    <w:abstractNumId w:val="111"/>
  </w:num>
  <w:num w:numId="82">
    <w:abstractNumId w:val="60"/>
  </w:num>
  <w:num w:numId="83">
    <w:abstractNumId w:val="120"/>
  </w:num>
  <w:num w:numId="84">
    <w:abstractNumId w:val="16"/>
  </w:num>
  <w:num w:numId="85">
    <w:abstractNumId w:val="118"/>
  </w:num>
  <w:num w:numId="86">
    <w:abstractNumId w:val="117"/>
  </w:num>
  <w:num w:numId="87">
    <w:abstractNumId w:val="55"/>
  </w:num>
  <w:num w:numId="88">
    <w:abstractNumId w:val="116"/>
  </w:num>
  <w:num w:numId="89">
    <w:abstractNumId w:val="136"/>
  </w:num>
  <w:num w:numId="90">
    <w:abstractNumId w:val="6"/>
  </w:num>
  <w:num w:numId="91">
    <w:abstractNumId w:val="145"/>
  </w:num>
  <w:num w:numId="92">
    <w:abstractNumId w:val="65"/>
  </w:num>
  <w:num w:numId="93">
    <w:abstractNumId w:val="63"/>
  </w:num>
  <w:num w:numId="94">
    <w:abstractNumId w:val="146"/>
  </w:num>
  <w:num w:numId="95">
    <w:abstractNumId w:val="50"/>
  </w:num>
  <w:num w:numId="96">
    <w:abstractNumId w:val="35"/>
  </w:num>
  <w:num w:numId="97">
    <w:abstractNumId w:val="129"/>
  </w:num>
  <w:num w:numId="98">
    <w:abstractNumId w:val="21"/>
  </w:num>
  <w:num w:numId="99">
    <w:abstractNumId w:val="74"/>
  </w:num>
  <w:num w:numId="100">
    <w:abstractNumId w:val="114"/>
  </w:num>
  <w:num w:numId="101">
    <w:abstractNumId w:val="108"/>
  </w:num>
  <w:num w:numId="102">
    <w:abstractNumId w:val="22"/>
  </w:num>
  <w:num w:numId="103">
    <w:abstractNumId w:val="39"/>
  </w:num>
  <w:num w:numId="104">
    <w:abstractNumId w:val="101"/>
  </w:num>
  <w:num w:numId="105">
    <w:abstractNumId w:val="105"/>
  </w:num>
  <w:num w:numId="106">
    <w:abstractNumId w:val="88"/>
  </w:num>
  <w:num w:numId="107">
    <w:abstractNumId w:val="52"/>
  </w:num>
  <w:num w:numId="108">
    <w:abstractNumId w:val="124"/>
  </w:num>
  <w:num w:numId="109">
    <w:abstractNumId w:val="144"/>
  </w:num>
  <w:num w:numId="110">
    <w:abstractNumId w:val="143"/>
  </w:num>
  <w:num w:numId="111">
    <w:abstractNumId w:val="36"/>
  </w:num>
  <w:num w:numId="112">
    <w:abstractNumId w:val="19"/>
  </w:num>
  <w:num w:numId="113">
    <w:abstractNumId w:val="38"/>
  </w:num>
  <w:num w:numId="114">
    <w:abstractNumId w:val="99"/>
  </w:num>
  <w:num w:numId="115">
    <w:abstractNumId w:val="71"/>
  </w:num>
  <w:num w:numId="116">
    <w:abstractNumId w:val="70"/>
  </w:num>
  <w:num w:numId="117">
    <w:abstractNumId w:val="149"/>
  </w:num>
  <w:num w:numId="118">
    <w:abstractNumId w:val="132"/>
  </w:num>
  <w:num w:numId="119">
    <w:abstractNumId w:val="43"/>
  </w:num>
  <w:num w:numId="120">
    <w:abstractNumId w:val="85"/>
  </w:num>
  <w:num w:numId="121">
    <w:abstractNumId w:val="54"/>
  </w:num>
  <w:num w:numId="122">
    <w:abstractNumId w:val="31"/>
  </w:num>
  <w:num w:numId="123">
    <w:abstractNumId w:val="47"/>
  </w:num>
  <w:num w:numId="124">
    <w:abstractNumId w:val="152"/>
  </w:num>
  <w:num w:numId="125">
    <w:abstractNumId w:val="106"/>
  </w:num>
  <w:num w:numId="126">
    <w:abstractNumId w:val="46"/>
  </w:num>
  <w:num w:numId="127">
    <w:abstractNumId w:val="69"/>
  </w:num>
  <w:num w:numId="128">
    <w:abstractNumId w:val="26"/>
  </w:num>
  <w:num w:numId="129">
    <w:abstractNumId w:val="137"/>
  </w:num>
  <w:num w:numId="130">
    <w:abstractNumId w:val="97"/>
  </w:num>
  <w:num w:numId="131">
    <w:abstractNumId w:val="0"/>
  </w:num>
  <w:num w:numId="132">
    <w:abstractNumId w:val="72"/>
  </w:num>
  <w:num w:numId="133">
    <w:abstractNumId w:val="98"/>
  </w:num>
  <w:num w:numId="134">
    <w:abstractNumId w:val="41"/>
  </w:num>
  <w:num w:numId="135">
    <w:abstractNumId w:val="127"/>
  </w:num>
  <w:num w:numId="136">
    <w:abstractNumId w:val="81"/>
  </w:num>
  <w:num w:numId="137">
    <w:abstractNumId w:val="139"/>
  </w:num>
  <w:num w:numId="138">
    <w:abstractNumId w:val="92"/>
  </w:num>
  <w:num w:numId="139">
    <w:abstractNumId w:val="53"/>
  </w:num>
  <w:num w:numId="140">
    <w:abstractNumId w:val="5"/>
  </w:num>
  <w:num w:numId="141">
    <w:abstractNumId w:val="89"/>
  </w:num>
  <w:num w:numId="142">
    <w:abstractNumId w:val="49"/>
  </w:num>
  <w:num w:numId="143">
    <w:abstractNumId w:val="20"/>
  </w:num>
  <w:num w:numId="144">
    <w:abstractNumId w:val="51"/>
  </w:num>
  <w:num w:numId="145">
    <w:abstractNumId w:val="25"/>
  </w:num>
  <w:num w:numId="146">
    <w:abstractNumId w:val="133"/>
  </w:num>
  <w:num w:numId="147">
    <w:abstractNumId w:val="93"/>
  </w:num>
  <w:num w:numId="148">
    <w:abstractNumId w:val="107"/>
  </w:num>
  <w:num w:numId="149">
    <w:abstractNumId w:val="11"/>
  </w:num>
  <w:num w:numId="150">
    <w:abstractNumId w:val="82"/>
  </w:num>
  <w:num w:numId="151">
    <w:abstractNumId w:val="91"/>
  </w:num>
  <w:num w:numId="152">
    <w:abstractNumId w:val="3"/>
  </w:num>
  <w:num w:numId="153">
    <w:abstractNumId w:val="8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15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D17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6E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10799</TotalTime>
  <Pages>17</Pages>
  <Words>4531</Words>
  <Characters>6119</Characters>
  <Application>Microsoft Office Word</Application>
  <DocSecurity>0</DocSecurity>
  <Lines>407</Lines>
  <Paragraphs>532</Paragraphs>
  <ScaleCrop>false</ScaleCrop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2603</cp:revision>
  <cp:lastPrinted>2025-05-10T10:41:00Z</cp:lastPrinted>
  <dcterms:created xsi:type="dcterms:W3CDTF">2023-05-23T08:53:00Z</dcterms:created>
  <dcterms:modified xsi:type="dcterms:W3CDTF">2025-05-30T06:02:00Z</dcterms:modified>
</cp:coreProperties>
</file>