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b/>
          <w:bCs/>
          <w:color w:val="1A1A1A"/>
          <w:sz w:val="34"/>
          <w:szCs w:val="34"/>
        </w:rPr>
        <w:t xml:space="preserve">Yanjin Li</w:t>
      </w:r>
    </w:p>
    <w:p>
      <w:pPr>
        <w:spacing w:after="40"/>
      </w:pPr>
      <w:r>
        <w:rPr>
          <w:b/>
          <w:bCs/>
          <w:color w:val="1F3A5F"/>
          <w:sz w:val="21"/>
          <w:szCs w:val="21"/>
        </w:rPr>
        <w:t xml:space="preserve">Self-taught AI Engineer &amp; Researcher — research · systems · applied ML · product</w:t>
      </w:r>
    </w:p>
    <w:p>
      <w:pPr>
        <w:spacing w:after="80"/>
      </w:pPr>
      <w:hyperlink w:history="1" r:id="rIdiggb_kxmgb9uul7rwzriu">
        <w:r>
          <w:rPr>
            <w:color w:val="3E3E3E"/>
            <w:sz w:val="17"/>
            <w:szCs w:val="17"/>
          </w:rPr>
          <w:t xml:space="preserve">geraldineliyanjin@gmail.com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zf-0hbbvl7qygy9zy8usu">
        <w:r>
          <w:rPr>
            <w:color w:val="3E3E3E"/>
            <w:sz w:val="17"/>
            <w:szCs w:val="17"/>
          </w:rPr>
          <w:t xml:space="preserve">github.com/Yanjin-ai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r3-pdgcshzin9kxx8cvbk">
        <w:r>
          <w:rPr>
            <w:color w:val="3E3E3E"/>
            <w:sz w:val="17"/>
            <w:szCs w:val="17"/>
          </w:rPr>
          <w:t xml:space="preserve">yanjin-ai.github.io/portfolio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afbzu06jz9jmb0ay--dwx">
        <w:r>
          <w:rPr>
            <w:color w:val="3E3E3E"/>
            <w:sz w:val="17"/>
            <w:szCs w:val="17"/>
          </w:rPr>
          <w:t xml:space="preserve">Painting · @yanjin.l.painting</w:t>
        </w:r>
      </w:hyperlink>
    </w:p>
    <w:p>
      <w:pPr>
        <w:spacing w:after="20"/>
      </w:pPr>
      <w:r>
        <w:rPr>
          <w:color w:val="3E3E3E"/>
          <w:sz w:val="19"/>
          <w:szCs w:val="19"/>
        </w:rPr>
        <w:t xml:space="preserve">Self-taught AI builder — learning from papers and courses since early 2026, I designed, built and evaluated 11 projects in three months, spanning training-method research, multi-device AI systems, applied decision systems and shipped products.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SELECTED PROJECTS</w:t>
      </w:r>
    </w:p>
    <w:p>
      <w:pPr>
        <w:spacing w:after="70"/>
      </w:pPr>
      <w:r>
        <w:rPr>
          <w:i/>
          <w:iCs/>
          <w:color w:val="787878"/>
          <w:sz w:val="16"/>
          <w:szCs w:val="16"/>
        </w:rPr>
        <w:t xml:space="preserve">Each title links to its full technical write-up at yanjin-ai.github.io/portfolio.</w:t>
      </w:r>
    </w:p>
    <w:p>
      <w:pPr>
        <w:spacing w:after="20" w:before="60"/>
      </w:pPr>
      <w:hyperlink w:history="1" r:id="rId1ar4akumzsa_t0wteyika">
        <w:r>
          <w:rPr>
            <w:b/>
            <w:bCs/>
            <w:color w:val="1F3A5F"/>
            <w:sz w:val="20"/>
            <w:szCs w:val="20"/>
          </w:rPr>
          <w:t xml:space="preserve">Zero Gradient ↗</w:t>
        </w:r>
      </w:hyperlink>
      <w:r>
        <w:rPr>
          <w:color w:val="1A1A1A"/>
          <w:sz w:val="19"/>
          <w:szCs w:val="19"/>
        </w:rPr>
        <w:t xml:space="preserve"> — a 4.16B-parameter content-routed MoE language model trained with backpropagation globally disabled, on a single 16GB T4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Replaced end-to-end gradients with layer-local losses + depth-supervised readout heads, EMA-prototype content routing and frozen attention; 4 layers × 950 experts, top-2 routing, only 0.42% of experts updated per step — fully deterministic and reproducible.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Ran a 5-phase study; reached test ppl 1355 vs 159 for a same-budget backprop control (the measured 3–9× cost). Sentiment transfers at 79%, but relational (NLI) and arithmetic stay at chance.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Falsified my own 3 mechanistic hypotheses and corrected 2 false positives; a controlled trainable-attention transformer solved the same tasks at 100% (69.97% on real SNLI), proving the ceiling is architectural, not the absence of gradients. Paper draft + 8-page workshop paper + arXiv package.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PyTorch (autograd off) · MoE 950 experts/layer · layer-local learning · EMA routing · WikiText-103 · Kaggle T4</w:t>
      </w:r>
    </w:p>
    <w:p>
      <w:pPr>
        <w:spacing w:after="20" w:before="60"/>
      </w:pPr>
      <w:hyperlink w:history="1" r:id="rId14zbc67lu2e6cjv3grhtn">
        <w:r>
          <w:rPr>
            <w:b/>
            <w:bCs/>
            <w:color w:val="1F3A5F"/>
            <w:sz w:val="20"/>
            <w:szCs w:val="20"/>
          </w:rPr>
          <w:t xml:space="preserve">Gemma4all ↗</w:t>
        </w:r>
      </w:hyperlink>
      <w:r>
        <w:rPr>
          <w:color w:val="1A1A1A"/>
          <w:sz w:val="19"/>
          <w:szCs w:val="19"/>
        </w:rPr>
        <w:t xml:space="preserve"> — a cross-device AI task system: a phone task is routed to phone / desktop / cloud by privacy &amp; capability, hands off across devices, and every state change is an immutable event</w:t>
      </w:r>
      <w:r>
        <w:rPr>
          <w:color w:val="787878"/>
          <w:sz w:val="14"/>
          <w:szCs w:val="14"/>
        </w:rPr>
        <w:t xml:space="preserve">   SYSTEMS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Four principles — task-first, schema-first, control-plane-first, local-first; 42 JSON Schemas generate all types (zero hand-written DTOs across four languages), with 7 protocol docs + ADRs.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Built a TypeScript/Node control plane (event-sourced, SQLite, AJV validation, 7 API groups), a Python asyncio desktop runtime with 6 real tools + 16 tests, and native iOS/Android/macOS hosts discovering over Bonjour; on-device inference via LiteRT-LM on Metal GPU (4–6s/task).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A privacy-based routing engine + idempotent cross-device handoff; a dedicated security phase added a central policy, catastrophic-pattern screening, a fail-closed human-in-the-loop approval gate, and CI.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TypeScript · Python · Swift · Kotlin · JSON Schema 2020-12 · LiteRT-LM / Metal · SQLite · event sourcing · Bonjour</w:t>
      </w:r>
    </w:p>
    <w:p>
      <w:pPr>
        <w:spacing w:after="20" w:before="60"/>
      </w:pPr>
      <w:hyperlink w:history="1" r:id="rIdbdbyn3006i9xqohkyso3g">
        <w:r>
          <w:rPr>
            <w:b/>
            <w:bCs/>
            <w:color w:val="1F3A5F"/>
            <w:sz w:val="20"/>
            <w:szCs w:val="20"/>
          </w:rPr>
          <w:t xml:space="preserve">TriageGeist ↗</w:t>
        </w:r>
      </w:hyperlink>
      <w:r>
        <w:rPr>
          <w:color w:val="1A1A1A"/>
          <w:sz w:val="19"/>
          <w:szCs w:val="19"/>
        </w:rPr>
        <w:t xml:space="preserve"> — an emergency-department triage decision stack that chose data honesty over leaderboard rank</w:t>
      </w:r>
      <w:r>
        <w:rPr>
          <w:color w:val="787878"/>
          <w:sz w:val="14"/>
          <w:szCs w:val="14"/>
        </w:rPr>
        <w:t xml:space="preserve">   APPLIED ML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Discovered 99.7% of chief-complaint phrases mapped monotonically to one triage label (a fusion model hit QWK≈1.0) and refused to exploit it — documented it as a data-quality finding.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Built a text-blind multi-task GBDT instead (acuity + admission + length-of-stay, QWK 0.9287) on physiology features via one transform() shared by train and serve (no skew).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Wrapped it in governance: isotonic calibration (ECE −46%), conformal prediction (defers ~89% of cases to human review), bootstrap fairness CIs (found a 3× undertriage gap for Estonian speakers), an error taxonomy and a 4-view ops console. 12/12 tests.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LightGBM (multi-task) · isotonic calibration · conformal prediction (APS) · bootstrap fairness · shared transform()</w:t>
      </w:r>
    </w:p>
    <w:p>
      <w:pPr>
        <w:spacing w:after="20" w:before="60"/>
      </w:pPr>
      <w:hyperlink w:history="1" r:id="rIddseivey66bvc1l_ziny6w">
        <w:r>
          <w:rPr>
            <w:b/>
            <w:bCs/>
            <w:color w:val="1F3A5F"/>
            <w:sz w:val="20"/>
            <w:szCs w:val="20"/>
          </w:rPr>
          <w:t xml:space="preserve">NeuroGolf (ARC-AGI) ↗</w:t>
        </w:r>
      </w:hyperlink>
      <w:r>
        <w:rPr>
          <w:color w:val="1A1A1A"/>
          <w:sz w:val="19"/>
          <w:szCs w:val="19"/>
        </w:rPr>
        <w:t xml:space="preserve"> — compiling each of 400 ARC-AGI tasks into a minimal static ONNX network (scored max(1, 25 − ln(params + memory)))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Reframed a “neural golf” contest from a learning problem into program synthesis + circuit golfing, realizing the official per-task generator is the ground-truth rule and same-distribution sampler.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Reverse-engineered the scorer into a cost model (input/output &amp; node attributes free; single-node circuits ≈ 0 memory; log-scale ⇒ redesign ≫ tuning); built an oracle, a graph library, and a 3-level validator (official + 3000+ generated samples + constraint audit).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Key lesson: an LP-fit conv passed 3000 local samples but scored 0 on Kaggle — distinguishing “fitting a function that passes the samples” from “implementing the true rule”; only integer-weight circuits (margin ≥1) are private-set-robust. Wrote a transferable methodology note.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ONNX / onnxruntime · program synthesis · scorer reverse-engineering · integer-weight circuits · LP / torch fitting</w:t>
      </w:r>
    </w:p>
    <w:p>
      <w:pPr>
        <w:spacing w:after="20" w:before="60"/>
      </w:pPr>
      <w:hyperlink w:history="1" r:id="rId3a-nrkd3btxf-gubumeh6">
        <w:r>
          <w:rPr>
            <w:b/>
            <w:bCs/>
            <w:color w:val="1F3A5F"/>
            <w:sz w:val="20"/>
            <w:szCs w:val="20"/>
          </w:rPr>
          <w:t xml:space="preserve">AI Showrunner ↗</w:t>
        </w:r>
      </w:hyperlink>
      <w:r>
        <w:rPr>
          <w:color w:val="1A1A1A"/>
          <w:sz w:val="19"/>
          <w:szCs w:val="19"/>
        </w:rPr>
        <w:t xml:space="preserve"> — one sentence → a subtitled 9:16 short film; an end-to-end AI virtual-production pipeline</w:t>
      </w:r>
      <w:r>
        <w:rPr>
          <w:color w:val="787878"/>
          <w:sz w:val="14"/>
          <w:szCs w:val="14"/>
        </w:rPr>
        <w:t xml:space="preserve">   PRODUCT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Pipeline: script → storyboard → per-shot video generation → a vision-model critic → multi-language subtitles, all as replayable Pydantic JSON artifacts with human-in-the-loop gates and per-run cost ceilings.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A closed-loop critic (not one-shot): each clip is sampled at 3 frames and scored by a VL model on narrative alignment / character consistency / technical quality; failures produce targeted fix-prompts within a retry budget.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Cross-shot character consistency via canonical reference portraits injected as image-to-video first frames (verified 9–10); six complete end-to-end films produced.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FastAPI · asyncio · Pydantic · Qwen-Max planner · Qwen-VL critic · Wan I2V/T2V · ffmpeg</w:t>
      </w:r>
    </w:p>
    <w:p>
      <w:pPr>
        <w:spacing w:after="20" w:before="60"/>
      </w:pPr>
      <w:hyperlink w:history="1" r:id="rIdtaldclqudtabmixmpppln">
        <w:r>
          <w:rPr>
            <w:b/>
            <w:bCs/>
            <w:color w:val="1F3A5F"/>
            <w:sz w:val="20"/>
            <w:szCs w:val="20"/>
          </w:rPr>
          <w:t xml:space="preserve">Nemotron Post-training ↗</w:t>
        </w:r>
      </w:hyperlink>
      <w:r>
        <w:rPr>
          <w:color w:val="1A1A1A"/>
          <w:sz w:val="19"/>
          <w:szCs w:val="19"/>
        </w:rPr>
        <w:t xml:space="preserve"> — a reproducible post-training pipeline for NVIDIA Nemotron-3-Nano-30B (MoE + Mamba–Transformer hybrid); a fully root-caused failure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Built a rule-teacher → CoT-SFT pipeline: a deterministic rule solver as teacher (EM 0.75, 100% format) for clean distillation labels; loaded the 30B MoE in 4-bit on one GPU; found and patched a cache_position bug; masked SFT collator; multi-dimensional reward shaping for GRPO/DPO.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SFT loss fell to 0.33 but generation collapsed (EM 0%); root-caused the teacher-forcing / generation mismatch, wrote six postmortems, and designed the native-PEFT recovery route.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Distilled a permanent process rule: sanity-check the full train→generate loop on 5 samples before any long run.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Transformers · PEFT/LoRA · Unsloth · TRL · 4-bit quantization · GRPO reward shaping</w:t>
      </w:r>
    </w:p>
    <w:p>
      <w:pPr>
        <w:spacing w:after="20" w:before="30"/>
      </w:pPr>
      <w:r>
        <w:rPr>
          <w:b/>
          <w:bCs/>
          <w:color w:val="1A1A1A"/>
          <w:sz w:val="17"/>
          <w:szCs w:val="17"/>
        </w:rPr>
        <w:t xml:space="preserve">Also built: </w:t>
      </w:r>
      <w:r>
        <w:rPr>
          <w:color w:val="3E3E3E"/>
          <w:sz w:val="17"/>
          <w:szCs w:val="17"/>
        </w:rPr>
        <w:t xml:space="preserve">Offline French Companion (in-browser LLM tutor — WebLLM + Whisper + OCR, fully offline) · Orbit Wars (multi-agent evaluation methodology) · Maze Crawler (strategy agent with CI) · VoiceInput (pure-Swift macOS speech input) · Atelier Post (shipped art-to-Instagram tool, web/PWA/iOS — live).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PROFESSIONAL EXPERIENCE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BNP Paribas</w:t>
      </w:r>
      <w:r>
        <w:rPr>
          <w:color w:val="3E3E3E"/>
          <w:sz w:val="18"/>
          <w:szCs w:val="18"/>
        </w:rPr>
        <w:t xml:space="preserve">  —  Global Corporate Banking Intern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Paris · Dec 2025 – Present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Structured tailored cross-border transactional and financing solutions for multinational clients; built and presented pitchbooks combining market analysis with pricing and cross-border liquidity.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Helped land internal AI tooling — built RAG knowledge bases on Open WebUI and Dify to improve client-response efficiency (book incl. CATL, BYD, Alipay, Midea, TCL, JD.com).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HSBC</w:t>
      </w:r>
      <w:r>
        <w:rPr>
          <w:color w:val="3E3E3E"/>
          <w:sz w:val="18"/>
          <w:szCs w:val="18"/>
        </w:rPr>
        <w:t xml:space="preserve">  —  Global Markets, Liquidity &amp; Investment Intern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Paris · Jun – Nov 2024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Monitored Fed/ECB/BoE rates and money markets to optimize short-term EMEA portfolios under LCR/NSFR; built automated VBA/Excel tools tracking rate moves and pricing gaps in real time.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Developed dynamic pricing models for wholesale deposits; contributed to the ALCM committee (gap-risk analysis, funding-cost optimization).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TikTok</w:t>
      </w:r>
      <w:r>
        <w:rPr>
          <w:color w:val="3E3E3E"/>
          <w:sz w:val="18"/>
          <w:szCs w:val="18"/>
        </w:rPr>
        <w:t xml:space="preserve">  —  Growth Strategy Intern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Beijing · Feb – May 2023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Contributed to 10+ strategic projects, growing SaaS/AI market share by 23%; ran SQL/Excel analytics for a 20+ member team and lifted user conversion by 13% in one month.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Uber China · DiDi</w:t>
      </w:r>
      <w:r>
        <w:rPr>
          <w:color w:val="3E3E3E"/>
          <w:sz w:val="18"/>
          <w:szCs w:val="18"/>
        </w:rPr>
        <w:t xml:space="preserve">  —  Product Management &amp; User Operations Intern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Beijing · Aug 2022 – Jan 2023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Managed 3 business-operations projects; analyzed large datasets in Python, SQL and VBA to build predictive models and data-driven user-interaction strategies.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EDUCATION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ESCP Business School (Paris &amp; London)</w:t>
      </w:r>
      <w:r>
        <w:rPr>
          <w:color w:val="3E3E3E"/>
          <w:sz w:val="18"/>
          <w:szCs w:val="18"/>
        </w:rPr>
        <w:t xml:space="preserve">  —  Master in Management, Finance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2023 – 2026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Beijing International Studies University</w:t>
      </w:r>
      <w:r>
        <w:rPr>
          <w:color w:val="3E3E3E"/>
          <w:sz w:val="18"/>
          <w:szCs w:val="18"/>
        </w:rPr>
        <w:t xml:space="preserve">  —  BA Language &amp; Culture (French, Japanese); minor New Media (CUC); self-taught Psychology (Yale/Coursera)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2019 – 2023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SKILLS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Programming: </w:t>
      </w:r>
      <w:r>
        <w:rPr>
          <w:color w:val="3E3E3E"/>
          <w:sz w:val="18"/>
          <w:szCs w:val="18"/>
        </w:rPr>
        <w:t xml:space="preserve">Python · TypeScript/Node · Swift · Kotlin · JavaScript · SQL · VBA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AI / ML: </w:t>
      </w:r>
      <w:r>
        <w:rPr>
          <w:color w:val="3E3E3E"/>
          <w:sz w:val="18"/>
          <w:szCs w:val="18"/>
        </w:rPr>
        <w:t xml:space="preserve">PyTorch · LoRA/PEFT · MoE · calibration · conformal prediction · LiteRT-LM · ONNX · WebLLM · Whisper · LLM/agent orchestration · schema-first &amp; event-sourced systems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Spoken languages: </w:t>
      </w:r>
      <w:r>
        <w:rPr>
          <w:color w:val="3E3E3E"/>
          <w:sz w:val="18"/>
          <w:szCs w:val="18"/>
        </w:rPr>
        <w:t xml:space="preserve">Chinese (native) · English (fluent) · French (fluent) · Japanese (working)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Strengths: </w:t>
      </w:r>
      <w:r>
        <w:rPr>
          <w:color w:val="3E3E3E"/>
          <w:sz w:val="18"/>
          <w:szCs w:val="18"/>
        </w:rPr>
        <w:t xml:space="preserve">High agency and a self-taught, zero-to-one builder — curious, reflective and resilient, with strong insight and a painter's eye for design, at home across cultures and languages.</w:t>
      </w:r>
    </w:p>
    <w:sectPr>
      <w:pgSz w:w="12240" w:h="15840" w:orient="portrait"/>
      <w:pgMar w:top="640" w:right="600" w:bottom="64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ggb_kxmgb9uul7rwzriu" Type="http://schemas.openxmlformats.org/officeDocument/2006/relationships/hyperlink" Target="mailto:geraldineliyanjin@gmail.com" TargetMode="External"/><Relationship Id="rIdzf-0hbbvl7qygy9zy8usu" Type="http://schemas.openxmlformats.org/officeDocument/2006/relationships/hyperlink" Target="https://github.com/Yanjin-ai" TargetMode="External"/><Relationship Id="rIdr3-pdgcshzin9kxx8cvbk" Type="http://schemas.openxmlformats.org/officeDocument/2006/relationships/hyperlink" Target="https://yanjin-ai.github.io/portfolio/" TargetMode="External"/><Relationship Id="rIdafbzu06jz9jmb0ay--dwx" Type="http://schemas.openxmlformats.org/officeDocument/2006/relationships/hyperlink" Target="https://www.instagram.com/yanjin.l.painting/" TargetMode="External"/><Relationship Id="rId1ar4akumzsa_t0wteyika" Type="http://schemas.openxmlformats.org/officeDocument/2006/relationships/hyperlink" Target="https://yanjin-ai.github.io/portfolio/#p-zerograd" TargetMode="External"/><Relationship Id="rId14zbc67lu2e6cjv3grhtn" Type="http://schemas.openxmlformats.org/officeDocument/2006/relationships/hyperlink" Target="https://yanjin-ai.github.io/portfolio/#p-gemma" TargetMode="External"/><Relationship Id="rIdbdbyn3006i9xqohkyso3g" Type="http://schemas.openxmlformats.org/officeDocument/2006/relationships/hyperlink" Target="https://yanjin-ai.github.io/portfolio/#p-triage" TargetMode="External"/><Relationship Id="rIddseivey66bvc1l_ziny6w" Type="http://schemas.openxmlformats.org/officeDocument/2006/relationships/hyperlink" Target="https://yanjin-ai.github.io/portfolio/#p-neurogolf" TargetMode="External"/><Relationship Id="rId3a-nrkd3btxf-gubumeh6" Type="http://schemas.openxmlformats.org/officeDocument/2006/relationships/hyperlink" Target="https://yanjin-ai.github.io/portfolio/#p-showrunner" TargetMode="External"/><Relationship Id="rIdtaldclqudtabmixmpppln" Type="http://schemas.openxmlformats.org/officeDocument/2006/relationships/hyperlink" Target="https://yanjin-ai.github.io/portfolio/#p-nemotr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2026-07-11T14:18:57.646Z</dcterms:created>
  <dcterms:modified xsi:type="dcterms:W3CDTF">2026-07-11T14:18:57.651Z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