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  <w:r>
        <w:rPr>
          <w:b/>
          <w:bCs/>
          <w:color w:val="1A1A1A"/>
          <w:sz w:val="26"/>
          <w:szCs w:val="26"/>
        </w:rPr>
        <w:t xml:space="preserve">  李彦瑾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自学 AI 工程师与研究者 —— 研究 · 系统 · 应用 ML · 产品</w:t>
      </w:r>
    </w:p>
    <w:p>
      <w:pPr>
        <w:spacing w:after="70"/>
      </w:pPr>
      <w:hyperlink w:history="1" r:id="rIdlffr3c6axmijrii8ouqkz">
        <w:r>
          <w:rPr>
            <w:color w:val="4A4A4A"/>
            <w:sz w:val="17"/>
            <w:szCs w:val="17"/>
          </w:rPr>
          <w:t xml:space="preserve">geraldineliyanjin@gmail.com</w:t>
        </w:r>
      </w:hyperlink>
      <w:r>
        <w:rPr>
          <w:color w:val="7A7A7A"/>
          <w:sz w:val="17"/>
          <w:szCs w:val="17"/>
        </w:rPr>
        <w:t xml:space="preserve">   ·   </w:t>
      </w:r>
      <w:hyperlink w:history="1" r:id="rIdak0f_65phkyydbliqrqhw">
        <w:r>
          <w:rPr>
            <w:color w:val="4A4A4A"/>
            <w:sz w:val="17"/>
            <w:szCs w:val="17"/>
          </w:rPr>
          <w:t xml:space="preserve">github.com/Yanjin-ai</w:t>
        </w:r>
      </w:hyperlink>
      <w:r>
        <w:rPr>
          <w:color w:val="7A7A7A"/>
          <w:sz w:val="17"/>
          <w:szCs w:val="17"/>
        </w:rPr>
        <w:t xml:space="preserve">   ·   </w:t>
      </w:r>
      <w:hyperlink w:history="1" r:id="rIda69o3na0h6j2pizi_mbxc">
        <w:r>
          <w:rPr>
            <w:color w:val="4A4A4A"/>
            <w:sz w:val="17"/>
            <w:szCs w:val="17"/>
          </w:rPr>
          <w:t xml:space="preserve">yanjin-ai.github.io/portfolio</w:t>
        </w:r>
      </w:hyperlink>
      <w:r>
        <w:rPr>
          <w:color w:val="7A7A7A"/>
          <w:sz w:val="17"/>
          <w:szCs w:val="17"/>
        </w:rPr>
        <w:t xml:space="preserve">   ·   </w:t>
      </w:r>
      <w:hyperlink w:history="1" r:id="rIdqdey-iqkigdcuwlzsimsk">
        <w:r>
          <w:rPr>
            <w:color w:val="4A4A4A"/>
            <w:sz w:val="17"/>
            <w:szCs w:val="17"/>
          </w:rPr>
          <w:t xml:space="preserve">画作 · @yanjin.l.painting</w:t>
        </w:r>
      </w:hyperlink>
    </w:p>
    <w:p>
      <w:pPr>
        <w:spacing w:after="20"/>
      </w:pPr>
      <w:r>
        <w:rPr>
          <w:color w:val="4A4A4A"/>
          <w:sz w:val="19"/>
          <w:szCs w:val="19"/>
        </w:rPr>
        <w:t xml:space="preserve">自学成长的 AI 建造者 —— 自 2026 年初起靠论文与课程自学，在三个月内独立设计、实现并评估了 11 个项目，覆盖训练方法研究、多设备 AI 系统、应用决策系统与已上线产品。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精选项目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Zero Gradient</w:t>
      </w:r>
      <w:r>
        <w:rPr>
          <w:color w:val="1A1A1A"/>
          <w:sz w:val="20"/>
          <w:szCs w:val="20"/>
        </w:rPr>
        <w:t xml:space="preserve"> — 无反向传播训练的 4.16B 参数语言模型</w:t>
      </w:r>
      <w:r>
        <w:rPr>
          <w:color w:val="7A7A7A"/>
          <w:sz w:val="15"/>
          <w:szCs w:val="15"/>
        </w:rPr>
        <w:t xml:space="preserve">   RESEARCH</w:t>
      </w:r>
    </w:p>
    <w:p>
      <w:pPr>
        <w:spacing w:after="0"/>
      </w:pPr>
      <w:r>
        <w:rPr>
          <w:color w:val="4A4A4A"/>
          <w:sz w:val="18"/>
          <w:szCs w:val="18"/>
        </w:rPr>
        <w:t xml:space="preserve">在单块 T4 上全局禁用 autograd 训练内容路由 MoE 语言模型；用五阶段能力边界研究 + 对照实验证明天花板在架构而非算法。论文草稿 + arXiv 包。</w:t>
      </w:r>
    </w:p>
    <w:p>
      <w:pPr>
        <w:spacing w:after="20"/>
      </w:pPr>
      <w:r>
        <w:rPr>
          <w:color w:val="1F3A5F"/>
          <w:sz w:val="16"/>
          <w:szCs w:val="16"/>
        </w:rPr>
        <w:t xml:space="preserve">PyTorch · MoE · layer-local learning · WikiText-103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Gemma4all</w:t>
      </w:r>
      <w:r>
        <w:rPr>
          <w:color w:val="1A1A1A"/>
          <w:sz w:val="20"/>
          <w:szCs w:val="20"/>
        </w:rPr>
        <w:t xml:space="preserve"> — 跨设备 AI 任务系统</w:t>
      </w:r>
      <w:r>
        <w:rPr>
          <w:color w:val="7A7A7A"/>
          <w:sz w:val="15"/>
          <w:szCs w:val="15"/>
        </w:rPr>
        <w:t xml:space="preserve">   SYSTEMS</w:t>
      </w:r>
    </w:p>
    <w:p>
      <w:pPr>
        <w:spacing w:after="0"/>
      </w:pPr>
      <w:r>
        <w:rPr>
          <w:color w:val="4A4A4A"/>
          <w:sz w:val="18"/>
          <w:szCs w:val="18"/>
        </w:rPr>
        <w:t xml:space="preserve">Schema-first（42 份 JSON Schema）、事件溯源、本地优先系统，含 fail-closed 人在回路审批与基于隐私的路由引擎，覆盖 iOS/Android/macOS；端侧推理基于 Metal GPU 上的 LiteRT-LM。</w:t>
      </w:r>
    </w:p>
    <w:p>
      <w:pPr>
        <w:spacing w:after="20"/>
      </w:pPr>
      <w:r>
        <w:rPr>
          <w:color w:val="1F3A5F"/>
          <w:sz w:val="16"/>
          <w:szCs w:val="16"/>
        </w:rPr>
        <w:t xml:space="preserve">TypeScript · Python · Swift · Kotlin · JSON Schema · event sourcing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TriageGeist</w:t>
      </w:r>
      <w:r>
        <w:rPr>
          <w:color w:val="1A1A1A"/>
          <w:sz w:val="20"/>
          <w:szCs w:val="20"/>
        </w:rPr>
        <w:t xml:space="preserve"> — 可信急诊分诊决策栈</w:t>
      </w:r>
      <w:r>
        <w:rPr>
          <w:color w:val="7A7A7A"/>
          <w:sz w:val="15"/>
          <w:szCs w:val="15"/>
        </w:rPr>
        <w:t xml:space="preserve">   APPLIED ML</w:t>
      </w:r>
    </w:p>
    <w:p>
      <w:pPr>
        <w:spacing w:after="0"/>
      </w:pPr>
      <w:r>
        <w:rPr>
          <w:color w:val="4A4A4A"/>
          <w:sz w:val="18"/>
          <w:szCs w:val="18"/>
        </w:rPr>
        <w:t xml:space="preserve">发现 99.7% 标签泄漏并拒绝利用；构建文本盲 GBDT（QWK 0.93），外加 isotonic 校准、conformal 不确定性、bootstrap 公平性审计与运营控制台。12/12 测试通过。</w:t>
      </w:r>
    </w:p>
    <w:p>
      <w:pPr>
        <w:spacing w:after="20"/>
      </w:pPr>
      <w:r>
        <w:rPr>
          <w:color w:val="1F3A5F"/>
          <w:sz w:val="16"/>
          <w:szCs w:val="16"/>
        </w:rPr>
        <w:t xml:space="preserve">LightGBM · conformal prediction · calibration · fairness audit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NeuroGolf (ARC-AGI)</w:t>
      </w:r>
      <w:r>
        <w:rPr>
          <w:color w:val="1A1A1A"/>
          <w:sz w:val="20"/>
          <w:szCs w:val="20"/>
        </w:rPr>
        <w:t xml:space="preserve"> — 最小 ONNX 电路编译器</w:t>
      </w:r>
      <w:r>
        <w:rPr>
          <w:color w:val="7A7A7A"/>
          <w:sz w:val="15"/>
          <w:szCs w:val="15"/>
        </w:rPr>
        <w:t xml:space="preserve">   RESEARCH</w:t>
      </w:r>
    </w:p>
    <w:p>
      <w:pPr>
        <w:spacing w:after="0"/>
      </w:pPr>
      <w:r>
        <w:rPr>
          <w:color w:val="4A4A4A"/>
          <w:sz w:val="18"/>
          <w:szCs w:val="18"/>
        </w:rPr>
        <w:t xml:space="preserve">把 ARC-AGI“神经高尔夫”比赛重构为程序合成；将评分器逆向成成本模型，把真规则编译成抗过拟合的整数权重电路，并在 3000+ 生成样例上验证。</w:t>
      </w:r>
    </w:p>
    <w:p>
      <w:pPr>
        <w:spacing w:after="20"/>
      </w:pPr>
      <w:r>
        <w:rPr>
          <w:color w:val="1F3A5F"/>
          <w:sz w:val="16"/>
          <w:szCs w:val="16"/>
        </w:rPr>
        <w:t xml:space="preserve">ONNX · program synthesis · scorer reverse-engineering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AI Showrunner</w:t>
      </w:r>
      <w:r>
        <w:rPr>
          <w:color w:val="1A1A1A"/>
          <w:sz w:val="20"/>
          <w:szCs w:val="20"/>
        </w:rPr>
        <w:t xml:space="preserve"> — 一句话 → 带字幕竖屏短剧</w:t>
      </w:r>
      <w:r>
        <w:rPr>
          <w:color w:val="7A7A7A"/>
          <w:sz w:val="15"/>
          <w:szCs w:val="15"/>
        </w:rPr>
        <w:t xml:space="preserve">   PRODUCT</w:t>
      </w:r>
    </w:p>
    <w:p>
      <w:pPr>
        <w:spacing w:after="0"/>
      </w:pPr>
      <w:r>
        <w:rPr>
          <w:color w:val="4A4A4A"/>
          <w:sz w:val="18"/>
          <w:szCs w:val="18"/>
        </w:rPr>
        <w:t xml:space="preserve">多模态 agent 流水线（剧本 → 分镜 → 视频生成），VL 评审闭环驱动定向重试与跨镜头角色一致性；端到端产出六部成片。</w:t>
      </w:r>
    </w:p>
    <w:p>
      <w:pPr>
        <w:spacing w:after="20"/>
      </w:pPr>
      <w:r>
        <w:rPr>
          <w:color w:val="1F3A5F"/>
          <w:sz w:val="16"/>
          <w:szCs w:val="16"/>
        </w:rPr>
        <w:t xml:space="preserve">FastAPI · Qwen-VL critic · I2V/T2V · ffmpeg</w:t>
      </w:r>
    </w:p>
    <w:p>
      <w:pPr>
        <w:spacing w:after="0" w:before="40"/>
      </w:pPr>
      <w:r>
        <w:rPr>
          <w:b/>
          <w:bCs/>
          <w:color w:val="1A1A1A"/>
          <w:sz w:val="20"/>
          <w:szCs w:val="20"/>
        </w:rPr>
        <w:t xml:space="preserve">Nemotron Post-training</w:t>
      </w:r>
      <w:r>
        <w:rPr>
          <w:color w:val="1A1A1A"/>
          <w:sz w:val="20"/>
          <w:szCs w:val="20"/>
        </w:rPr>
        <w:t xml:space="preserve"> — 30B MoE 推理模型的后训练流水线</w:t>
      </w:r>
      <w:r>
        <w:rPr>
          <w:color w:val="7A7A7A"/>
          <w:sz w:val="15"/>
          <w:szCs w:val="15"/>
        </w:rPr>
        <w:t xml:space="preserve">   RESEARCH</w:t>
      </w:r>
    </w:p>
    <w:p>
      <w:pPr>
        <w:spacing w:after="0"/>
      </w:pPr>
      <w:r>
        <w:rPr>
          <w:color w:val="4A4A4A"/>
          <w:sz w:val="18"/>
          <w:szCs w:val="18"/>
        </w:rPr>
        <w:t xml:space="preserve">构建可复现的“规则 teacher → CoT-SFT”流水线（基线 EM 0.75；单卡 4-bit 加载 30B MoE、发现并修复上游 cache bug、多维奖励塑形），随后用六份事后分析彻底归因训练失败并设计恢复路线。</w:t>
      </w:r>
    </w:p>
    <w:p>
      <w:pPr>
        <w:spacing w:after="20"/>
      </w:pPr>
      <w:r>
        <w:rPr>
          <w:color w:val="1F3A5F"/>
          <w:sz w:val="16"/>
          <w:szCs w:val="16"/>
        </w:rPr>
        <w:t xml:space="preserve">Transformers · PEFT/LoRA · 4-bit quantization · GRPO reward shaping</w:t>
      </w:r>
    </w:p>
    <w:p>
      <w:pPr>
        <w:spacing w:after="20" w:before="20"/>
      </w:pPr>
      <w:r>
        <w:rPr>
          <w:b/>
          <w:bCs/>
          <w:color w:val="1A1A1A"/>
          <w:sz w:val="17"/>
          <w:szCs w:val="17"/>
        </w:rPr>
        <w:t xml:space="preserve">另做： </w:t>
      </w:r>
      <w:r>
        <w:rPr>
          <w:color w:val="4A4A4A"/>
          <w:sz w:val="17"/>
          <w:szCs w:val="17"/>
        </w:rPr>
        <w:t xml:space="preserve">离线法语助手（纯浏览器 LLM —— WebLLM + Whisper + OCR，完全离线）· Orbit Wars（多智能体评估方法论）· Maze Crawler（带 CI 的策略 agent）· VoiceInput（纯 Swift macOS 语音输入）· Atelier Post（已上线的艺术发布工具，Web/PWA/iOS）。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职业经历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4A4A4A"/>
          <w:sz w:val="18"/>
          <w:szCs w:val="18"/>
        </w:rPr>
        <w:t xml:space="preserve">  —  对公银行部实习生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巴黎 · 2025.12 – 至今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为跨国客户设计定制化的跨境交易与融资方案；制作并演示结合市场分析、定价与跨境流动性的推介材料。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协助 AI 工具在行内落地 —— 在 Open WebUI 与 Dify 上搭建 RAG 知识库提升客户答复效率（客户含宁德时代、比亚迪、支付宝、美的、TCL、京东等）。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4A4A4A"/>
          <w:sz w:val="18"/>
          <w:szCs w:val="18"/>
        </w:rPr>
        <w:t xml:space="preserve">  —  全球市场部 流动性与投资实习生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巴黎 · 2024.06 – 2024.11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跟踪美联储/欧洲央行/英格兰银行利率与货币市场，在 LCR/NSFR 下优化 EMEA 短期组合；构建 VBA/Excel 自动化工具实时跟踪利率与定价缺口。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为批发存款开发动态定价模型；参与 ALCM 委员会（缺口风险分析、融资成本优化）。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4A4A4A"/>
          <w:sz w:val="18"/>
          <w:szCs w:val="18"/>
        </w:rPr>
        <w:t xml:space="preserve">  —  增长策略实习生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北京 · 2023.02 – 2023.05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参与 10+ 战略项目，使 SaaS/AI 市场份额提升 23%；为 20+ 人团队做 SQL/Excel 分析，一个月内将用户转化率提升 13%。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4A4A4A"/>
          <w:sz w:val="18"/>
          <w:szCs w:val="18"/>
        </w:rPr>
        <w:t xml:space="preserve">  —  产品管理与用户运营实习生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北京 · 2022.08 – 2023.01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4A4A4A"/>
          <w:sz w:val="18"/>
          <w:szCs w:val="18"/>
        </w:rPr>
        <w:t xml:space="preserve">负责 3 个业务运营优化项目；用 Python、SQL、VBA 分析大规模数据集，构建预测模型与数据驱动的用户互动策略。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教育背景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School（巴黎、伦敦校区）</w:t>
      </w:r>
      <w:r>
        <w:rPr>
          <w:color w:val="4A4A4A"/>
          <w:sz w:val="18"/>
          <w:szCs w:val="18"/>
        </w:rPr>
        <w:t xml:space="preserve">  —  管理学硕士（金融）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北京第二外国语学院</w:t>
      </w:r>
      <w:r>
        <w:rPr>
          <w:color w:val="4A4A4A"/>
          <w:sz w:val="18"/>
          <w:szCs w:val="18"/>
        </w:rPr>
        <w:t xml:space="preserve">  —  语言与文化学士（法语、日语）；中传网络与新媒体辅修；自学心理学（耶鲁 / Coursera）</w:t>
      </w:r>
      <w:r>
        <w:ptab w:alignment="right" w:relativeTo="margin" w:leader="none"/>
      </w:r>
      <w:r>
        <w:rPr>
          <w:color w:val="7A7A7A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60" w:before="170"/>
      </w:pPr>
      <w:r>
        <w:rPr>
          <w:b/>
          <w:bCs/>
          <w:color w:val="1A1A1A"/>
          <w:spacing w:val="20"/>
          <w:sz w:val="21"/>
          <w:szCs w:val="21"/>
        </w:rPr>
        <w:t xml:space="preserve">技能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编程: </w:t>
      </w:r>
      <w:r>
        <w:rPr>
          <w:color w:val="4A4A4A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4A4A4A"/>
          <w:sz w:val="18"/>
          <w:szCs w:val="18"/>
        </w:rPr>
        <w:t xml:space="preserve">PyTorch · LoRA/PEFT · MoE · calibration · conformal prediction · LiteRT-LM · ONNX · WebLLM · Whisper · LLM/agent 编排 · schema-first 与事件溯源系统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语言: </w:t>
      </w:r>
      <w:r>
        <w:rPr>
          <w:color w:val="4A4A4A"/>
          <w:sz w:val="18"/>
          <w:szCs w:val="18"/>
        </w:rPr>
        <w:t xml:space="preserve">中文（母语）· 英文（流利）· 法语（流利）· 日语（可用）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特质: </w:t>
      </w:r>
      <w:r>
        <w:rPr>
          <w:color w:val="4A4A4A"/>
          <w:sz w:val="18"/>
          <w:szCs w:val="18"/>
        </w:rPr>
        <w:t xml:space="preserve">高 agency、自学型的从零到一建造者 —— 好奇、善反思、有韧性，具备敏锐洞察与画家般的设计眼光，自在穿行于不同文化与语言之间。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ffr3c6axmijrii8ouqkz" Type="http://schemas.openxmlformats.org/officeDocument/2006/relationships/hyperlink" Target="mailto:geraldineliyanjin@gmail.com" TargetMode="External"/><Relationship Id="rIdak0f_65phkyydbliqrqhw" Type="http://schemas.openxmlformats.org/officeDocument/2006/relationships/hyperlink" Target="https://github.com/Yanjin-ai" TargetMode="External"/><Relationship Id="rIda69o3na0h6j2pizi_mbxc" Type="http://schemas.openxmlformats.org/officeDocument/2006/relationships/hyperlink" Target="https://yanjin-ai.github.io/portfolio/" TargetMode="External"/><Relationship Id="rIdqdey-iqkigdcuwlzsimsk" Type="http://schemas.openxmlformats.org/officeDocument/2006/relationships/hyperlink" Target="https://www.instagram.com/yanjin.l.painting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2026-07-11T13:58:24.334Z</dcterms:created>
  <dcterms:modified xsi:type="dcterms:W3CDTF">2026-07-11T13:58:24.334Z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