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50-Minute Evidence Lab Session</w:t>
      </w:r>
    </w:p>
    <w:p>
      <w:pPr>
        <w:pStyle w:val="Subtitle"/>
      </w:pPr>
      <w:r>
        <w:t>Complete lesson plan for librarians, faculty, and instructors</w:t>
      </w:r>
    </w:p>
    <w:p>
      <w:r>
        <w:t>Evidence Lab · Follow the evidence. Make the call.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Select evidence strategically rather than opening every artifact.</w:t>
      </w:r>
    </w:p>
    <w:p>
      <w:pPr>
        <w:pStyle w:val="ListBullet"/>
      </w:pPr>
      <w:r>
        <w:t>Explain why one piece of evidence matters more than another.</w:t>
      </w:r>
    </w:p>
    <w:p>
      <w:pPr>
        <w:pStyle w:val="ListBullet"/>
      </w:pPr>
      <w:r>
        <w:t>Communicate a conclusion that matches the strength and limits of the evidence.</w:t>
      </w:r>
    </w:p>
    <w:p>
      <w:pPr>
        <w:pStyle w:val="ListBullet"/>
      </w:pPr>
      <w:r>
        <w:t>Distinguish repetition from independent corroboration.</w:t>
      </w:r>
    </w:p>
    <w:p>
      <w:pPr>
        <w:pStyle w:val="Heading1"/>
      </w:pPr>
      <w:r>
        <w:t>Preparation</w:t>
      </w:r>
    </w:p>
    <w:p>
      <w:pPr>
        <w:pStyle w:val="ListBullet"/>
      </w:pPr>
      <w:r>
        <w:t>Choose 6–8 cases aligned with the course.</w:t>
      </w:r>
    </w:p>
    <w:p>
      <w:pPr>
        <w:pStyle w:val="ListBullet"/>
      </w:pPr>
      <w:r>
        <w:t>Open the public Evidence Lab site before class.</w:t>
      </w:r>
    </w:p>
    <w:p>
      <w:pPr>
        <w:pStyle w:val="ListBullet"/>
      </w:pPr>
      <w:r>
        <w:t>Decide whether students work individually, in pairs, or in small groups.</w:t>
      </w:r>
    </w:p>
    <w:p>
      <w:pPr>
        <w:pStyle w:val="Heading1"/>
      </w:pPr>
      <w:r>
        <w:t>Class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Time</w:t>
            </w:r>
          </w:p>
        </w:tc>
        <w:tc>
          <w:tcPr>
            <w:tcW w:type="dxa" w:w="5040"/>
          </w:tcPr>
          <w:p>
            <w:r>
              <w:t>Activity</w:t>
            </w:r>
          </w:p>
        </w:tc>
      </w:tr>
      <w:tr>
        <w:tc>
          <w:tcPr>
            <w:tcW w:type="dxa" w:w="5040"/>
          </w:tcPr>
          <w:p>
            <w:r>
              <w:t>0–5 min</w:t>
            </w:r>
          </w:p>
        </w:tc>
        <w:tc>
          <w:tcPr>
            <w:tcW w:type="dxa" w:w="5040"/>
          </w:tcPr>
          <w:p>
            <w:r>
              <w:t>Orientation: introduce Encounter → Investigate → Decide → Explain → Feedback. Emphasize that more clicks are not automatically better.</w:t>
            </w:r>
          </w:p>
        </w:tc>
      </w:tr>
      <w:tr>
        <w:tc>
          <w:tcPr>
            <w:tcW w:type="dxa" w:w="5040"/>
          </w:tcPr>
          <w:p>
            <w:r>
              <w:t>5–30 min</w:t>
            </w:r>
          </w:p>
        </w:tc>
        <w:tc>
          <w:tcPr>
            <w:tcW w:type="dxa" w:w="5040"/>
          </w:tcPr>
          <w:p>
            <w:r>
              <w:t>Investigation: students complete 6–8 cases or a shortened Practice session.</w:t>
            </w:r>
          </w:p>
        </w:tc>
      </w:tr>
      <w:tr>
        <w:tc>
          <w:tcPr>
            <w:tcW w:type="dxa" w:w="5040"/>
          </w:tcPr>
          <w:p>
            <w:r>
              <w:t>30–42 min</w:t>
            </w:r>
          </w:p>
        </w:tc>
        <w:tc>
          <w:tcPr>
            <w:tcW w:type="dxa" w:w="5040"/>
          </w:tcPr>
          <w:p>
            <w:r>
              <w:t>Debrief in groups: compare evidence paths, stopping points, and disagreements.</w:t>
            </w:r>
          </w:p>
        </w:tc>
      </w:tr>
      <w:tr>
        <w:tc>
          <w:tcPr>
            <w:tcW w:type="dxa" w:w="5040"/>
          </w:tcPr>
          <w:p>
            <w:r>
              <w:t>42–47 min</w:t>
            </w:r>
          </w:p>
        </w:tc>
        <w:tc>
          <w:tcPr>
            <w:tcW w:type="dxa" w:w="5040"/>
          </w:tcPr>
          <w:p>
            <w:r>
              <w:t>Whole-class synthesis: identify recurring investigation moves.</w:t>
            </w:r>
          </w:p>
        </w:tc>
      </w:tr>
      <w:tr>
        <w:tc>
          <w:tcPr>
            <w:tcW w:type="dxa" w:w="5040"/>
          </w:tcPr>
          <w:p>
            <w:r>
              <w:t>47–50 min</w:t>
            </w:r>
          </w:p>
        </w:tc>
        <w:tc>
          <w:tcPr>
            <w:tcW w:type="dxa" w:w="5040"/>
          </w:tcPr>
          <w:p>
            <w:r>
              <w:t>Transfer: students connect one move to the current assignment or discipline.</w:t>
            </w:r>
          </w:p>
        </w:tc>
      </w:tr>
    </w:tbl>
    <w:p>
      <w:pPr>
        <w:pStyle w:val="Heading1"/>
      </w:pPr>
      <w:r>
        <w:t>Facilitation prompts</w:t>
      </w:r>
    </w:p>
    <w:p>
      <w:pPr>
        <w:pStyle w:val="ListBullet"/>
      </w:pPr>
      <w:r>
        <w:t>What evidence had the highest decision value?</w:t>
      </w:r>
    </w:p>
    <w:p>
      <w:pPr>
        <w:pStyle w:val="ListBullet"/>
      </w:pPr>
      <w:r>
        <w:t>Where did two sources appear independent but trace to one origin?</w:t>
      </w:r>
    </w:p>
    <w:p>
      <w:pPr>
        <w:pStyle w:val="ListBullet"/>
      </w:pPr>
      <w:r>
        <w:t>Which case required a qualified rather than binary conclusion?</w:t>
      </w:r>
    </w:p>
    <w:p>
      <w:pPr>
        <w:pStyle w:val="ListBullet"/>
      </w:pPr>
      <w:r>
        <w:t>Where did stopping earlier demonstrate stronger judgment?</w:t>
      </w:r>
    </w:p>
    <w:p>
      <w:pPr>
        <w:pStyle w:val="Heading1"/>
      </w:pPr>
      <w:r>
        <w:t>Assessment option</w:t>
      </w:r>
    </w:p>
    <w:p>
      <w:r>
        <w:t>Use scores formatively. Ask students to submit a short reflection on one case where their initial impression changed and the evidence responsible for the change.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