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Asynchronous Evidence Lab Assignment</w:t>
      </w:r>
    </w:p>
    <w:p>
      <w:pPr>
        <w:pStyle w:val="Subtitle"/>
      </w:pPr>
      <w:r>
        <w:t>Ready-to-copy online assignment with reflection</w:t>
      </w:r>
    </w:p>
    <w:p>
      <w:r>
        <w:t>Evidence Lab · Follow the evidence. Make the call.</w:t>
      </w:r>
    </w:p>
    <w:p>
      <w:pPr>
        <w:pStyle w:val="Heading1"/>
      </w:pPr>
      <w:r>
        <w:t>Student directions</w:t>
      </w:r>
    </w:p>
    <w:p>
      <w:pPr>
        <w:pStyle w:val="ListNumber"/>
      </w:pPr>
      <w:r>
        <w:t>Complete one Evidence Lab Practice session before the deadline.</w:t>
      </w:r>
    </w:p>
    <w:p>
      <w:pPr>
        <w:pStyle w:val="ListNumber"/>
      </w:pPr>
      <w:r>
        <w:t>Work independently and investigate each case until you have enough evidence.</w:t>
      </w:r>
    </w:p>
    <w:p>
      <w:pPr>
        <w:pStyle w:val="ListNumber"/>
      </w:pPr>
      <w:r>
        <w:t>Review your Investigation Log at the end.</w:t>
      </w:r>
    </w:p>
    <w:p>
      <w:pPr>
        <w:pStyle w:val="ListNumber"/>
      </w:pPr>
      <w:r>
        <w:t>Submit the reflection below in the LMS.</w:t>
      </w:r>
    </w:p>
    <w:p>
      <w:pPr>
        <w:pStyle w:val="Heading1"/>
      </w:pPr>
      <w:r>
        <w:t>Reflection to submit</w:t>
      </w:r>
    </w:p>
    <w:p>
      <w:pPr>
        <w:pStyle w:val="ListBullet"/>
      </w:pPr>
      <w:r>
        <w:t>One case where your first impression changed and the evidence that caused the change.</w:t>
      </w:r>
    </w:p>
    <w:p>
      <w:pPr>
        <w:pStyle w:val="ListBullet"/>
      </w:pPr>
      <w:r>
        <w:t>One case where you stopped efficiently and why more checking was unnecessary.</w:t>
      </w:r>
    </w:p>
    <w:p>
      <w:pPr>
        <w:pStyle w:val="ListBullet"/>
      </w:pPr>
      <w:r>
        <w:t>One case where uncertainty remained and why.</w:t>
      </w:r>
    </w:p>
    <w:p>
      <w:pPr>
        <w:pStyle w:val="ListBullet"/>
      </w:pPr>
      <w:r>
        <w:t>One investigation move you can transfer to this course.</w:t>
      </w:r>
    </w:p>
    <w:p>
      <w:pPr>
        <w:pStyle w:val="Heading1"/>
      </w:pPr>
      <w:r>
        <w:t>Instructor follow-up</w:t>
      </w:r>
    </w:p>
    <w:p>
      <w:pPr>
        <w:pStyle w:val="ListBullet"/>
      </w:pPr>
      <w:r>
        <w:t>Open the next class with two contrasting evidence paths.</w:t>
      </w:r>
    </w:p>
    <w:p>
      <w:pPr>
        <w:pStyle w:val="ListBullet"/>
      </w:pPr>
      <w:r>
        <w:t>Ask students why reasonable people might investigate the same claim differently.</w:t>
      </w:r>
    </w:p>
    <w:p>
      <w:pPr>
        <w:pStyle w:val="ListBullet"/>
      </w:pPr>
      <w:r>
        <w:t>Connect the strongest investigation moves to an upcoming assignment.</w:t>
      </w:r>
    </w:p>
    <w:p>
      <w:pPr>
        <w:pStyle w:val="Heading1"/>
      </w:pPr>
      <w:r>
        <w:t>Grading suggestion</w:t>
      </w:r>
    </w:p>
    <w:p>
      <w:r>
        <w:t>Grade completion and reflection quality rather than raw game score. A simple 4-point reflection rubric can assess specificity, evidence reasoning, calibration, and transfer.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