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Mini-Set Guide</w:t>
      </w:r>
    </w:p>
    <w:p>
      <w:pPr>
        <w:pStyle w:val="Subtitle"/>
      </w:pPr>
      <w:r>
        <w:t>Suggested Evidence Lab case sets by course goal</w:t>
      </w:r>
    </w:p>
    <w:p>
      <w:r>
        <w:t>Evidence Lab · Follow the evidence. Make the call.</w:t>
      </w:r>
    </w:p>
    <w:p>
      <w:pPr>
        <w:pStyle w:val="Heading1"/>
      </w:pPr>
      <w:r>
        <w:t>How to use this guide</w:t>
      </w:r>
    </w:p>
    <w:p>
      <w:r>
        <w:t>Choose 3–6 cases aligned with your course. Mix outcomes so students do not learn that every investigation ends in debunking.</w:t>
      </w:r>
    </w:p>
    <w:p>
      <w:pPr>
        <w:pStyle w:val="Heading1"/>
      </w:pPr>
      <w:r>
        <w:t>Suggested 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Course / goal</w:t>
            </w:r>
          </w:p>
        </w:tc>
        <w:tc>
          <w:tcPr>
            <w:tcW w:type="dxa" w:w="5040"/>
          </w:tcPr>
          <w:p>
            <w:r>
              <w:t>Suggested cases</w:t>
            </w:r>
          </w:p>
        </w:tc>
      </w:tr>
      <w:tr>
        <w:tc>
          <w:tcPr>
            <w:tcW w:type="dxa" w:w="5040"/>
          </w:tcPr>
          <w:p>
            <w:r>
              <w:t>Composition / first-year writing</w:t>
            </w:r>
          </w:p>
        </w:tc>
        <w:tc>
          <w:tcPr>
            <w:tcW w:type="dxa" w:w="5040"/>
          </w:tcPr>
          <w:p>
            <w:r>
              <w:t>1, 2, 5, 10, 35, 36</w:t>
            </w:r>
          </w:p>
        </w:tc>
      </w:tr>
      <w:tr>
        <w:tc>
          <w:tcPr>
            <w:tcW w:type="dxa" w:w="5040"/>
          </w:tcPr>
          <w:p>
            <w:r>
              <w:t>Research methods</w:t>
            </w:r>
          </w:p>
        </w:tc>
        <w:tc>
          <w:tcPr>
            <w:tcW w:type="dxa" w:w="5040"/>
          </w:tcPr>
          <w:p>
            <w:r>
              <w:t>2, 17, 18, 19, 29, 30, 36</w:t>
            </w:r>
          </w:p>
        </w:tc>
      </w:tr>
      <w:tr>
        <w:tc>
          <w:tcPr>
            <w:tcW w:type="dxa" w:w="5040"/>
          </w:tcPr>
          <w:p>
            <w:r>
              <w:t>AI literacy</w:t>
            </w:r>
          </w:p>
        </w:tc>
        <w:tc>
          <w:tcPr>
            <w:tcW w:type="dxa" w:w="5040"/>
          </w:tcPr>
          <w:p>
            <w:r>
              <w:t>1, 3, 4, 15, 35, 36</w:t>
            </w:r>
          </w:p>
        </w:tc>
      </w:tr>
      <w:tr>
        <w:tc>
          <w:tcPr>
            <w:tcW w:type="dxa" w:w="5040"/>
          </w:tcPr>
          <w:p>
            <w:r>
              <w:t>Journalism / media studies</w:t>
            </w:r>
          </w:p>
        </w:tc>
        <w:tc>
          <w:tcPr>
            <w:tcW w:type="dxa" w:w="5040"/>
          </w:tcPr>
          <w:p>
            <w:r>
              <w:t>7, 13, 14, 16, 31, 32, 34</w:t>
            </w:r>
          </w:p>
        </w:tc>
      </w:tr>
      <w:tr>
        <w:tc>
          <w:tcPr>
            <w:tcW w:type="dxa" w:w="5040"/>
          </w:tcPr>
          <w:p>
            <w:r>
              <w:t>Career / professional practice</w:t>
            </w:r>
          </w:p>
        </w:tc>
        <w:tc>
          <w:tcPr>
            <w:tcW w:type="dxa" w:w="5040"/>
          </w:tcPr>
          <w:p>
            <w:r>
              <w:t>21, 22, 23, 24, 25</w:t>
            </w:r>
          </w:p>
        </w:tc>
      </w:tr>
      <w:tr>
        <w:tc>
          <w:tcPr>
            <w:tcW w:type="dxa" w:w="5040"/>
          </w:tcPr>
          <w:p>
            <w:r>
              <w:t>Data / quantitative literacy</w:t>
            </w:r>
          </w:p>
        </w:tc>
        <w:tc>
          <w:tcPr>
            <w:tcW w:type="dxa" w:w="5040"/>
          </w:tcPr>
          <w:p>
            <w:r>
              <w:t>12, 19, 29, 30</w:t>
            </w:r>
          </w:p>
        </w:tc>
      </w:tr>
      <w:tr>
        <w:tc>
          <w:tcPr>
            <w:tcW w:type="dxa" w:w="5040"/>
          </w:tcPr>
          <w:p>
            <w:r>
              <w:t>Multilingual / global information</w:t>
            </w:r>
          </w:p>
        </w:tc>
        <w:tc>
          <w:tcPr>
            <w:tcW w:type="dxa" w:w="5040"/>
          </w:tcPr>
          <w:p>
            <w:r>
              <w:t>33, 34</w:t>
            </w:r>
          </w:p>
        </w:tc>
      </w:tr>
    </w:tbl>
    <w:p>
      <w:pPr>
        <w:pStyle w:val="Heading1"/>
      </w:pPr>
      <w:r>
        <w:t>Mini-set design principles</w:t>
      </w:r>
    </w:p>
    <w:p>
      <w:pPr>
        <w:pStyle w:val="ListBullet"/>
      </w:pPr>
      <w:r>
        <w:t>Include at least one supported/positive verification case.</w:t>
      </w:r>
    </w:p>
    <w:p>
      <w:pPr>
        <w:pStyle w:val="ListBullet"/>
      </w:pPr>
      <w:r>
        <w:t>Include genuine uncertainty when appropriate.</w:t>
      </w:r>
    </w:p>
    <w:p>
      <w:pPr>
        <w:pStyle w:val="ListBullet"/>
      </w:pPr>
      <w:r>
        <w:t>Avoid choosing cases only because their topic is familiar; choose for the reasoning move you want students to practice.</w:t>
      </w:r>
    </w:p>
    <w:p>
      <w:pPr>
        <w:pStyle w:val="ListBullet"/>
      </w:pPr>
      <w:r>
        <w:t>Debrief evidence selection and stopping, not only whether the final answer was correct.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