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Practice Assignment</w:t>
      </w:r>
    </w:p>
    <w:p>
      <w:pPr>
        <w:pStyle w:val="Subtitle"/>
      </w:pPr>
      <w:r>
        <w:t>Student-facing assignment plus instructor notes</w:t>
      </w:r>
    </w:p>
    <w:p>
      <w:r>
        <w:t>Evidence Lab · Follow the evidence. Make the call.</w:t>
      </w:r>
    </w:p>
    <w:p>
      <w:pPr>
        <w:pStyle w:val="Heading1"/>
      </w:pPr>
      <w:r>
        <w:t>Student directions</w:t>
      </w:r>
    </w:p>
    <w:p>
      <w:pPr>
        <w:pStyle w:val="ListNumber"/>
      </w:pPr>
      <w:r>
        <w:t>Open Evidence Lab and choose Practice Mode.</w:t>
      </w:r>
    </w:p>
    <w:p>
      <w:pPr>
        <w:pStyle w:val="ListNumber"/>
      </w:pPr>
      <w:r>
        <w:t>Complete the 12-case session.</w:t>
      </w:r>
    </w:p>
    <w:p>
      <w:pPr>
        <w:pStyle w:val="ListNumber"/>
      </w:pPr>
      <w:r>
        <w:t>Do not try to open every artifact; investigate until you have enough evidence to decide.</w:t>
      </w:r>
    </w:p>
    <w:p>
      <w:pPr>
        <w:pStyle w:val="ListNumber"/>
      </w:pPr>
      <w:r>
        <w:t>After the session, review your Investigation Log.</w:t>
      </w:r>
    </w:p>
    <w:p>
      <w:pPr>
        <w:pStyle w:val="Heading1"/>
      </w:pPr>
      <w:r>
        <w:t>Student reflection questions</w:t>
      </w:r>
    </w:p>
    <w:p>
      <w:pPr>
        <w:pStyle w:val="ListBullet"/>
      </w:pPr>
      <w:r>
        <w:t>Identify one case where your first impression changed. What evidence changed it?</w:t>
      </w:r>
    </w:p>
    <w:p>
      <w:pPr>
        <w:pStyle w:val="ListBullet"/>
      </w:pPr>
      <w:r>
        <w:t>Identify one artifact that added little. Why was it low-value?</w:t>
      </w:r>
    </w:p>
    <w:p>
      <w:pPr>
        <w:pStyle w:val="ListBullet"/>
      </w:pPr>
      <w:r>
        <w:t>Where did you stop investigating? Was that stopping point justified?</w:t>
      </w:r>
    </w:p>
    <w:p>
      <w:pPr>
        <w:pStyle w:val="ListBullet"/>
      </w:pPr>
      <w:r>
        <w:t>Describe one situation in this course or your life where the same reasoning applies.</w:t>
      </w:r>
    </w:p>
    <w:p>
      <w:pPr>
        <w:pStyle w:val="Heading1"/>
      </w:pPr>
      <w:r>
        <w:t>Instructor use</w:t>
      </w:r>
    </w:p>
    <w:p>
      <w:r>
        <w:t>Treat the game score as formative evidence, not a standardized measure. Grade the reflection for reasoning and transfer rather than raw Investigator Points.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