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500"/>
        <w:jc w:val="center"/>
      </w:pPr>
      <w:r>
        <w:rPr>
          <w:b/>
          <w:bCs/>
          <w:color w:val="1F3A5F"/>
          <w:sz w:val="40"/>
          <w:szCs w:val="40"/>
        </w:rPr>
        <w:t xml:space="preserve">Journal des décisions d'architecture</w:t>
      </w:r>
    </w:p>
    <w:p>
      <w:pPr>
        <w:spacing w:after="80"/>
        <w:jc w:val="center"/>
      </w:pPr>
      <w:r>
        <w:rPr>
          <w:color w:val="B36B00"/>
          <w:sz w:val="23"/>
          <w:szCs w:val="23"/>
        </w:rPr>
        <w:t xml:space="preserve">Version consolidée — chaque décision rattachée à une exigence du cahier des charges</w:t>
      </w:r>
    </w:p>
    <w:p>
      <w:pPr>
        <w:jc w:val="center"/>
      </w:pPr>
      <w:r>
        <w:rPr>
          <w:i/>
          <w:iCs/>
          <w:color w:val="555555"/>
          <w:sz w:val="20"/>
          <w:szCs w:val="20"/>
        </w:rPr>
        <w:t xml:space="preserve">Plateforme E-commerce Microservices · Smartovate Ltd</w:t>
      </w:r>
    </w:p>
    <w:p>
      <w:r>
        <w:br w:type="page"/>
      </w:r>
    </w:p>
    <w:p>
      <w:pPr>
        <w:pStyle w:val="Heading1"/>
        <w:spacing w:after="140" w:before="300"/>
      </w:pPr>
      <w:r>
        <w:t xml:space="preserve">Principe de consolidation</w:t>
      </w:r>
    </w:p>
    <w:p>
      <w:pPr>
        <w:spacing w:after="120"/>
        <w:jc w:val="both"/>
      </w:pPr>
      <w:r>
        <w:t xml:space="preserve">Ce journal a été repris pour répondre à une question de fond : le projet avait-il défini trop de décisions, au point de s'éparpiller ? La réponse est nuancée. Le nombre n'était pas le vrai problème — l'absence de traçabilité l'était. Chaque décision est désormais soumise à trois règles strictes.</w:t>
      </w:r>
    </w:p>
    <w:p>
      <w:pPr>
        <w:spacing w:after="120"/>
        <w:jc w:val="both"/>
      </w:pPr>
      <w:r>
        <w:rPr>
          <w:b/>
          <w:bCs/>
        </w:rPr>
        <w:t xml:space="preserve">Règle 1 — Un ADR documente un choix. </w:t>
      </w:r>
      <w:r>
        <w:t xml:space="preserve">Un ADR n'existe que là où plusieurs options étaient réellement ouvertes. Les technologies imposées par le cahier des charges (PostgreSQL, MongoDB, Redis, Docker, Kubernetes, le style microservices) ne donnent lieu à aucun ADR : aucune alternative n'a été pesée, donc aucune décision n'a été prise. C'est le principal facteur de réduction.</w:t>
      </w:r>
    </w:p>
    <w:p>
      <w:pPr>
        <w:spacing w:after="120"/>
        <w:jc w:val="both"/>
      </w:pPr>
      <w:r>
        <w:rPr>
          <w:b/>
          <w:bCs/>
        </w:rPr>
        <w:t xml:space="preserve">Règle 2 — Chaque ADR cite son exigence. </w:t>
      </w:r>
      <w:r>
        <w:t xml:space="preserve">Toute décision conservée renvoie explicitement à l'exigence du cahier des charges qu'elle sert (identifiants du référentiel : T-xx pour les technologies, US pour les user stories, B-xx pour les bugs, F-xx pour les critères fonctionnels, P-xx pour le périmètre). Un ADR qui ne se rattache à rien est un orphelin.</w:t>
      </w:r>
    </w:p>
    <w:p>
      <w:pPr>
        <w:spacing w:after="120"/>
        <w:jc w:val="both"/>
      </w:pPr>
      <w:r>
        <w:rPr>
          <w:b/>
          <w:bCs/>
        </w:rPr>
        <w:t xml:space="preserve">Règle 3 — Les orphelins et les redondances sont retirés. </w:t>
      </w:r>
      <w:r>
        <w:t xml:space="preserve">Les décisions qui ne servaient aucune exigence, ou qui répétaient une décision déjà documentée, ont été retirées ou fusionnées. La liste des retraits, avec leur justification, figure en fin de document — c'est la preuve que la rigueur a été appliquée, et non que l'on a simplement empilé.</w:t>
      </w:r>
    </w:p>
    <w:p>
      <w:pPr>
        <w:spacing w:after="120"/>
        <w:jc w:val="both"/>
      </w:pPr>
      <w:r>
        <w:t xml:space="preserve">Résultat : vingt décisions actives, une en attente, chacune tracée et défendable ; cinq décisions retirées ou fusionnées, chacune avec sa raison. Le nombre reste substantiel — un projet microservices réel en compte autant — mais il n'y a plus une seule décision que tu ne puisses justifier en la reliant au cahier des charges.</w:t>
      </w:r>
    </w:p>
    <w:p>
      <w:pPr>
        <w:pStyle w:val="Heading1"/>
        <w:spacing w:after="140" w:before="300"/>
      </w:pPr>
      <w:r>
        <w:t xml:space="preserve">Tableau de synthèse</w:t>
      </w:r>
    </w:p>
    <w:p>
      <w:pPr>
        <w:spacing w:after="120"/>
        <w:jc w:val="both"/>
      </w:pPr>
      <w:r>
        <w:t xml:space="preserve">Vue d'ensemble : chaque décision, l'exigence qu'elle sert, son statut. Le détail argumenté suit.</w:t>
      </w:r>
    </w:p>
    <w:tbl>
      <w:tblPr>
        <w:tblW w:type="pct" w:w="100%"/>
        <w:tblBorders>
          <w:top w:val="single" w:color="BFC9D4" w:sz="2"/>
          <w:left w:val="single" w:color="BFC9D4" w:sz="2"/>
          <w:bottom w:val="single" w:color="BFC9D4" w:sz="2"/>
          <w:right w:val="single" w:color="BFC9D4" w:sz="2"/>
          <w:insideH w:val="single" w:color="D8DEE6" w:sz="1"/>
          <w:insideV w:val="single" w:color="D8DEE6" w:sz="1"/>
        </w:tblBorders>
      </w:tblPr>
      <w:tblGrid>
        <w:gridCol w:w="100"/>
        <w:gridCol w:w="100"/>
        <w:gridCol w:w="100"/>
        <w:gridCol w:w="100"/>
      </w:tblGrid>
      <w:tr>
        <w:trPr>
          <w:tblHeader/>
        </w:trPr>
        <w:tc>
          <w:tcPr>
            <w:tcW w:type="pct" w:w="7%"/>
            <w:shd w:fill="1F3A5F" w:val="clear"/>
            <w:tcMar>
              <w:top w:type="dxa" w:w="50"/>
              <w:left w:type="dxa" w:w="80"/>
              <w:bottom w:type="dxa" w:w="50"/>
              <w:right w:type="dxa" w:w="80"/>
            </w:tcMar>
          </w:tcPr>
          <w:p>
            <w:pPr>
              <w:spacing w:after="0"/>
            </w:pPr>
            <w:r>
              <w:rPr>
                <w:b/>
                <w:bCs/>
                <w:color w:val="FFFFFF"/>
                <w:sz w:val="16"/>
                <w:szCs w:val="16"/>
              </w:rPr>
              <w:t xml:space="preserve">ADR</w:t>
            </w:r>
          </w:p>
        </w:tc>
        <w:tc>
          <w:tcPr>
            <w:tcW w:type="pct" w:w="42%"/>
            <w:shd w:fill="1F3A5F" w:val="clear"/>
            <w:tcMar>
              <w:top w:type="dxa" w:w="50"/>
              <w:left w:type="dxa" w:w="80"/>
              <w:bottom w:type="dxa" w:w="50"/>
              <w:right w:type="dxa" w:w="80"/>
            </w:tcMar>
          </w:tcPr>
          <w:p>
            <w:pPr>
              <w:spacing w:after="0"/>
            </w:pPr>
            <w:r>
              <w:rPr>
                <w:b/>
                <w:bCs/>
                <w:color w:val="FFFFFF"/>
                <w:sz w:val="16"/>
                <w:szCs w:val="16"/>
              </w:rPr>
              <w:t xml:space="preserve">Décision</w:t>
            </w:r>
          </w:p>
        </w:tc>
        <w:tc>
          <w:tcPr>
            <w:tcW w:type="pct" w:w="30%"/>
            <w:shd w:fill="1F3A5F" w:val="clear"/>
            <w:tcMar>
              <w:top w:type="dxa" w:w="50"/>
              <w:left w:type="dxa" w:w="80"/>
              <w:bottom w:type="dxa" w:w="50"/>
              <w:right w:type="dxa" w:w="80"/>
            </w:tcMar>
          </w:tcPr>
          <w:p>
            <w:pPr>
              <w:spacing w:after="0"/>
            </w:pPr>
            <w:r>
              <w:rPr>
                <w:b/>
                <w:bCs/>
                <w:color w:val="FFFFFF"/>
                <w:sz w:val="16"/>
                <w:szCs w:val="16"/>
              </w:rPr>
              <w:t xml:space="preserve">Exigence</w:t>
            </w:r>
          </w:p>
        </w:tc>
        <w:tc>
          <w:tcPr>
            <w:tcW w:type="pct" w:w="21%"/>
            <w:shd w:fill="1F3A5F" w:val="clear"/>
            <w:tcMar>
              <w:top w:type="dxa" w:w="50"/>
              <w:left w:type="dxa" w:w="80"/>
              <w:bottom w:type="dxa" w:w="50"/>
              <w:right w:type="dxa" w:w="80"/>
            </w:tcMar>
          </w:tcPr>
          <w:p>
            <w:pPr>
              <w:spacing w:after="0"/>
            </w:pPr>
            <w:r>
              <w:rPr>
                <w:b/>
                <w:bCs/>
                <w:color w:val="FFFFFF"/>
                <w:sz w:val="16"/>
                <w:szCs w:val="16"/>
              </w:rPr>
              <w:t xml:space="preserve">Statut</w:t>
            </w:r>
          </w:p>
        </w:tc>
      </w:tr>
      <w:tr>
        <w:tc>
          <w:tcPr>
            <w:tcW w:type="pct" w:w="7%"/>
            <w:tcMar>
              <w:top w:type="dxa" w:w="50"/>
              <w:left w:type="dxa" w:w="80"/>
              <w:bottom w:type="dxa" w:w="50"/>
              <w:right w:type="dxa" w:w="80"/>
            </w:tcMar>
          </w:tcPr>
          <w:p>
            <w:pPr>
              <w:spacing w:after="0"/>
            </w:pPr>
            <w:r>
              <w:rPr>
                <w:b w:val="false"/>
                <w:bCs w:val="false"/>
                <w:color w:val="16191F"/>
                <w:sz w:val="15"/>
                <w:szCs w:val="15"/>
              </w:rPr>
              <w:t xml:space="preserve">01</w:t>
            </w:r>
          </w:p>
        </w:tc>
        <w:tc>
          <w:tcPr>
            <w:tcW w:type="pct" w:w="42%"/>
            <w:tcMar>
              <w:top w:type="dxa" w:w="50"/>
              <w:left w:type="dxa" w:w="80"/>
              <w:bottom w:type="dxa" w:w="50"/>
              <w:right w:type="dxa" w:w="80"/>
            </w:tcMar>
          </w:tcPr>
          <w:p>
            <w:pPr>
              <w:spacing w:after="0"/>
            </w:pPr>
            <w:r>
              <w:rPr>
                <w:b w:val="false"/>
                <w:bCs w:val="false"/>
                <w:color w:val="16191F"/>
                <w:sz w:val="15"/>
                <w:szCs w:val="15"/>
              </w:rPr>
              <w:t xml:space="preserve">Framework NestJS / Node.js</w:t>
            </w:r>
          </w:p>
        </w:tc>
        <w:tc>
          <w:tcPr>
            <w:tcW w:type="pct" w:w="30%"/>
            <w:tcMar>
              <w:top w:type="dxa" w:w="50"/>
              <w:left w:type="dxa" w:w="80"/>
              <w:bottom w:type="dxa" w:w="50"/>
              <w:right w:type="dxa" w:w="80"/>
            </w:tcMar>
          </w:tcPr>
          <w:p>
            <w:pPr>
              <w:spacing w:after="0"/>
            </w:pPr>
            <w:r>
              <w:rPr>
                <w:b w:val="false"/>
                <w:bCs w:val="false"/>
                <w:color w:val="16191F"/>
                <w:sz w:val="15"/>
                <w:szCs w:val="15"/>
              </w:rPr>
              <w:t xml:space="preserve">T-01</w:t>
            </w:r>
          </w:p>
        </w:tc>
        <w:tc>
          <w:tcPr>
            <w:tcW w:type="pct" w:w="21%"/>
            <w:tcMar>
              <w:top w:type="dxa" w:w="50"/>
              <w:left w:type="dxa" w:w="80"/>
              <w:bottom w:type="dxa" w:w="50"/>
              <w:right w:type="dxa" w:w="80"/>
            </w:tcMar>
          </w:tcPr>
          <w:p>
            <w:pPr>
              <w:spacing w:after="0"/>
            </w:pPr>
            <w:r>
              <w:rPr>
                <w:b/>
                <w:bCs/>
                <w:color w:val="2F7D32"/>
                <w:sz w:val="15"/>
                <w:szCs w:val="15"/>
              </w:rPr>
              <w:t xml:space="preserve">Accepté</w:t>
            </w:r>
          </w:p>
        </w:tc>
      </w:tr>
      <w:tr>
        <w:tc>
          <w:tcPr>
            <w:tcW w:type="pct" w:w="7%"/>
            <w:tcMar>
              <w:top w:type="dxa" w:w="50"/>
              <w:left w:type="dxa" w:w="80"/>
              <w:bottom w:type="dxa" w:w="50"/>
              <w:right w:type="dxa" w:w="80"/>
            </w:tcMar>
          </w:tcPr>
          <w:p>
            <w:pPr>
              <w:spacing w:after="0"/>
            </w:pPr>
            <w:r>
              <w:rPr>
                <w:b w:val="false"/>
                <w:bCs w:val="false"/>
                <w:color w:val="16191F"/>
                <w:sz w:val="15"/>
                <w:szCs w:val="15"/>
              </w:rPr>
              <w:t xml:space="preserve">02</w:t>
            </w:r>
          </w:p>
        </w:tc>
        <w:tc>
          <w:tcPr>
            <w:tcW w:type="pct" w:w="42%"/>
            <w:tcMar>
              <w:top w:type="dxa" w:w="50"/>
              <w:left w:type="dxa" w:w="80"/>
              <w:bottom w:type="dxa" w:w="50"/>
              <w:right w:type="dxa" w:w="80"/>
            </w:tcMar>
          </w:tcPr>
          <w:p>
            <w:pPr>
              <w:spacing w:after="0"/>
            </w:pPr>
            <w:r>
              <w:rPr>
                <w:b w:val="false"/>
                <w:bCs w:val="false"/>
                <w:color w:val="16191F"/>
                <w:sz w:val="15"/>
                <w:szCs w:val="15"/>
              </w:rPr>
              <w:t xml:space="preserve">Cloud AWS (région eu-west-3)</w:t>
            </w:r>
          </w:p>
        </w:tc>
        <w:tc>
          <w:tcPr>
            <w:tcW w:type="pct" w:w="30%"/>
            <w:tcMar>
              <w:top w:type="dxa" w:w="50"/>
              <w:left w:type="dxa" w:w="80"/>
              <w:bottom w:type="dxa" w:w="50"/>
              <w:right w:type="dxa" w:w="80"/>
            </w:tcMar>
          </w:tcPr>
          <w:p>
            <w:pPr>
              <w:spacing w:after="0"/>
            </w:pPr>
            <w:r>
              <w:rPr>
                <w:b w:val="false"/>
                <w:bCs w:val="false"/>
                <w:color w:val="16191F"/>
                <w:sz w:val="15"/>
                <w:szCs w:val="15"/>
              </w:rPr>
              <w:t xml:space="preserve">T-06</w:t>
            </w:r>
          </w:p>
        </w:tc>
        <w:tc>
          <w:tcPr>
            <w:tcW w:type="pct" w:w="21%"/>
            <w:tcMar>
              <w:top w:type="dxa" w:w="50"/>
              <w:left w:type="dxa" w:w="80"/>
              <w:bottom w:type="dxa" w:w="50"/>
              <w:right w:type="dxa" w:w="80"/>
            </w:tcMar>
          </w:tcPr>
          <w:p>
            <w:pPr>
              <w:spacing w:after="0"/>
            </w:pPr>
            <w:r>
              <w:rPr>
                <w:b/>
                <w:bCs/>
                <w:color w:val="2F7D32"/>
                <w:sz w:val="15"/>
                <w:szCs w:val="15"/>
              </w:rPr>
              <w:t xml:space="preserve">Accepté</w:t>
            </w:r>
          </w:p>
        </w:tc>
      </w:tr>
      <w:tr>
        <w:tc>
          <w:tcPr>
            <w:tcW w:type="pct" w:w="7%"/>
            <w:tcMar>
              <w:top w:type="dxa" w:w="50"/>
              <w:left w:type="dxa" w:w="80"/>
              <w:bottom w:type="dxa" w:w="50"/>
              <w:right w:type="dxa" w:w="80"/>
            </w:tcMar>
          </w:tcPr>
          <w:p>
            <w:pPr>
              <w:spacing w:after="0"/>
            </w:pPr>
            <w:r>
              <w:rPr>
                <w:b w:val="false"/>
                <w:bCs w:val="false"/>
                <w:color w:val="16191F"/>
                <w:sz w:val="15"/>
                <w:szCs w:val="15"/>
              </w:rPr>
              <w:t xml:space="preserve">03</w:t>
            </w:r>
          </w:p>
        </w:tc>
        <w:tc>
          <w:tcPr>
            <w:tcW w:type="pct" w:w="42%"/>
            <w:tcMar>
              <w:top w:type="dxa" w:w="50"/>
              <w:left w:type="dxa" w:w="80"/>
              <w:bottom w:type="dxa" w:w="50"/>
              <w:right w:type="dxa" w:w="80"/>
            </w:tcMar>
          </w:tcPr>
          <w:p>
            <w:pPr>
              <w:spacing w:after="0"/>
            </w:pPr>
            <w:r>
              <w:rPr>
                <w:b w:val="false"/>
                <w:bCs w:val="false"/>
                <w:color w:val="16191F"/>
                <w:sz w:val="15"/>
                <w:szCs w:val="15"/>
              </w:rPr>
              <w:t xml:space="preserve">Minikube en dev, Amazon EKS en cible</w:t>
            </w:r>
          </w:p>
        </w:tc>
        <w:tc>
          <w:tcPr>
            <w:tcW w:type="pct" w:w="30%"/>
            <w:tcMar>
              <w:top w:type="dxa" w:w="50"/>
              <w:left w:type="dxa" w:w="80"/>
              <w:bottom w:type="dxa" w:w="50"/>
              <w:right w:type="dxa" w:w="80"/>
            </w:tcMar>
          </w:tcPr>
          <w:p>
            <w:pPr>
              <w:spacing w:after="0"/>
            </w:pPr>
            <w:r>
              <w:rPr>
                <w:b w:val="false"/>
                <w:bCs w:val="false"/>
                <w:color w:val="16191F"/>
                <w:sz w:val="15"/>
                <w:szCs w:val="15"/>
              </w:rPr>
              <w:t xml:space="preserve">T-05 · US 4.1</w:t>
            </w:r>
          </w:p>
        </w:tc>
        <w:tc>
          <w:tcPr>
            <w:tcW w:type="pct" w:w="21%"/>
            <w:tcMar>
              <w:top w:type="dxa" w:w="50"/>
              <w:left w:type="dxa" w:w="80"/>
              <w:bottom w:type="dxa" w:w="50"/>
              <w:right w:type="dxa" w:w="80"/>
            </w:tcMar>
          </w:tcPr>
          <w:p>
            <w:pPr>
              <w:spacing w:after="0"/>
            </w:pPr>
            <w:r>
              <w:rPr>
                <w:b/>
                <w:bCs/>
                <w:color w:val="2F7D32"/>
                <w:sz w:val="15"/>
                <w:szCs w:val="15"/>
              </w:rPr>
              <w:t xml:space="preserve">Accepté</w:t>
            </w:r>
          </w:p>
        </w:tc>
      </w:tr>
      <w:tr>
        <w:tc>
          <w:tcPr>
            <w:tcW w:type="pct" w:w="7%"/>
            <w:tcMar>
              <w:top w:type="dxa" w:w="50"/>
              <w:left w:type="dxa" w:w="80"/>
              <w:bottom w:type="dxa" w:w="50"/>
              <w:right w:type="dxa" w:w="80"/>
            </w:tcMar>
          </w:tcPr>
          <w:p>
            <w:pPr>
              <w:spacing w:after="0"/>
            </w:pPr>
            <w:r>
              <w:rPr>
                <w:b w:val="false"/>
                <w:bCs w:val="false"/>
                <w:color w:val="16191F"/>
                <w:sz w:val="15"/>
                <w:szCs w:val="15"/>
              </w:rPr>
              <w:t xml:space="preserve">04</w:t>
            </w:r>
          </w:p>
        </w:tc>
        <w:tc>
          <w:tcPr>
            <w:tcW w:type="pct" w:w="42%"/>
            <w:tcMar>
              <w:top w:type="dxa" w:w="50"/>
              <w:left w:type="dxa" w:w="80"/>
              <w:bottom w:type="dxa" w:w="50"/>
              <w:right w:type="dxa" w:w="80"/>
            </w:tcMar>
          </w:tcPr>
          <w:p>
            <w:pPr>
              <w:spacing w:after="0"/>
            </w:pPr>
            <w:r>
              <w:rPr>
                <w:b w:val="false"/>
                <w:bCs w:val="false"/>
                <w:color w:val="16191F"/>
                <w:sz w:val="15"/>
                <w:szCs w:val="15"/>
              </w:rPr>
              <w:t xml:space="preserve">Communication REST synchrone + RabbitMQ asynchrone</w:t>
            </w:r>
          </w:p>
        </w:tc>
        <w:tc>
          <w:tcPr>
            <w:tcW w:type="pct" w:w="30%"/>
            <w:tcMar>
              <w:top w:type="dxa" w:w="50"/>
              <w:left w:type="dxa" w:w="80"/>
              <w:bottom w:type="dxa" w:w="50"/>
              <w:right w:type="dxa" w:w="80"/>
            </w:tcMar>
          </w:tcPr>
          <w:p>
            <w:pPr>
              <w:spacing w:after="0"/>
            </w:pPr>
            <w:r>
              <w:rPr>
                <w:b w:val="false"/>
                <w:bCs w:val="false"/>
                <w:color w:val="16191F"/>
                <w:sz w:val="15"/>
                <w:szCs w:val="15"/>
              </w:rPr>
              <w:t xml:space="preserve">T-07 · US 3.2</w:t>
            </w:r>
          </w:p>
        </w:tc>
        <w:tc>
          <w:tcPr>
            <w:tcW w:type="pct" w:w="21%"/>
            <w:tcMar>
              <w:top w:type="dxa" w:w="50"/>
              <w:left w:type="dxa" w:w="80"/>
              <w:bottom w:type="dxa" w:w="50"/>
              <w:right w:type="dxa" w:w="80"/>
            </w:tcMar>
          </w:tcPr>
          <w:p>
            <w:pPr>
              <w:spacing w:after="0"/>
            </w:pPr>
            <w:r>
              <w:rPr>
                <w:b/>
                <w:bCs/>
                <w:color w:val="2F7D32"/>
                <w:sz w:val="15"/>
                <w:szCs w:val="15"/>
              </w:rPr>
              <w:t xml:space="preserve">Accepté</w:t>
            </w:r>
          </w:p>
        </w:tc>
      </w:tr>
      <w:tr>
        <w:tc>
          <w:tcPr>
            <w:tcW w:type="pct" w:w="7%"/>
            <w:tcMar>
              <w:top w:type="dxa" w:w="50"/>
              <w:left w:type="dxa" w:w="80"/>
              <w:bottom w:type="dxa" w:w="50"/>
              <w:right w:type="dxa" w:w="80"/>
            </w:tcMar>
          </w:tcPr>
          <w:p>
            <w:pPr>
              <w:spacing w:after="0"/>
            </w:pPr>
            <w:r>
              <w:rPr>
                <w:b w:val="false"/>
                <w:bCs w:val="false"/>
                <w:color w:val="16191F"/>
                <w:sz w:val="15"/>
                <w:szCs w:val="15"/>
              </w:rPr>
              <w:t xml:space="preserve">05</w:t>
            </w:r>
          </w:p>
        </w:tc>
        <w:tc>
          <w:tcPr>
            <w:tcW w:type="pct" w:w="42%"/>
            <w:tcMar>
              <w:top w:type="dxa" w:w="50"/>
              <w:left w:type="dxa" w:w="80"/>
              <w:bottom w:type="dxa" w:w="50"/>
              <w:right w:type="dxa" w:w="80"/>
            </w:tcMar>
          </w:tcPr>
          <w:p>
            <w:pPr>
              <w:spacing w:after="0"/>
            </w:pPr>
            <w:r>
              <w:rPr>
                <w:b w:val="false"/>
                <w:bCs w:val="false"/>
                <w:color w:val="16191F"/>
                <w:sz w:val="15"/>
                <w:szCs w:val="15"/>
              </w:rPr>
              <w:t xml:space="preserve">API Gateway Kong + KIC</w:t>
            </w:r>
          </w:p>
        </w:tc>
        <w:tc>
          <w:tcPr>
            <w:tcW w:type="pct" w:w="30%"/>
            <w:tcMar>
              <w:top w:type="dxa" w:w="50"/>
              <w:left w:type="dxa" w:w="80"/>
              <w:bottom w:type="dxa" w:w="50"/>
              <w:right w:type="dxa" w:w="80"/>
            </w:tcMar>
          </w:tcPr>
          <w:p>
            <w:pPr>
              <w:spacing w:after="0"/>
            </w:pPr>
            <w:r>
              <w:rPr>
                <w:b w:val="false"/>
                <w:bCs w:val="false"/>
                <w:color w:val="16191F"/>
                <w:sz w:val="15"/>
                <w:szCs w:val="15"/>
              </w:rPr>
              <w:t xml:space="preserve">T-08 · US 1.2</w:t>
            </w:r>
          </w:p>
        </w:tc>
        <w:tc>
          <w:tcPr>
            <w:tcW w:type="pct" w:w="21%"/>
            <w:tcMar>
              <w:top w:type="dxa" w:w="50"/>
              <w:left w:type="dxa" w:w="80"/>
              <w:bottom w:type="dxa" w:w="50"/>
              <w:right w:type="dxa" w:w="80"/>
            </w:tcMar>
          </w:tcPr>
          <w:p>
            <w:pPr>
              <w:spacing w:after="0"/>
            </w:pPr>
            <w:r>
              <w:rPr>
                <w:b/>
                <w:bCs/>
                <w:color w:val="2F7D32"/>
                <w:sz w:val="15"/>
                <w:szCs w:val="15"/>
              </w:rPr>
              <w:t xml:space="preserve">Accepté</w:t>
            </w:r>
          </w:p>
        </w:tc>
      </w:tr>
      <w:tr>
        <w:tc>
          <w:tcPr>
            <w:tcW w:type="pct" w:w="7%"/>
            <w:tcMar>
              <w:top w:type="dxa" w:w="50"/>
              <w:left w:type="dxa" w:w="80"/>
              <w:bottom w:type="dxa" w:w="50"/>
              <w:right w:type="dxa" w:w="80"/>
            </w:tcMar>
          </w:tcPr>
          <w:p>
            <w:pPr>
              <w:spacing w:after="0"/>
            </w:pPr>
            <w:r>
              <w:rPr>
                <w:b w:val="false"/>
                <w:bCs w:val="false"/>
                <w:color w:val="16191F"/>
                <w:sz w:val="15"/>
                <w:szCs w:val="15"/>
              </w:rPr>
              <w:t xml:space="preserve">06</w:t>
            </w:r>
          </w:p>
        </w:tc>
        <w:tc>
          <w:tcPr>
            <w:tcW w:type="pct" w:w="42%"/>
            <w:tcMar>
              <w:top w:type="dxa" w:w="50"/>
              <w:left w:type="dxa" w:w="80"/>
              <w:bottom w:type="dxa" w:w="50"/>
              <w:right w:type="dxa" w:w="80"/>
            </w:tcMar>
          </w:tcPr>
          <w:p>
            <w:pPr>
              <w:spacing w:after="0"/>
            </w:pPr>
            <w:r>
              <w:rPr>
                <w:b w:val="false"/>
                <w:bCs w:val="false"/>
                <w:color w:val="16191F"/>
                <w:sz w:val="15"/>
                <w:szCs w:val="15"/>
              </w:rPr>
              <w:t xml:space="preserve">Authentification par JWT</w:t>
            </w:r>
          </w:p>
        </w:tc>
        <w:tc>
          <w:tcPr>
            <w:tcW w:type="pct" w:w="30%"/>
            <w:tcMar>
              <w:top w:type="dxa" w:w="50"/>
              <w:left w:type="dxa" w:w="80"/>
              <w:bottom w:type="dxa" w:w="50"/>
              <w:right w:type="dxa" w:w="80"/>
            </w:tcMar>
          </w:tcPr>
          <w:p>
            <w:pPr>
              <w:spacing w:after="0"/>
            </w:pPr>
            <w:r>
              <w:rPr>
                <w:b w:val="false"/>
                <w:bCs w:val="false"/>
                <w:color w:val="16191F"/>
                <w:sz w:val="15"/>
                <w:szCs w:val="15"/>
              </w:rPr>
              <w:t xml:space="preserve">T-09 · US 2.1</w:t>
            </w:r>
          </w:p>
        </w:tc>
        <w:tc>
          <w:tcPr>
            <w:tcW w:type="pct" w:w="21%"/>
            <w:tcMar>
              <w:top w:type="dxa" w:w="50"/>
              <w:left w:type="dxa" w:w="80"/>
              <w:bottom w:type="dxa" w:w="50"/>
              <w:right w:type="dxa" w:w="80"/>
            </w:tcMar>
          </w:tcPr>
          <w:p>
            <w:pPr>
              <w:spacing w:after="0"/>
            </w:pPr>
            <w:r>
              <w:rPr>
                <w:b/>
                <w:bCs/>
                <w:color w:val="2F7D32"/>
                <w:sz w:val="15"/>
                <w:szCs w:val="15"/>
              </w:rPr>
              <w:t xml:space="preserve">Accepté</w:t>
            </w:r>
          </w:p>
        </w:tc>
      </w:tr>
      <w:tr>
        <w:tc>
          <w:tcPr>
            <w:tcW w:type="pct" w:w="7%"/>
            <w:tcMar>
              <w:top w:type="dxa" w:w="50"/>
              <w:left w:type="dxa" w:w="80"/>
              <w:bottom w:type="dxa" w:w="50"/>
              <w:right w:type="dxa" w:w="80"/>
            </w:tcMar>
          </w:tcPr>
          <w:p>
            <w:pPr>
              <w:spacing w:after="0"/>
            </w:pPr>
            <w:r>
              <w:rPr>
                <w:b w:val="false"/>
                <w:bCs w:val="false"/>
                <w:color w:val="16191F"/>
                <w:sz w:val="15"/>
                <w:szCs w:val="15"/>
              </w:rPr>
              <w:t xml:space="preserve">07</w:t>
            </w:r>
          </w:p>
        </w:tc>
        <w:tc>
          <w:tcPr>
            <w:tcW w:type="pct" w:w="42%"/>
            <w:tcMar>
              <w:top w:type="dxa" w:w="50"/>
              <w:left w:type="dxa" w:w="80"/>
              <w:bottom w:type="dxa" w:w="50"/>
              <w:right w:type="dxa" w:w="80"/>
            </w:tcMar>
          </w:tcPr>
          <w:p>
            <w:pPr>
              <w:spacing w:after="0"/>
            </w:pPr>
            <w:r>
              <w:rPr>
                <w:b w:val="false"/>
                <w:bCs w:val="false"/>
                <w:color w:val="16191F"/>
                <w:sz w:val="15"/>
                <w:szCs w:val="15"/>
              </w:rPr>
              <w:t xml:space="preserve">Database-per-Service strict (Posture A)</w:t>
            </w:r>
          </w:p>
        </w:tc>
        <w:tc>
          <w:tcPr>
            <w:tcW w:type="pct" w:w="30%"/>
            <w:tcMar>
              <w:top w:type="dxa" w:w="50"/>
              <w:left w:type="dxa" w:w="80"/>
              <w:bottom w:type="dxa" w:w="50"/>
              <w:right w:type="dxa" w:w="80"/>
            </w:tcMar>
          </w:tcPr>
          <w:p>
            <w:pPr>
              <w:spacing w:after="0"/>
            </w:pPr>
            <w:r>
              <w:rPr>
                <w:b w:val="false"/>
                <w:bCs w:val="false"/>
                <w:color w:val="16191F"/>
                <w:sz w:val="15"/>
                <w:szCs w:val="15"/>
              </w:rPr>
              <w:t xml:space="preserve">T-02/03/04</w:t>
            </w:r>
          </w:p>
        </w:tc>
        <w:tc>
          <w:tcPr>
            <w:tcW w:type="pct" w:w="21%"/>
            <w:tcMar>
              <w:top w:type="dxa" w:w="50"/>
              <w:left w:type="dxa" w:w="80"/>
              <w:bottom w:type="dxa" w:w="50"/>
              <w:right w:type="dxa" w:w="80"/>
            </w:tcMar>
          </w:tcPr>
          <w:p>
            <w:pPr>
              <w:spacing w:after="0"/>
            </w:pPr>
            <w:r>
              <w:rPr>
                <w:b/>
                <w:bCs/>
                <w:color w:val="2F7D32"/>
                <w:sz w:val="15"/>
                <w:szCs w:val="15"/>
              </w:rPr>
              <w:t xml:space="preserve">Accepté</w:t>
            </w:r>
          </w:p>
        </w:tc>
      </w:tr>
      <w:tr>
        <w:tc>
          <w:tcPr>
            <w:tcW w:type="pct" w:w="7%"/>
            <w:tcMar>
              <w:top w:type="dxa" w:w="50"/>
              <w:left w:type="dxa" w:w="80"/>
              <w:bottom w:type="dxa" w:w="50"/>
              <w:right w:type="dxa" w:w="80"/>
            </w:tcMar>
          </w:tcPr>
          <w:p>
            <w:pPr>
              <w:spacing w:after="0"/>
            </w:pPr>
            <w:r>
              <w:rPr>
                <w:b w:val="false"/>
                <w:bCs w:val="false"/>
                <w:color w:val="16191F"/>
                <w:sz w:val="15"/>
                <w:szCs w:val="15"/>
              </w:rPr>
              <w:t xml:space="preserve">08</w:t>
            </w:r>
          </w:p>
        </w:tc>
        <w:tc>
          <w:tcPr>
            <w:tcW w:type="pct" w:w="42%"/>
            <w:tcMar>
              <w:top w:type="dxa" w:w="50"/>
              <w:left w:type="dxa" w:w="80"/>
              <w:bottom w:type="dxa" w:w="50"/>
              <w:right w:type="dxa" w:w="80"/>
            </w:tcMar>
          </w:tcPr>
          <w:p>
            <w:pPr>
              <w:spacing w:after="0"/>
            </w:pPr>
            <w:r>
              <w:rPr>
                <w:b w:val="false"/>
                <w:bCs w:val="false"/>
                <w:color w:val="16191F"/>
                <w:sz w:val="15"/>
                <w:szCs w:val="15"/>
              </w:rPr>
              <w:t xml:space="preserve">Auto-hébergement MongoDB/Redis/RabbitMQ (StatefulSets)</w:t>
            </w:r>
          </w:p>
        </w:tc>
        <w:tc>
          <w:tcPr>
            <w:tcW w:type="pct" w:w="30%"/>
            <w:tcMar>
              <w:top w:type="dxa" w:w="50"/>
              <w:left w:type="dxa" w:w="80"/>
              <w:bottom w:type="dxa" w:w="50"/>
              <w:right w:type="dxa" w:w="80"/>
            </w:tcMar>
          </w:tcPr>
          <w:p>
            <w:pPr>
              <w:spacing w:after="0"/>
            </w:pPr>
            <w:r>
              <w:rPr>
                <w:b w:val="false"/>
                <w:bCs w:val="false"/>
                <w:color w:val="16191F"/>
                <w:sz w:val="15"/>
                <w:szCs w:val="15"/>
              </w:rPr>
              <w:t xml:space="preserve">T-02/03/04</w:t>
            </w:r>
          </w:p>
        </w:tc>
        <w:tc>
          <w:tcPr>
            <w:tcW w:type="pct" w:w="21%"/>
            <w:tcMar>
              <w:top w:type="dxa" w:w="50"/>
              <w:left w:type="dxa" w:w="80"/>
              <w:bottom w:type="dxa" w:w="50"/>
              <w:right w:type="dxa" w:w="80"/>
            </w:tcMar>
          </w:tcPr>
          <w:p>
            <w:pPr>
              <w:spacing w:after="0"/>
            </w:pPr>
            <w:r>
              <w:rPr>
                <w:b/>
                <w:bCs/>
                <w:color w:val="2F7D32"/>
                <w:sz w:val="15"/>
                <w:szCs w:val="15"/>
              </w:rPr>
              <w:t xml:space="preserve">Accepté</w:t>
            </w:r>
          </w:p>
        </w:tc>
      </w:tr>
      <w:tr>
        <w:tc>
          <w:tcPr>
            <w:tcW w:type="pct" w:w="7%"/>
            <w:tcMar>
              <w:top w:type="dxa" w:w="50"/>
              <w:left w:type="dxa" w:w="80"/>
              <w:bottom w:type="dxa" w:w="50"/>
              <w:right w:type="dxa" w:w="80"/>
            </w:tcMar>
          </w:tcPr>
          <w:p>
            <w:pPr>
              <w:spacing w:after="0"/>
            </w:pPr>
            <w:r>
              <w:rPr>
                <w:b w:val="false"/>
                <w:bCs w:val="false"/>
                <w:color w:val="16191F"/>
                <w:sz w:val="15"/>
                <w:szCs w:val="15"/>
              </w:rPr>
              <w:t xml:space="preserve">09</w:t>
            </w:r>
          </w:p>
        </w:tc>
        <w:tc>
          <w:tcPr>
            <w:tcW w:type="pct" w:w="42%"/>
            <w:tcMar>
              <w:top w:type="dxa" w:w="50"/>
              <w:left w:type="dxa" w:w="80"/>
              <w:bottom w:type="dxa" w:w="50"/>
              <w:right w:type="dxa" w:w="80"/>
            </w:tcMar>
          </w:tcPr>
          <w:p>
            <w:pPr>
              <w:spacing w:after="0"/>
            </w:pPr>
            <w:r>
              <w:rPr>
                <w:b w:val="false"/>
                <w:bCs w:val="false"/>
                <w:color w:val="16191F"/>
                <w:sz w:val="15"/>
                <w:szCs w:val="15"/>
              </w:rPr>
              <w:t xml:space="preserve">RDS Single-AZ (stage) / Multi-AZ (cible prod)</w:t>
            </w:r>
          </w:p>
        </w:tc>
        <w:tc>
          <w:tcPr>
            <w:tcW w:type="pct" w:w="30%"/>
            <w:tcMar>
              <w:top w:type="dxa" w:w="50"/>
              <w:left w:type="dxa" w:w="80"/>
              <w:bottom w:type="dxa" w:w="50"/>
              <w:right w:type="dxa" w:w="80"/>
            </w:tcMar>
          </w:tcPr>
          <w:p>
            <w:pPr>
              <w:spacing w:after="0"/>
            </w:pPr>
            <w:r>
              <w:rPr>
                <w:b w:val="false"/>
                <w:bCs w:val="false"/>
                <w:color w:val="16191F"/>
                <w:sz w:val="15"/>
                <w:szCs w:val="15"/>
              </w:rPr>
              <w:t xml:space="preserve">T-02</w:t>
            </w:r>
          </w:p>
        </w:tc>
        <w:tc>
          <w:tcPr>
            <w:tcW w:type="pct" w:w="21%"/>
            <w:tcMar>
              <w:top w:type="dxa" w:w="50"/>
              <w:left w:type="dxa" w:w="80"/>
              <w:bottom w:type="dxa" w:w="50"/>
              <w:right w:type="dxa" w:w="80"/>
            </w:tcMar>
          </w:tcPr>
          <w:p>
            <w:pPr>
              <w:spacing w:after="0"/>
            </w:pPr>
            <w:r>
              <w:rPr>
                <w:b/>
                <w:bCs/>
                <w:color w:val="2F7D32"/>
                <w:sz w:val="15"/>
                <w:szCs w:val="15"/>
              </w:rPr>
              <w:t xml:space="preserve">Accepté</w:t>
            </w:r>
          </w:p>
        </w:tc>
      </w:tr>
      <w:tr>
        <w:tc>
          <w:tcPr>
            <w:tcW w:type="pct" w:w="7%"/>
            <w:tcMar>
              <w:top w:type="dxa" w:w="50"/>
              <w:left w:type="dxa" w:w="80"/>
              <w:bottom w:type="dxa" w:w="50"/>
              <w:right w:type="dxa" w:w="80"/>
            </w:tcMar>
          </w:tcPr>
          <w:p>
            <w:pPr>
              <w:spacing w:after="0"/>
            </w:pPr>
            <w:r>
              <w:rPr>
                <w:b w:val="false"/>
                <w:bCs w:val="false"/>
                <w:color w:val="16191F"/>
                <w:sz w:val="15"/>
                <w:szCs w:val="15"/>
              </w:rPr>
              <w:t xml:space="preserve">10</w:t>
            </w:r>
          </w:p>
        </w:tc>
        <w:tc>
          <w:tcPr>
            <w:tcW w:type="pct" w:w="42%"/>
            <w:tcMar>
              <w:top w:type="dxa" w:w="50"/>
              <w:left w:type="dxa" w:w="80"/>
              <w:bottom w:type="dxa" w:w="50"/>
              <w:right w:type="dxa" w:w="80"/>
            </w:tcMar>
          </w:tcPr>
          <w:p>
            <w:pPr>
              <w:spacing w:after="0"/>
            </w:pPr>
            <w:r>
              <w:rPr>
                <w:b w:val="false"/>
                <w:bCs w:val="false"/>
                <w:color w:val="16191F"/>
                <w:sz w:val="15"/>
                <w:szCs w:val="15"/>
              </w:rPr>
              <w:t xml:space="preserve">Images produit sur S3, URLs en base</w:t>
            </w:r>
          </w:p>
        </w:tc>
        <w:tc>
          <w:tcPr>
            <w:tcW w:type="pct" w:w="30%"/>
            <w:tcMar>
              <w:top w:type="dxa" w:w="50"/>
              <w:left w:type="dxa" w:w="80"/>
              <w:bottom w:type="dxa" w:w="50"/>
              <w:right w:type="dxa" w:w="80"/>
            </w:tcMar>
          </w:tcPr>
          <w:p>
            <w:pPr>
              <w:spacing w:after="0"/>
            </w:pPr>
            <w:r>
              <w:rPr>
                <w:b w:val="false"/>
                <w:bCs w:val="false"/>
                <w:color w:val="16191F"/>
                <w:sz w:val="15"/>
                <w:szCs w:val="15"/>
              </w:rPr>
              <w:t xml:space="preserve">F-2.2.c</w:t>
            </w:r>
          </w:p>
        </w:tc>
        <w:tc>
          <w:tcPr>
            <w:tcW w:type="pct" w:w="21%"/>
            <w:tcMar>
              <w:top w:type="dxa" w:w="50"/>
              <w:left w:type="dxa" w:w="80"/>
              <w:bottom w:type="dxa" w:w="50"/>
              <w:right w:type="dxa" w:w="80"/>
            </w:tcMar>
          </w:tcPr>
          <w:p>
            <w:pPr>
              <w:spacing w:after="0"/>
            </w:pPr>
            <w:r>
              <w:rPr>
                <w:b/>
                <w:bCs/>
                <w:color w:val="2F7D32"/>
                <w:sz w:val="15"/>
                <w:szCs w:val="15"/>
              </w:rPr>
              <w:t xml:space="preserve">Accepté</w:t>
            </w:r>
          </w:p>
        </w:tc>
      </w:tr>
      <w:tr>
        <w:tc>
          <w:tcPr>
            <w:tcW w:type="pct" w:w="7%"/>
            <w:tcMar>
              <w:top w:type="dxa" w:w="50"/>
              <w:left w:type="dxa" w:w="80"/>
              <w:bottom w:type="dxa" w:w="50"/>
              <w:right w:type="dxa" w:w="80"/>
            </w:tcMar>
          </w:tcPr>
          <w:p>
            <w:pPr>
              <w:spacing w:after="0"/>
            </w:pPr>
            <w:r>
              <w:rPr>
                <w:b w:val="false"/>
                <w:bCs w:val="false"/>
                <w:color w:val="16191F"/>
                <w:sz w:val="15"/>
                <w:szCs w:val="15"/>
              </w:rPr>
              <w:t xml:space="preserve">11</w:t>
            </w:r>
          </w:p>
        </w:tc>
        <w:tc>
          <w:tcPr>
            <w:tcW w:type="pct" w:w="42%"/>
            <w:tcMar>
              <w:top w:type="dxa" w:w="50"/>
              <w:left w:type="dxa" w:w="80"/>
              <w:bottom w:type="dxa" w:w="50"/>
              <w:right w:type="dxa" w:w="80"/>
            </w:tcMar>
          </w:tcPr>
          <w:p>
            <w:pPr>
              <w:spacing w:after="0"/>
            </w:pPr>
            <w:r>
              <w:rPr>
                <w:b w:val="false"/>
                <w:bCs w:val="false"/>
                <w:color w:val="16191F"/>
                <w:sz w:val="15"/>
                <w:szCs w:val="15"/>
              </w:rPr>
              <w:t xml:space="preserve">Saga chorégraphiée + décrément conditionnel atomique</w:t>
            </w:r>
          </w:p>
        </w:tc>
        <w:tc>
          <w:tcPr>
            <w:tcW w:type="pct" w:w="30%"/>
            <w:tcMar>
              <w:top w:type="dxa" w:w="50"/>
              <w:left w:type="dxa" w:w="80"/>
              <w:bottom w:type="dxa" w:w="50"/>
              <w:right w:type="dxa" w:w="80"/>
            </w:tcMar>
          </w:tcPr>
          <w:p>
            <w:pPr>
              <w:spacing w:after="0"/>
            </w:pPr>
            <w:r>
              <w:rPr>
                <w:b w:val="false"/>
                <w:bCs w:val="false"/>
                <w:color w:val="16191F"/>
                <w:sz w:val="15"/>
                <w:szCs w:val="15"/>
              </w:rPr>
              <w:t xml:space="preserve">B-01 · US 3.2</w:t>
            </w:r>
          </w:p>
        </w:tc>
        <w:tc>
          <w:tcPr>
            <w:tcW w:type="pct" w:w="21%"/>
            <w:tcMar>
              <w:top w:type="dxa" w:w="50"/>
              <w:left w:type="dxa" w:w="80"/>
              <w:bottom w:type="dxa" w:w="50"/>
              <w:right w:type="dxa" w:w="80"/>
            </w:tcMar>
          </w:tcPr>
          <w:p>
            <w:pPr>
              <w:spacing w:after="0"/>
            </w:pPr>
            <w:r>
              <w:rPr>
                <w:b/>
                <w:bCs/>
                <w:color w:val="2F7D32"/>
                <w:sz w:val="15"/>
                <w:szCs w:val="15"/>
              </w:rPr>
              <w:t xml:space="preserve">Accepté</w:t>
            </w:r>
          </w:p>
        </w:tc>
      </w:tr>
      <w:tr>
        <w:tc>
          <w:tcPr>
            <w:tcW w:type="pct" w:w="7%"/>
            <w:tcMar>
              <w:top w:type="dxa" w:w="50"/>
              <w:left w:type="dxa" w:w="80"/>
              <w:bottom w:type="dxa" w:w="50"/>
              <w:right w:type="dxa" w:w="80"/>
            </w:tcMar>
          </w:tcPr>
          <w:p>
            <w:pPr>
              <w:spacing w:after="0"/>
            </w:pPr>
            <w:r>
              <w:rPr>
                <w:b w:val="false"/>
                <w:bCs w:val="false"/>
                <w:color w:val="16191F"/>
                <w:sz w:val="15"/>
                <w:szCs w:val="15"/>
              </w:rPr>
              <w:t xml:space="preserve">12</w:t>
            </w:r>
          </w:p>
        </w:tc>
        <w:tc>
          <w:tcPr>
            <w:tcW w:type="pct" w:w="42%"/>
            <w:tcMar>
              <w:top w:type="dxa" w:w="50"/>
              <w:left w:type="dxa" w:w="80"/>
              <w:bottom w:type="dxa" w:w="50"/>
              <w:right w:type="dxa" w:w="80"/>
            </w:tcMar>
          </w:tcPr>
          <w:p>
            <w:pPr>
              <w:spacing w:after="0"/>
            </w:pPr>
            <w:r>
              <w:rPr>
                <w:b w:val="false"/>
                <w:bCs w:val="false"/>
                <w:color w:val="16191F"/>
                <w:sz w:val="15"/>
                <w:szCs w:val="15"/>
              </w:rPr>
              <w:t xml:space="preserve">Circuit Breaker + fallback sur tous les appels synchrones</w:t>
            </w:r>
          </w:p>
        </w:tc>
        <w:tc>
          <w:tcPr>
            <w:tcW w:type="pct" w:w="30%"/>
            <w:tcMar>
              <w:top w:type="dxa" w:w="50"/>
              <w:left w:type="dxa" w:w="80"/>
              <w:bottom w:type="dxa" w:w="50"/>
              <w:right w:type="dxa" w:w="80"/>
            </w:tcMar>
          </w:tcPr>
          <w:p>
            <w:pPr>
              <w:spacing w:after="0"/>
            </w:pPr>
            <w:r>
              <w:rPr>
                <w:b w:val="false"/>
                <w:bCs w:val="false"/>
                <w:color w:val="16191F"/>
                <w:sz w:val="15"/>
                <w:szCs w:val="15"/>
              </w:rPr>
              <w:t xml:space="preserve">B-02</w:t>
            </w:r>
          </w:p>
        </w:tc>
        <w:tc>
          <w:tcPr>
            <w:tcW w:type="pct" w:w="21%"/>
            <w:tcMar>
              <w:top w:type="dxa" w:w="50"/>
              <w:left w:type="dxa" w:w="80"/>
              <w:bottom w:type="dxa" w:w="50"/>
              <w:right w:type="dxa" w:w="80"/>
            </w:tcMar>
          </w:tcPr>
          <w:p>
            <w:pPr>
              <w:spacing w:after="0"/>
            </w:pPr>
            <w:r>
              <w:rPr>
                <w:b/>
                <w:bCs/>
                <w:color w:val="2F7D32"/>
                <w:sz w:val="15"/>
                <w:szCs w:val="15"/>
              </w:rPr>
              <w:t xml:space="preserve">Accepté</w:t>
            </w:r>
          </w:p>
        </w:tc>
      </w:tr>
      <w:tr>
        <w:tc>
          <w:tcPr>
            <w:tcW w:type="pct" w:w="7%"/>
            <w:tcMar>
              <w:top w:type="dxa" w:w="50"/>
              <w:left w:type="dxa" w:w="80"/>
              <w:bottom w:type="dxa" w:w="50"/>
              <w:right w:type="dxa" w:w="80"/>
            </w:tcMar>
          </w:tcPr>
          <w:p>
            <w:pPr>
              <w:spacing w:after="0"/>
            </w:pPr>
            <w:r>
              <w:rPr>
                <w:b w:val="false"/>
                <w:bCs w:val="false"/>
                <w:color w:val="16191F"/>
                <w:sz w:val="15"/>
                <w:szCs w:val="15"/>
              </w:rPr>
              <w:t xml:space="preserve">13</w:t>
            </w:r>
          </w:p>
        </w:tc>
        <w:tc>
          <w:tcPr>
            <w:tcW w:type="pct" w:w="42%"/>
            <w:tcMar>
              <w:top w:type="dxa" w:w="50"/>
              <w:left w:type="dxa" w:w="80"/>
              <w:bottom w:type="dxa" w:w="50"/>
              <w:right w:type="dxa" w:w="80"/>
            </w:tcMar>
          </w:tcPr>
          <w:p>
            <w:pPr>
              <w:spacing w:after="0"/>
            </w:pPr>
            <w:r>
              <w:rPr>
                <w:b w:val="false"/>
                <w:bCs w:val="false"/>
                <w:color w:val="16191F"/>
                <w:sz w:val="15"/>
                <w:szCs w:val="15"/>
              </w:rPr>
              <w:t xml:space="preserve">Propagation userId + traceId dans les messages AMQP</w:t>
            </w:r>
          </w:p>
        </w:tc>
        <w:tc>
          <w:tcPr>
            <w:tcW w:type="pct" w:w="30%"/>
            <w:tcMar>
              <w:top w:type="dxa" w:w="50"/>
              <w:left w:type="dxa" w:w="80"/>
              <w:bottom w:type="dxa" w:w="50"/>
              <w:right w:type="dxa" w:w="80"/>
            </w:tcMar>
          </w:tcPr>
          <w:p>
            <w:pPr>
              <w:spacing w:after="0"/>
            </w:pPr>
            <w:r>
              <w:rPr>
                <w:b w:val="false"/>
                <w:bCs w:val="false"/>
                <w:color w:val="16191F"/>
                <w:sz w:val="15"/>
                <w:szCs w:val="15"/>
              </w:rPr>
              <w:t xml:space="preserve">B-03 · US 4.2</w:t>
            </w:r>
          </w:p>
        </w:tc>
        <w:tc>
          <w:tcPr>
            <w:tcW w:type="pct" w:w="21%"/>
            <w:tcMar>
              <w:top w:type="dxa" w:w="50"/>
              <w:left w:type="dxa" w:w="80"/>
              <w:bottom w:type="dxa" w:w="50"/>
              <w:right w:type="dxa" w:w="80"/>
            </w:tcMar>
          </w:tcPr>
          <w:p>
            <w:pPr>
              <w:spacing w:after="0"/>
            </w:pPr>
            <w:r>
              <w:rPr>
                <w:b/>
                <w:bCs/>
                <w:color w:val="2F7D32"/>
                <w:sz w:val="15"/>
                <w:szCs w:val="15"/>
              </w:rPr>
              <w:t xml:space="preserve">Accepté</w:t>
            </w:r>
          </w:p>
        </w:tc>
      </w:tr>
      <w:tr>
        <w:tc>
          <w:tcPr>
            <w:tcW w:type="pct" w:w="7%"/>
            <w:tcMar>
              <w:top w:type="dxa" w:w="50"/>
              <w:left w:type="dxa" w:w="80"/>
              <w:bottom w:type="dxa" w:w="50"/>
              <w:right w:type="dxa" w:w="80"/>
            </w:tcMar>
          </w:tcPr>
          <w:p>
            <w:pPr>
              <w:spacing w:after="0"/>
            </w:pPr>
            <w:r>
              <w:rPr>
                <w:b w:val="false"/>
                <w:bCs w:val="false"/>
                <w:color w:val="16191F"/>
                <w:sz w:val="15"/>
                <w:szCs w:val="15"/>
              </w:rPr>
              <w:t xml:space="preserve">14</w:t>
            </w:r>
          </w:p>
        </w:tc>
        <w:tc>
          <w:tcPr>
            <w:tcW w:type="pct" w:w="42%"/>
            <w:tcMar>
              <w:top w:type="dxa" w:w="50"/>
              <w:left w:type="dxa" w:w="80"/>
              <w:bottom w:type="dxa" w:w="50"/>
              <w:right w:type="dxa" w:w="80"/>
            </w:tcMar>
          </w:tcPr>
          <w:p>
            <w:pPr>
              <w:spacing w:after="0"/>
            </w:pPr>
            <w:r>
              <w:rPr>
                <w:b w:val="false"/>
                <w:bCs w:val="false"/>
                <w:color w:val="16191F"/>
                <w:sz w:val="15"/>
                <w:szCs w:val="15"/>
              </w:rPr>
              <w:t xml:space="preserve">Idempotence des consommateurs</w:t>
            </w:r>
          </w:p>
        </w:tc>
        <w:tc>
          <w:tcPr>
            <w:tcW w:type="pct" w:w="30%"/>
            <w:tcMar>
              <w:top w:type="dxa" w:w="50"/>
              <w:left w:type="dxa" w:w="80"/>
              <w:bottom w:type="dxa" w:w="50"/>
              <w:right w:type="dxa" w:w="80"/>
            </w:tcMar>
          </w:tcPr>
          <w:p>
            <w:pPr>
              <w:spacing w:after="0"/>
            </w:pPr>
            <w:r>
              <w:rPr>
                <w:b w:val="false"/>
                <w:bCs w:val="false"/>
                <w:color w:val="16191F"/>
                <w:sz w:val="15"/>
                <w:szCs w:val="15"/>
              </w:rPr>
              <w:t xml:space="preserve">B-01 · T-07</w:t>
            </w:r>
          </w:p>
        </w:tc>
        <w:tc>
          <w:tcPr>
            <w:tcW w:type="pct" w:w="21%"/>
            <w:tcMar>
              <w:top w:type="dxa" w:w="50"/>
              <w:left w:type="dxa" w:w="80"/>
              <w:bottom w:type="dxa" w:w="50"/>
              <w:right w:type="dxa" w:w="80"/>
            </w:tcMar>
          </w:tcPr>
          <w:p>
            <w:pPr>
              <w:spacing w:after="0"/>
            </w:pPr>
            <w:r>
              <w:rPr>
                <w:b/>
                <w:bCs/>
                <w:color w:val="2F7D32"/>
                <w:sz w:val="15"/>
                <w:szCs w:val="15"/>
              </w:rPr>
              <w:t xml:space="preserve">Accepté</w:t>
            </w:r>
          </w:p>
        </w:tc>
      </w:tr>
      <w:tr>
        <w:tc>
          <w:tcPr>
            <w:tcW w:type="pct" w:w="7%"/>
            <w:tcMar>
              <w:top w:type="dxa" w:w="50"/>
              <w:left w:type="dxa" w:w="80"/>
              <w:bottom w:type="dxa" w:w="50"/>
              <w:right w:type="dxa" w:w="80"/>
            </w:tcMar>
          </w:tcPr>
          <w:p>
            <w:pPr>
              <w:spacing w:after="0"/>
            </w:pPr>
            <w:r>
              <w:rPr>
                <w:b w:val="false"/>
                <w:bCs w:val="false"/>
                <w:color w:val="16191F"/>
                <w:sz w:val="15"/>
                <w:szCs w:val="15"/>
              </w:rPr>
              <w:t xml:space="preserve">15</w:t>
            </w:r>
          </w:p>
        </w:tc>
        <w:tc>
          <w:tcPr>
            <w:tcW w:type="pct" w:w="42%"/>
            <w:tcMar>
              <w:top w:type="dxa" w:w="50"/>
              <w:left w:type="dxa" w:w="80"/>
              <w:bottom w:type="dxa" w:w="50"/>
              <w:right w:type="dxa" w:w="80"/>
            </w:tcMar>
          </w:tcPr>
          <w:p>
            <w:pPr>
              <w:spacing w:after="0"/>
            </w:pPr>
            <w:r>
              <w:rPr>
                <w:b w:val="false"/>
                <w:bCs w:val="false"/>
                <w:color w:val="16191F"/>
                <w:sz w:val="15"/>
                <w:szCs w:val="15"/>
              </w:rPr>
              <w:t xml:space="preserve">Structure mono-repo</w:t>
            </w:r>
          </w:p>
        </w:tc>
        <w:tc>
          <w:tcPr>
            <w:tcW w:type="pct" w:w="30%"/>
            <w:tcMar>
              <w:top w:type="dxa" w:w="50"/>
              <w:left w:type="dxa" w:w="80"/>
              <w:bottom w:type="dxa" w:w="50"/>
              <w:right w:type="dxa" w:w="80"/>
            </w:tcMar>
          </w:tcPr>
          <w:p>
            <w:pPr>
              <w:spacing w:after="0"/>
            </w:pPr>
            <w:r>
              <w:rPr>
                <w:b w:val="false"/>
                <w:bCs w:val="false"/>
                <w:color w:val="16191F"/>
                <w:sz w:val="15"/>
                <w:szCs w:val="15"/>
              </w:rPr>
              <w:t xml:space="preserve">F-1.1.a</w:t>
            </w:r>
          </w:p>
        </w:tc>
        <w:tc>
          <w:tcPr>
            <w:tcW w:type="pct" w:w="21%"/>
            <w:tcMar>
              <w:top w:type="dxa" w:w="50"/>
              <w:left w:type="dxa" w:w="80"/>
              <w:bottom w:type="dxa" w:w="50"/>
              <w:right w:type="dxa" w:w="80"/>
            </w:tcMar>
          </w:tcPr>
          <w:p>
            <w:pPr>
              <w:spacing w:after="0"/>
            </w:pPr>
            <w:r>
              <w:rPr>
                <w:b/>
                <w:bCs/>
                <w:color w:val="2F7D32"/>
                <w:sz w:val="15"/>
                <w:szCs w:val="15"/>
              </w:rPr>
              <w:t xml:space="preserve">Accepté</w:t>
            </w:r>
          </w:p>
        </w:tc>
      </w:tr>
      <w:tr>
        <w:tc>
          <w:tcPr>
            <w:tcW w:type="pct" w:w="7%"/>
            <w:tcMar>
              <w:top w:type="dxa" w:w="50"/>
              <w:left w:type="dxa" w:w="80"/>
              <w:bottom w:type="dxa" w:w="50"/>
              <w:right w:type="dxa" w:w="80"/>
            </w:tcMar>
          </w:tcPr>
          <w:p>
            <w:pPr>
              <w:spacing w:after="0"/>
            </w:pPr>
            <w:r>
              <w:rPr>
                <w:b w:val="false"/>
                <w:bCs w:val="false"/>
                <w:color w:val="16191F"/>
                <w:sz w:val="15"/>
                <w:szCs w:val="15"/>
              </w:rPr>
              <w:t xml:space="preserve">16</w:t>
            </w:r>
          </w:p>
        </w:tc>
        <w:tc>
          <w:tcPr>
            <w:tcW w:type="pct" w:w="42%"/>
            <w:tcMar>
              <w:top w:type="dxa" w:w="50"/>
              <w:left w:type="dxa" w:w="80"/>
              <w:bottom w:type="dxa" w:w="50"/>
              <w:right w:type="dxa" w:w="80"/>
            </w:tcMar>
          </w:tcPr>
          <w:p>
            <w:pPr>
              <w:spacing w:after="0"/>
            </w:pPr>
            <w:r>
              <w:rPr>
                <w:b w:val="false"/>
                <w:bCs w:val="false"/>
                <w:color w:val="16191F"/>
                <w:sz w:val="15"/>
                <w:szCs w:val="15"/>
              </w:rPr>
              <w:t xml:space="preserve">GitHub Actions + Terraform</w:t>
            </w:r>
          </w:p>
        </w:tc>
        <w:tc>
          <w:tcPr>
            <w:tcW w:type="pct" w:w="30%"/>
            <w:tcMar>
              <w:top w:type="dxa" w:w="50"/>
              <w:left w:type="dxa" w:w="80"/>
              <w:bottom w:type="dxa" w:w="50"/>
              <w:right w:type="dxa" w:w="80"/>
            </w:tcMar>
          </w:tcPr>
          <w:p>
            <w:pPr>
              <w:spacing w:after="0"/>
            </w:pPr>
            <w:r>
              <w:rPr>
                <w:b w:val="false"/>
                <w:bCs w:val="false"/>
                <w:color w:val="16191F"/>
                <w:sz w:val="15"/>
                <w:szCs w:val="15"/>
              </w:rPr>
              <w:t xml:space="preserve">T-10</w:t>
            </w:r>
          </w:p>
        </w:tc>
        <w:tc>
          <w:tcPr>
            <w:tcW w:type="pct" w:w="21%"/>
            <w:tcMar>
              <w:top w:type="dxa" w:w="50"/>
              <w:left w:type="dxa" w:w="80"/>
              <w:bottom w:type="dxa" w:w="50"/>
              <w:right w:type="dxa" w:w="80"/>
            </w:tcMar>
          </w:tcPr>
          <w:p>
            <w:pPr>
              <w:spacing w:after="0"/>
            </w:pPr>
            <w:r>
              <w:rPr>
                <w:b/>
                <w:bCs/>
                <w:color w:val="2F7D32"/>
                <w:sz w:val="15"/>
                <w:szCs w:val="15"/>
              </w:rPr>
              <w:t xml:space="preserve">Accepté</w:t>
            </w:r>
          </w:p>
        </w:tc>
      </w:tr>
      <w:tr>
        <w:tc>
          <w:tcPr>
            <w:tcW w:type="pct" w:w="7%"/>
            <w:tcMar>
              <w:top w:type="dxa" w:w="50"/>
              <w:left w:type="dxa" w:w="80"/>
              <w:bottom w:type="dxa" w:w="50"/>
              <w:right w:type="dxa" w:w="80"/>
            </w:tcMar>
          </w:tcPr>
          <w:p>
            <w:pPr>
              <w:spacing w:after="0"/>
            </w:pPr>
            <w:r>
              <w:rPr>
                <w:b w:val="false"/>
                <w:bCs w:val="false"/>
                <w:color w:val="16191F"/>
                <w:sz w:val="15"/>
                <w:szCs w:val="15"/>
              </w:rPr>
              <w:t xml:space="preserve">17</w:t>
            </w:r>
          </w:p>
        </w:tc>
        <w:tc>
          <w:tcPr>
            <w:tcW w:type="pct" w:w="42%"/>
            <w:tcMar>
              <w:top w:type="dxa" w:w="50"/>
              <w:left w:type="dxa" w:w="80"/>
              <w:bottom w:type="dxa" w:w="50"/>
              <w:right w:type="dxa" w:w="80"/>
            </w:tcMar>
          </w:tcPr>
          <w:p>
            <w:pPr>
              <w:spacing w:after="0"/>
            </w:pPr>
            <w:r>
              <w:rPr>
                <w:b w:val="false"/>
                <w:bCs w:val="false"/>
                <w:color w:val="16191F"/>
                <w:sz w:val="15"/>
                <w:szCs w:val="15"/>
              </w:rPr>
              <w:t xml:space="preserve">Observabilité complète (Prometheus, Grafana, Jaeger, ELK)</w:t>
            </w:r>
          </w:p>
        </w:tc>
        <w:tc>
          <w:tcPr>
            <w:tcW w:type="pct" w:w="30%"/>
            <w:tcMar>
              <w:top w:type="dxa" w:w="50"/>
              <w:left w:type="dxa" w:w="80"/>
              <w:bottom w:type="dxa" w:w="50"/>
              <w:right w:type="dxa" w:w="80"/>
            </w:tcMar>
          </w:tcPr>
          <w:p>
            <w:pPr>
              <w:spacing w:after="0"/>
            </w:pPr>
            <w:r>
              <w:rPr>
                <w:b w:val="false"/>
                <w:bCs w:val="false"/>
                <w:color w:val="16191F"/>
                <w:sz w:val="15"/>
                <w:szCs w:val="15"/>
              </w:rPr>
              <w:t xml:space="preserve">T-11 · US 4.2</w:t>
            </w:r>
          </w:p>
        </w:tc>
        <w:tc>
          <w:tcPr>
            <w:tcW w:type="pct" w:w="21%"/>
            <w:tcMar>
              <w:top w:type="dxa" w:w="50"/>
              <w:left w:type="dxa" w:w="80"/>
              <w:bottom w:type="dxa" w:w="50"/>
              <w:right w:type="dxa" w:w="80"/>
            </w:tcMar>
          </w:tcPr>
          <w:p>
            <w:pPr>
              <w:spacing w:after="0"/>
            </w:pPr>
            <w:r>
              <w:rPr>
                <w:b/>
                <w:bCs/>
                <w:color w:val="2F7D32"/>
                <w:sz w:val="15"/>
                <w:szCs w:val="15"/>
              </w:rPr>
              <w:t xml:space="preserve">Accepté</w:t>
            </w:r>
          </w:p>
        </w:tc>
      </w:tr>
      <w:tr>
        <w:tc>
          <w:tcPr>
            <w:tcW w:type="pct" w:w="7%"/>
            <w:tcMar>
              <w:top w:type="dxa" w:w="50"/>
              <w:left w:type="dxa" w:w="80"/>
              <w:bottom w:type="dxa" w:w="50"/>
              <w:right w:type="dxa" w:w="80"/>
            </w:tcMar>
          </w:tcPr>
          <w:p>
            <w:pPr>
              <w:spacing w:after="0"/>
            </w:pPr>
            <w:r>
              <w:rPr>
                <w:b w:val="false"/>
                <w:bCs w:val="false"/>
                <w:color w:val="16191F"/>
                <w:sz w:val="15"/>
                <w:szCs w:val="15"/>
              </w:rPr>
              <w:t xml:space="preserve">18</w:t>
            </w:r>
          </w:p>
        </w:tc>
        <w:tc>
          <w:tcPr>
            <w:tcW w:type="pct" w:w="42%"/>
            <w:tcMar>
              <w:top w:type="dxa" w:w="50"/>
              <w:left w:type="dxa" w:w="80"/>
              <w:bottom w:type="dxa" w:w="50"/>
              <w:right w:type="dxa" w:w="80"/>
            </w:tcMar>
          </w:tcPr>
          <w:p>
            <w:pPr>
              <w:spacing w:after="0"/>
            </w:pPr>
            <w:r>
              <w:rPr>
                <w:b w:val="false"/>
                <w:bCs w:val="false"/>
                <w:color w:val="16191F"/>
                <w:sz w:val="15"/>
                <w:szCs w:val="15"/>
              </w:rPr>
              <w:t xml:space="preserve">Mock de paiement déterministe</w:t>
            </w:r>
          </w:p>
        </w:tc>
        <w:tc>
          <w:tcPr>
            <w:tcW w:type="pct" w:w="30%"/>
            <w:tcMar>
              <w:top w:type="dxa" w:w="50"/>
              <w:left w:type="dxa" w:w="80"/>
              <w:bottom w:type="dxa" w:w="50"/>
              <w:right w:type="dxa" w:w="80"/>
            </w:tcMar>
          </w:tcPr>
          <w:p>
            <w:pPr>
              <w:spacing w:after="0"/>
            </w:pPr>
            <w:r>
              <w:rPr>
                <w:b w:val="false"/>
                <w:bCs w:val="false"/>
                <w:color w:val="16191F"/>
                <w:sz w:val="15"/>
                <w:szCs w:val="15"/>
              </w:rPr>
              <w:t xml:space="preserve">P-07</w:t>
            </w:r>
          </w:p>
        </w:tc>
        <w:tc>
          <w:tcPr>
            <w:tcW w:type="pct" w:w="21%"/>
            <w:tcMar>
              <w:top w:type="dxa" w:w="50"/>
              <w:left w:type="dxa" w:w="80"/>
              <w:bottom w:type="dxa" w:w="50"/>
              <w:right w:type="dxa" w:w="80"/>
            </w:tcMar>
          </w:tcPr>
          <w:p>
            <w:pPr>
              <w:spacing w:after="0"/>
            </w:pPr>
            <w:r>
              <w:rPr>
                <w:b/>
                <w:bCs/>
                <w:color w:val="2F7D32"/>
                <w:sz w:val="15"/>
                <w:szCs w:val="15"/>
              </w:rPr>
              <w:t xml:space="preserve">Accepté</w:t>
            </w:r>
          </w:p>
        </w:tc>
      </w:tr>
      <w:tr>
        <w:tc>
          <w:tcPr>
            <w:tcW w:type="pct" w:w="7%"/>
            <w:tcMar>
              <w:top w:type="dxa" w:w="50"/>
              <w:left w:type="dxa" w:w="80"/>
              <w:bottom w:type="dxa" w:w="50"/>
              <w:right w:type="dxa" w:w="80"/>
            </w:tcMar>
          </w:tcPr>
          <w:p>
            <w:pPr>
              <w:spacing w:after="0"/>
            </w:pPr>
            <w:r>
              <w:rPr>
                <w:b w:val="false"/>
                <w:bCs w:val="false"/>
                <w:color w:val="16191F"/>
                <w:sz w:val="15"/>
                <w:szCs w:val="15"/>
              </w:rPr>
              <w:t xml:space="preserve">19</w:t>
            </w:r>
          </w:p>
        </w:tc>
        <w:tc>
          <w:tcPr>
            <w:tcW w:type="pct" w:w="42%"/>
            <w:tcMar>
              <w:top w:type="dxa" w:w="50"/>
              <w:left w:type="dxa" w:w="80"/>
              <w:bottom w:type="dxa" w:w="50"/>
              <w:right w:type="dxa" w:w="80"/>
            </w:tcMar>
          </w:tcPr>
          <w:p>
            <w:pPr>
              <w:spacing w:after="0"/>
            </w:pPr>
            <w:r>
              <w:rPr>
                <w:b w:val="false"/>
                <w:bCs w:val="false"/>
                <w:color w:val="16191F"/>
                <w:sz w:val="15"/>
                <w:szCs w:val="15"/>
              </w:rPr>
              <w:t xml:space="preserve">Deux NAT Gateways (une par AZ)</w:t>
            </w:r>
          </w:p>
        </w:tc>
        <w:tc>
          <w:tcPr>
            <w:tcW w:type="pct" w:w="30%"/>
            <w:tcMar>
              <w:top w:type="dxa" w:w="50"/>
              <w:left w:type="dxa" w:w="80"/>
              <w:bottom w:type="dxa" w:w="50"/>
              <w:right w:type="dxa" w:w="80"/>
            </w:tcMar>
          </w:tcPr>
          <w:p>
            <w:pPr>
              <w:spacing w:after="0"/>
            </w:pPr>
            <w:r>
              <w:rPr>
                <w:b w:val="false"/>
                <w:bCs w:val="false"/>
                <w:color w:val="16191F"/>
                <w:sz w:val="15"/>
                <w:szCs w:val="15"/>
              </w:rPr>
              <w:t xml:space="preserve">HA (auto-imposé)</w:t>
            </w:r>
          </w:p>
        </w:tc>
        <w:tc>
          <w:tcPr>
            <w:tcW w:type="pct" w:w="21%"/>
            <w:tcMar>
              <w:top w:type="dxa" w:w="50"/>
              <w:left w:type="dxa" w:w="80"/>
              <w:bottom w:type="dxa" w:w="50"/>
              <w:right w:type="dxa" w:w="80"/>
            </w:tcMar>
          </w:tcPr>
          <w:p>
            <w:pPr>
              <w:spacing w:after="0"/>
            </w:pPr>
            <w:r>
              <w:rPr>
                <w:b/>
                <w:bCs/>
                <w:color w:val="2F7D32"/>
                <w:sz w:val="15"/>
                <w:szCs w:val="15"/>
              </w:rPr>
              <w:t xml:space="preserve">Accepté</w:t>
            </w:r>
          </w:p>
        </w:tc>
      </w:tr>
      <w:tr>
        <w:tc>
          <w:tcPr>
            <w:tcW w:type="pct" w:w="7%"/>
            <w:tcMar>
              <w:top w:type="dxa" w:w="50"/>
              <w:left w:type="dxa" w:w="80"/>
              <w:bottom w:type="dxa" w:w="50"/>
              <w:right w:type="dxa" w:w="80"/>
            </w:tcMar>
          </w:tcPr>
          <w:p>
            <w:pPr>
              <w:spacing w:after="0"/>
            </w:pPr>
            <w:r>
              <w:rPr>
                <w:b w:val="false"/>
                <w:bCs w:val="false"/>
                <w:color w:val="16191F"/>
                <w:sz w:val="15"/>
                <w:szCs w:val="15"/>
              </w:rPr>
              <w:t xml:space="preserve">20</w:t>
            </w:r>
          </w:p>
        </w:tc>
        <w:tc>
          <w:tcPr>
            <w:tcW w:type="pct" w:w="42%"/>
            <w:tcMar>
              <w:top w:type="dxa" w:w="50"/>
              <w:left w:type="dxa" w:w="80"/>
              <w:bottom w:type="dxa" w:w="50"/>
              <w:right w:type="dxa" w:w="80"/>
            </w:tcMar>
          </w:tcPr>
          <w:p>
            <w:pPr>
              <w:spacing w:after="0"/>
            </w:pPr>
            <w:r>
              <w:rPr>
                <w:b w:val="false"/>
                <w:bCs w:val="false"/>
                <w:color w:val="16191F"/>
                <w:sz w:val="15"/>
                <w:szCs w:val="15"/>
              </w:rPr>
              <w:t xml:space="preserve">Stratégie de coûts deux couches</w:t>
            </w:r>
          </w:p>
        </w:tc>
        <w:tc>
          <w:tcPr>
            <w:tcW w:type="pct" w:w="30%"/>
            <w:tcMar>
              <w:top w:type="dxa" w:w="50"/>
              <w:left w:type="dxa" w:w="80"/>
              <w:bottom w:type="dxa" w:w="50"/>
              <w:right w:type="dxa" w:w="80"/>
            </w:tcMar>
          </w:tcPr>
          <w:p>
            <w:pPr>
              <w:spacing w:after="0"/>
            </w:pPr>
            <w:r>
              <w:rPr>
                <w:b w:val="false"/>
                <w:bCs w:val="false"/>
                <w:color w:val="16191F"/>
                <w:sz w:val="15"/>
                <w:szCs w:val="15"/>
              </w:rPr>
              <w:t xml:space="preserve">Opérationnel (hors CdC)</w:t>
            </w:r>
          </w:p>
        </w:tc>
        <w:tc>
          <w:tcPr>
            <w:tcW w:type="pct" w:w="21%"/>
            <w:tcMar>
              <w:top w:type="dxa" w:w="50"/>
              <w:left w:type="dxa" w:w="80"/>
              <w:bottom w:type="dxa" w:w="50"/>
              <w:right w:type="dxa" w:w="80"/>
            </w:tcMar>
          </w:tcPr>
          <w:p>
            <w:pPr>
              <w:spacing w:after="0"/>
            </w:pPr>
            <w:r>
              <w:rPr>
                <w:b/>
                <w:bCs/>
                <w:color w:val="2F7D32"/>
                <w:sz w:val="15"/>
                <w:szCs w:val="15"/>
              </w:rPr>
              <w:t xml:space="preserve">Accepté</w:t>
            </w:r>
          </w:p>
        </w:tc>
      </w:tr>
      <w:tr>
        <w:tc>
          <w:tcPr>
            <w:tcW w:type="pct" w:w="7%"/>
            <w:tcMar>
              <w:top w:type="dxa" w:w="50"/>
              <w:left w:type="dxa" w:w="80"/>
              <w:bottom w:type="dxa" w:w="50"/>
              <w:right w:type="dxa" w:w="80"/>
            </w:tcMar>
          </w:tcPr>
          <w:p>
            <w:pPr>
              <w:spacing w:after="0"/>
            </w:pPr>
            <w:r>
              <w:rPr>
                <w:b w:val="false"/>
                <w:bCs w:val="false"/>
                <w:color w:val="16191F"/>
                <w:sz w:val="15"/>
                <w:szCs w:val="15"/>
              </w:rPr>
              <w:t xml:space="preserve">21</w:t>
            </w:r>
          </w:p>
        </w:tc>
        <w:tc>
          <w:tcPr>
            <w:tcW w:type="pct" w:w="42%"/>
            <w:tcMar>
              <w:top w:type="dxa" w:w="50"/>
              <w:left w:type="dxa" w:w="80"/>
              <w:bottom w:type="dxa" w:w="50"/>
              <w:right w:type="dxa" w:w="80"/>
            </w:tcMar>
          </w:tcPr>
          <w:p>
            <w:pPr>
              <w:spacing w:after="0"/>
            </w:pPr>
            <w:r>
              <w:rPr>
                <w:b w:val="false"/>
                <w:bCs w:val="false"/>
                <w:color w:val="16191F"/>
                <w:sz w:val="15"/>
                <w:szCs w:val="15"/>
              </w:rPr>
              <w:t xml:space="preserve">Gestion des secrets (K8s Secrets vs Secrets Manager)</w:t>
            </w:r>
          </w:p>
        </w:tc>
        <w:tc>
          <w:tcPr>
            <w:tcW w:type="pct" w:w="30%"/>
            <w:tcMar>
              <w:top w:type="dxa" w:w="50"/>
              <w:left w:type="dxa" w:w="80"/>
              <w:bottom w:type="dxa" w:w="50"/>
              <w:right w:type="dxa" w:w="80"/>
            </w:tcMar>
          </w:tcPr>
          <w:p>
            <w:pPr>
              <w:spacing w:after="0"/>
            </w:pPr>
            <w:r>
              <w:rPr>
                <w:b w:val="false"/>
                <w:bCs w:val="false"/>
                <w:color w:val="16191F"/>
                <w:sz w:val="15"/>
                <w:szCs w:val="15"/>
              </w:rPr>
              <w:t xml:space="preserve">F-4.1.a</w:t>
            </w:r>
          </w:p>
        </w:tc>
        <w:tc>
          <w:tcPr>
            <w:tcW w:type="pct" w:w="21%"/>
            <w:tcMar>
              <w:top w:type="dxa" w:w="50"/>
              <w:left w:type="dxa" w:w="80"/>
              <w:bottom w:type="dxa" w:w="50"/>
              <w:right w:type="dxa" w:w="80"/>
            </w:tcMar>
          </w:tcPr>
          <w:p>
            <w:pPr>
              <w:spacing w:after="0"/>
            </w:pPr>
            <w:r>
              <w:rPr>
                <w:b/>
                <w:bCs/>
                <w:color w:val="B85450"/>
                <w:sz w:val="15"/>
                <w:szCs w:val="15"/>
              </w:rPr>
              <w:t xml:space="preserve">Attente</w:t>
            </w:r>
          </w:p>
        </w:tc>
      </w:tr>
    </w:tbl>
    <w:p>
      <w:pPr>
        <w:spacing w:after="150"/>
      </w:pPr>
    </w:p>
    <w:p>
      <w:r>
        <w:br w:type="page"/>
      </w:r>
    </w:p>
    <w:p>
      <w:pPr>
        <w:pStyle w:val="Heading1"/>
        <w:spacing w:after="140" w:before="300"/>
      </w:pPr>
      <w:r>
        <w:t xml:space="preserve">Décisions détaillées</w:t>
      </w:r>
    </w:p>
    <w:p>
      <w:pPr>
        <w:pStyle w:val="Heading2"/>
        <w:spacing w:after="100" w:before="230"/>
      </w:pPr>
      <w:r>
        <w:t xml:space="preserve">Plateforme et langage</w:t>
      </w:r>
    </w:p>
    <w:p>
      <w:pPr>
        <w:keepNext/>
        <w:spacing w:after="70" w:before="200"/>
      </w:pPr>
      <w:r>
        <w:rPr>
          <w:b/>
          <w:bCs/>
          <w:color w:val="B36B00"/>
          <w:sz w:val="24"/>
          <w:szCs w:val="24"/>
        </w:rPr>
        <w:t xml:space="preserve">ADR-01 — Framework applicatif NestJS / Node.js</w:t>
      </w:r>
    </w:p>
    <w:p>
      <w:pPr>
        <w:spacing w:after="60"/>
        <w:jc w:val="both"/>
      </w:pPr>
      <w:r>
        <w:rPr>
          <w:b/>
          <w:bCs/>
          <w:color w:val="1F3A5F"/>
        </w:rPr>
        <w:t xml:space="preserve">Décision : </w:t>
      </w:r>
      <w:r>
        <w:t xml:space="preserve">Les quatre microservices sont développés en NestJS sur Node.js (TypeScript).</w:t>
      </w:r>
    </w:p>
    <w:p>
      <w:pPr>
        <w:spacing w:after="60"/>
        <w:jc w:val="both"/>
      </w:pPr>
      <w:r>
        <w:rPr>
          <w:b/>
          <w:bCs/>
          <w:color w:val="1F3A5F"/>
        </w:rPr>
        <w:t xml:space="preserve">Exigence rattachée : </w:t>
      </w:r>
      <w:r>
        <w:rPr>
          <w:b/>
          <w:bCs/>
        </w:rPr>
        <w:t xml:space="preserve">T-01 (le cahier des charges laisse le choix entre Java/Spring Boot et Node.js/NestJS).</w:t>
      </w:r>
    </w:p>
    <w:p>
      <w:pPr>
        <w:spacing w:after="60"/>
        <w:jc w:val="both"/>
      </w:pPr>
      <w:r>
        <w:rPr>
          <w:b/>
          <w:bCs/>
          <w:color w:val="1F3A5F"/>
        </w:rPr>
        <w:t xml:space="preserve">Justification : </w:t>
      </w:r>
      <w:r>
        <w:t xml:space="preserve">Architecture modulaire native adaptée au découpage en services ; modèle d'entrées-sorties non bloquant pour des services à forte attente réseau ; empreinte mémoire faible, décisive dans un cluster de deux nœuds. Limite assumée : l'outillage de résilience est moins intégré qu'avec Spring (Circuit Breaker via une bibliothèque tierce).</w:t>
      </w:r>
    </w:p>
    <w:p>
      <w:pPr>
        <w:spacing w:after="140"/>
      </w:pPr>
      <w:r>
        <w:rPr>
          <w:b/>
          <w:bCs/>
          <w:color w:val="1F3A5F"/>
        </w:rPr>
        <w:t xml:space="preserve">Statut : </w:t>
      </w:r>
      <w:r>
        <w:rPr>
          <w:i/>
          <w:iCs/>
          <w:color w:val="2F7D32"/>
        </w:rPr>
        <w:t xml:space="preserve">Accepté</w:t>
      </w:r>
    </w:p>
    <w:p>
      <w:pPr>
        <w:keepNext/>
        <w:spacing w:after="70" w:before="200"/>
      </w:pPr>
      <w:r>
        <w:rPr>
          <w:b/>
          <w:bCs/>
          <w:color w:val="B36B00"/>
          <w:sz w:val="24"/>
          <w:szCs w:val="24"/>
        </w:rPr>
        <w:t xml:space="preserve">ADR-02 — Cloud AWS, région eu-west-3 (Paris)</w:t>
      </w:r>
    </w:p>
    <w:p>
      <w:pPr>
        <w:spacing w:after="60"/>
        <w:jc w:val="both"/>
      </w:pPr>
      <w:r>
        <w:rPr>
          <w:b/>
          <w:bCs/>
          <w:color w:val="1F3A5F"/>
        </w:rPr>
        <w:t xml:space="preserve">Décision : </w:t>
      </w:r>
      <w:r>
        <w:t xml:space="preserve">Le déploiement cible est AWS, région Paris.</w:t>
      </w:r>
    </w:p>
    <w:p>
      <w:pPr>
        <w:spacing w:after="60"/>
        <w:jc w:val="both"/>
      </w:pPr>
      <w:r>
        <w:rPr>
          <w:b/>
          <w:bCs/>
          <w:color w:val="1F3A5F"/>
        </w:rPr>
        <w:t xml:space="preserve">Exigence rattachée : </w:t>
      </w:r>
      <w:r>
        <w:rPr>
          <w:b/>
          <w:bCs/>
        </w:rPr>
        <w:t xml:space="preserve">T-06 (le cahier des charges laisse le choix entre AWS et Azure).</w:t>
      </w:r>
    </w:p>
    <w:p>
      <w:pPr>
        <w:spacing w:after="60"/>
        <w:jc w:val="both"/>
      </w:pPr>
      <w:r>
        <w:rPr>
          <w:b/>
          <w:bCs/>
          <w:color w:val="1F3A5F"/>
        </w:rPr>
        <w:t xml:space="preserve">Justification : </w:t>
      </w:r>
      <w:r>
        <w:t xml:space="preserve">Accès à un compte AWS fourni par l'entreprise (contrainte pratique décisive) ; données dans l'Union européenne. Limite assumée : le plan de contrôle EKS est payant (~73 $/mois) là où AKS est gratuit — l'écart se rattrape sur la passerelle applicative.</w:t>
      </w:r>
    </w:p>
    <w:p>
      <w:pPr>
        <w:spacing w:after="140"/>
      </w:pPr>
      <w:r>
        <w:rPr>
          <w:b/>
          <w:bCs/>
          <w:color w:val="1F3A5F"/>
        </w:rPr>
        <w:t xml:space="preserve">Statut : </w:t>
      </w:r>
      <w:r>
        <w:rPr>
          <w:i/>
          <w:iCs/>
          <w:color w:val="2F7D32"/>
        </w:rPr>
        <w:t xml:space="preserve">Accepté</w:t>
      </w:r>
    </w:p>
    <w:p>
      <w:pPr>
        <w:keepNext/>
        <w:spacing w:after="70" w:before="200"/>
      </w:pPr>
      <w:r>
        <w:rPr>
          <w:b/>
          <w:bCs/>
          <w:color w:val="B36B00"/>
          <w:sz w:val="24"/>
          <w:szCs w:val="24"/>
        </w:rPr>
        <w:t xml:space="preserve">ADR-03 — Minikube en développement, Amazon EKS en cible</w:t>
      </w:r>
    </w:p>
    <w:p>
      <w:pPr>
        <w:spacing w:after="60"/>
        <w:jc w:val="both"/>
      </w:pPr>
      <w:r>
        <w:rPr>
          <w:b/>
          <w:bCs/>
          <w:color w:val="1F3A5F"/>
        </w:rPr>
        <w:t xml:space="preserve">Décision : </w:t>
      </w:r>
      <w:r>
        <w:t xml:space="preserve">Développement local sur Minikube ; déploiement final sur EKS.</w:t>
      </w:r>
    </w:p>
    <w:p>
      <w:pPr>
        <w:spacing w:after="60"/>
        <w:jc w:val="both"/>
      </w:pPr>
      <w:r>
        <w:rPr>
          <w:b/>
          <w:bCs/>
          <w:color w:val="1F3A5F"/>
        </w:rPr>
        <w:t xml:space="preserve">Exigence rattachée : </w:t>
      </w:r>
      <w:r>
        <w:rPr>
          <w:b/>
          <w:bCs/>
        </w:rPr>
        <w:t xml:space="preserve">T-05 (Minikube ou service managé) · US 4.1 (orchestration Kubernetes imposée).</w:t>
      </w:r>
    </w:p>
    <w:p>
      <w:pPr>
        <w:spacing w:after="60"/>
        <w:jc w:val="both"/>
      </w:pPr>
      <w:r>
        <w:rPr>
          <w:b/>
          <w:bCs/>
          <w:color w:val="1F3A5F"/>
        </w:rPr>
        <w:t xml:space="preserve">Justification : </w:t>
      </w:r>
      <w:r>
        <w:t xml:space="preserve">Les manifestes sont identiques dans les deux environnements ; développer sur EKS coûterait sans apporter de valeur avant la phase de déploiement. Limite assumée : quelques écarts local/cloud à traiter dans les manifestes (stockage, exposition, identités).</w:t>
      </w:r>
    </w:p>
    <w:p>
      <w:pPr>
        <w:spacing w:after="140"/>
      </w:pPr>
      <w:r>
        <w:rPr>
          <w:b/>
          <w:bCs/>
          <w:color w:val="1F3A5F"/>
        </w:rPr>
        <w:t xml:space="preserve">Statut : </w:t>
      </w:r>
      <w:r>
        <w:rPr>
          <w:i/>
          <w:iCs/>
          <w:color w:val="2F7D32"/>
        </w:rPr>
        <w:t xml:space="preserve">Accepté</w:t>
      </w:r>
    </w:p>
    <w:p>
      <w:pPr>
        <w:pStyle w:val="Heading2"/>
        <w:spacing w:after="100" w:before="230"/>
      </w:pPr>
      <w:r>
        <w:t xml:space="preserve">Communication et passerelle</w:t>
      </w:r>
    </w:p>
    <w:p>
      <w:pPr>
        <w:keepNext/>
        <w:spacing w:after="70" w:before="200"/>
      </w:pPr>
      <w:r>
        <w:rPr>
          <w:b/>
          <w:bCs/>
          <w:color w:val="B36B00"/>
          <w:sz w:val="24"/>
          <w:szCs w:val="24"/>
        </w:rPr>
        <w:t xml:space="preserve">ADR-04 — Communication hybride : REST synchrone et RabbitMQ asynchrone</w:t>
      </w:r>
    </w:p>
    <w:p>
      <w:pPr>
        <w:spacing w:after="60"/>
        <w:jc w:val="both"/>
      </w:pPr>
      <w:r>
        <w:rPr>
          <w:b/>
          <w:bCs/>
          <w:color w:val="1F3A5F"/>
        </w:rPr>
        <w:t xml:space="preserve">Décision : </w:t>
      </w:r>
      <w:r>
        <w:t xml:space="preserve">REST pour les appels où l'appelant attend la réponse ; RabbitMQ pour l'événementiel.</w:t>
      </w:r>
    </w:p>
    <w:p>
      <w:pPr>
        <w:spacing w:after="60"/>
        <w:jc w:val="both"/>
      </w:pPr>
      <w:r>
        <w:rPr>
          <w:b/>
          <w:bCs/>
          <w:color w:val="1F3A5F"/>
        </w:rPr>
        <w:t xml:space="preserve">Exigence rattachée : </w:t>
      </w:r>
      <w:r>
        <w:rPr>
          <w:b/>
          <w:bCs/>
        </w:rPr>
        <w:t xml:space="preserve">T-07 (REST, gRPC ou messagerie) · US 3.2 (décrémentation asynchrone imposée).</w:t>
      </w:r>
    </w:p>
    <w:p>
      <w:pPr>
        <w:spacing w:after="60"/>
        <w:jc w:val="both"/>
      </w:pPr>
      <w:r>
        <w:rPr>
          <w:b/>
          <w:bCs/>
          <w:color w:val="1F3A5F"/>
        </w:rPr>
        <w:t xml:space="preserve">Justification : </w:t>
      </w:r>
      <w:r>
        <w:t xml:space="preserve">Le mode suit la nature de l'échange : synchrone quand l'utilisateur attend, asynchrone quand le découplage prime. RabbitMQ plutôt que Kafka (routage de messages métier à faible volume, pas un journal haut débit) ; gRPC écarté car le cahier des charges demande des API testables via Swagger/Postman. Limite assumée : deux modes à maîtriser, contraintes d'idempotence et de contexte (traitées en ADR-13 et 14).</w:t>
      </w:r>
    </w:p>
    <w:p>
      <w:pPr>
        <w:spacing w:after="140"/>
      </w:pPr>
      <w:r>
        <w:rPr>
          <w:b/>
          <w:bCs/>
          <w:color w:val="1F3A5F"/>
        </w:rPr>
        <w:t xml:space="preserve">Statut : </w:t>
      </w:r>
      <w:r>
        <w:rPr>
          <w:i/>
          <w:iCs/>
          <w:color w:val="2F7D32"/>
        </w:rPr>
        <w:t xml:space="preserve">Accepté</w:t>
      </w:r>
    </w:p>
    <w:p>
      <w:pPr>
        <w:keepNext/>
        <w:spacing w:after="70" w:before="200"/>
      </w:pPr>
      <w:r>
        <w:rPr>
          <w:b/>
          <w:bCs/>
          <w:color w:val="B36B00"/>
          <w:sz w:val="24"/>
          <w:szCs w:val="24"/>
        </w:rPr>
        <w:t xml:space="preserve">ADR-05 — API Gateway Kong avec Kong Ingress Controller</w:t>
      </w:r>
    </w:p>
    <w:p>
      <w:pPr>
        <w:spacing w:after="60"/>
        <w:jc w:val="both"/>
      </w:pPr>
      <w:r>
        <w:rPr>
          <w:b/>
          <w:bCs/>
          <w:color w:val="1F3A5F"/>
        </w:rPr>
        <w:t xml:space="preserve">Décision : </w:t>
      </w:r>
      <w:r>
        <w:t xml:space="preserve">Kong est le point d'entrée unique, intégré à Kubernetes via le KIC.</w:t>
      </w:r>
    </w:p>
    <w:p>
      <w:pPr>
        <w:spacing w:after="60"/>
        <w:jc w:val="both"/>
      </w:pPr>
      <w:r>
        <w:rPr>
          <w:b/>
          <w:bCs/>
          <w:color w:val="1F3A5F"/>
        </w:rPr>
        <w:t xml:space="preserve">Exigence rattachée : </w:t>
      </w:r>
      <w:r>
        <w:rPr>
          <w:b/>
          <w:bCs/>
        </w:rPr>
        <w:t xml:space="preserve">T-08 (Kong ou Spring Cloud Gateway) · US 1.2 (passerelle, routage, rate limiting).</w:t>
      </w:r>
    </w:p>
    <w:p>
      <w:pPr>
        <w:spacing w:after="60"/>
        <w:jc w:val="both"/>
      </w:pPr>
      <w:r>
        <w:rPr>
          <w:b/>
          <w:bCs/>
          <w:color w:val="1F3A5F"/>
        </w:rPr>
        <w:t xml:space="preserve">Justification : </w:t>
      </w:r>
      <w:r>
        <w:t xml:space="preserve">Spring Cloud Gateway aurait introduit une dépendance Java dans une architecture NestJS ; Kong est indépendant du langage et couvre nativement routage, limitation de débit et validation de jetons. Limite assumée : un composant d'infrastructure supplémentaire à exploiter.</w:t>
      </w:r>
    </w:p>
    <w:p>
      <w:pPr>
        <w:spacing w:after="140"/>
      </w:pPr>
      <w:r>
        <w:rPr>
          <w:b/>
          <w:bCs/>
          <w:color w:val="1F3A5F"/>
        </w:rPr>
        <w:t xml:space="preserve">Statut : </w:t>
      </w:r>
      <w:r>
        <w:rPr>
          <w:i/>
          <w:iCs/>
          <w:color w:val="2F7D32"/>
        </w:rPr>
        <w:t xml:space="preserve">Accepté</w:t>
      </w:r>
    </w:p>
    <w:p>
      <w:pPr>
        <w:keepNext/>
        <w:spacing w:after="70" w:before="200"/>
      </w:pPr>
      <w:r>
        <w:rPr>
          <w:b/>
          <w:bCs/>
          <w:color w:val="B36B00"/>
          <w:sz w:val="24"/>
          <w:szCs w:val="24"/>
        </w:rPr>
        <w:t xml:space="preserve">ADR-06 — Authentification par JWT</w:t>
      </w:r>
    </w:p>
    <w:p>
      <w:pPr>
        <w:spacing w:after="60"/>
        <w:jc w:val="both"/>
      </w:pPr>
      <w:r>
        <w:rPr>
          <w:b/>
          <w:bCs/>
          <w:color w:val="1F3A5F"/>
        </w:rPr>
        <w:t xml:space="preserve">Décision : </w:t>
      </w:r>
      <w:r>
        <w:t xml:space="preserve">Jetons JWT signés émis par IAM, validés par Kong sans rappel du service IAM.</w:t>
      </w:r>
    </w:p>
    <w:p>
      <w:pPr>
        <w:spacing w:after="60"/>
        <w:jc w:val="both"/>
      </w:pPr>
      <w:r>
        <w:rPr>
          <w:b/>
          <w:bCs/>
          <w:color w:val="1F3A5F"/>
        </w:rPr>
        <w:t xml:space="preserve">Exigence rattachée : </w:t>
      </w:r>
      <w:r>
        <w:rPr>
          <w:b/>
          <w:bCs/>
        </w:rPr>
        <w:t xml:space="preserve">T-09 (OAuth2 / JWT) · US 2.1 (login retournant un JWT, validé par la passerelle).</w:t>
      </w:r>
    </w:p>
    <w:p>
      <w:pPr>
        <w:spacing w:after="60"/>
        <w:jc w:val="both"/>
      </w:pPr>
      <w:r>
        <w:rPr>
          <w:b/>
          <w:bCs/>
          <w:color w:val="1F3A5F"/>
        </w:rPr>
        <w:t xml:space="preserve">Justification : </w:t>
      </w:r>
      <w:r>
        <w:t xml:space="preserve">Le besoin est d'authentifier nos propres utilisateurs sur nos propres services — le JWT y répond directement et sa vérification par signature évite d'engorger IAM. OAuth2 complet (délégation à un tiers) serait surdimensionné. Limite assumée : un JWT n'est pas révocable avant expiration — parade par durée courte et jeton de rafraîchissement.</w:t>
      </w:r>
    </w:p>
    <w:p>
      <w:pPr>
        <w:spacing w:after="140"/>
      </w:pPr>
      <w:r>
        <w:rPr>
          <w:b/>
          <w:bCs/>
          <w:color w:val="1F3A5F"/>
        </w:rPr>
        <w:t xml:space="preserve">Statut : </w:t>
      </w:r>
      <w:r>
        <w:rPr>
          <w:i/>
          <w:iCs/>
          <w:color w:val="2F7D32"/>
        </w:rPr>
        <w:t xml:space="preserve">Accepté</w:t>
      </w:r>
    </w:p>
    <w:p>
      <w:pPr>
        <w:pStyle w:val="Heading2"/>
        <w:spacing w:after="100" w:before="230"/>
      </w:pPr>
      <w:r>
        <w:t xml:space="preserve">Données et isolation</w:t>
      </w:r>
    </w:p>
    <w:p>
      <w:pPr>
        <w:keepNext/>
        <w:spacing w:after="70" w:before="200"/>
      </w:pPr>
      <w:r>
        <w:rPr>
          <w:b/>
          <w:bCs/>
          <w:color w:val="B36B00"/>
          <w:sz w:val="24"/>
          <w:szCs w:val="24"/>
        </w:rPr>
        <w:t xml:space="preserve">ADR-07 — Database-per-Service strict — Posture A</w:t>
      </w:r>
    </w:p>
    <w:p>
      <w:pPr>
        <w:spacing w:after="60"/>
        <w:jc w:val="both"/>
      </w:pPr>
      <w:r>
        <w:rPr>
          <w:b/>
          <w:bCs/>
          <w:color w:val="1F3A5F"/>
        </w:rPr>
        <w:t xml:space="preserve">Décision : </w:t>
      </w:r>
      <w:r>
        <w:t xml:space="preserve">Chaque service est seul maître de sa base ; le service Commandes accède au panier uniquement via l'API du service Panier (lecture et vidage), jamais directement à Redis.</w:t>
      </w:r>
    </w:p>
    <w:p>
      <w:pPr>
        <w:spacing w:after="60"/>
        <w:jc w:val="both"/>
      </w:pPr>
      <w:r>
        <w:rPr>
          <w:b/>
          <w:bCs/>
          <w:color w:val="1F3A5F"/>
        </w:rPr>
        <w:t xml:space="preserve">Exigence rattachée : </w:t>
      </w:r>
      <w:r>
        <w:rPr>
          <w:b/>
          <w:bCs/>
        </w:rPr>
        <w:t xml:space="preserve">T-02/03/04 (bases dédiées imposées) — la Posture A est notre décision d'application stricte.</w:t>
      </w:r>
    </w:p>
    <w:p>
      <w:pPr>
        <w:spacing w:after="60"/>
        <w:jc w:val="both"/>
      </w:pPr>
      <w:r>
        <w:rPr>
          <w:b/>
          <w:bCs/>
          <w:color w:val="1F3A5F"/>
        </w:rPr>
        <w:t xml:space="preserve">Justification : </w:t>
      </w:r>
      <w:r>
        <w:t xml:space="preserve">Autoriser un accès direct à la base d'un autre service, même « pour aller vite », recréerait le couplage de données que l'architecture cherche à éliminer. Conséquence directe : un second Circuit Breaker (Commandes → Panier). C'est la décision qui garantit l'isolation jusqu'au bout.</w:t>
      </w:r>
    </w:p>
    <w:p>
      <w:pPr>
        <w:spacing w:after="140"/>
      </w:pPr>
      <w:r>
        <w:rPr>
          <w:b/>
          <w:bCs/>
          <w:color w:val="1F3A5F"/>
        </w:rPr>
        <w:t xml:space="preserve">Statut : </w:t>
      </w:r>
      <w:r>
        <w:rPr>
          <w:i/>
          <w:iCs/>
          <w:color w:val="2F7D32"/>
        </w:rPr>
        <w:t xml:space="preserve">Accepté</w:t>
      </w:r>
    </w:p>
    <w:p>
      <w:pPr>
        <w:keepNext/>
        <w:spacing w:after="70" w:before="200"/>
      </w:pPr>
      <w:r>
        <w:rPr>
          <w:b/>
          <w:bCs/>
          <w:color w:val="B36B00"/>
          <w:sz w:val="24"/>
          <w:szCs w:val="24"/>
        </w:rPr>
        <w:t xml:space="preserve">ADR-08 — Auto-hébergement de MongoDB, Redis et RabbitMQ</w:t>
      </w:r>
    </w:p>
    <w:p>
      <w:pPr>
        <w:spacing w:after="60"/>
        <w:jc w:val="both"/>
      </w:pPr>
      <w:r>
        <w:rPr>
          <w:b/>
          <w:bCs/>
          <w:color w:val="1F3A5F"/>
        </w:rPr>
        <w:t xml:space="preserve">Décision : </w:t>
      </w:r>
      <w:r>
        <w:t xml:space="preserve">Les trois middlewares tournent en StatefulSets dans le cluster (volumes EBS via CSI), non en services managés.</w:t>
      </w:r>
    </w:p>
    <w:p>
      <w:pPr>
        <w:spacing w:after="60"/>
        <w:jc w:val="both"/>
      </w:pPr>
      <w:r>
        <w:rPr>
          <w:b/>
          <w:bCs/>
          <w:color w:val="1F3A5F"/>
        </w:rPr>
        <w:t xml:space="preserve">Exigence rattachée : </w:t>
      </w:r>
      <w:r>
        <w:rPr>
          <w:b/>
          <w:bCs/>
        </w:rPr>
        <w:t xml:space="preserve">T-02/03/04 (technologies imposées) — le mode de déploiement est notre décision.</w:t>
      </w:r>
    </w:p>
    <w:p>
      <w:pPr>
        <w:spacing w:after="60"/>
        <w:jc w:val="both"/>
      </w:pPr>
      <w:r>
        <w:rPr>
          <w:b/>
          <w:bCs/>
          <w:color w:val="1F3A5F"/>
        </w:rPr>
        <w:t xml:space="preserve">Justification : </w:t>
      </w:r>
      <w:r>
        <w:t xml:space="preserve">Maîtrise des coûts sur un environnement de stage et démonstration de la gestion d'état dans Kubernetes ; seul RDS reste managé, du fait de la criticité des données relationnelles. Le TTL natif de Redis (nettoyage automatique des paniers abandonnés) relève de ce choix. Limite assumée : l'exploitation d'une base à état dans Kubernetes est plus exigeante qu'un service managé.</w:t>
      </w:r>
    </w:p>
    <w:p>
      <w:pPr>
        <w:spacing w:after="140"/>
      </w:pPr>
      <w:r>
        <w:rPr>
          <w:b/>
          <w:bCs/>
          <w:color w:val="1F3A5F"/>
        </w:rPr>
        <w:t xml:space="preserve">Statut : </w:t>
      </w:r>
      <w:r>
        <w:rPr>
          <w:i/>
          <w:iCs/>
          <w:color w:val="2F7D32"/>
        </w:rPr>
        <w:t xml:space="preserve">Accepté</w:t>
      </w:r>
    </w:p>
    <w:p>
      <w:pPr>
        <w:keepNext/>
        <w:spacing w:after="70" w:before="200"/>
      </w:pPr>
      <w:r>
        <w:rPr>
          <w:b/>
          <w:bCs/>
          <w:color w:val="B36B00"/>
          <w:sz w:val="24"/>
          <w:szCs w:val="24"/>
        </w:rPr>
        <w:t xml:space="preserve">ADR-09 — RDS PostgreSQL : Single-AZ en stage, Multi-AZ en cible production</w:t>
      </w:r>
    </w:p>
    <w:p>
      <w:pPr>
        <w:spacing w:after="60"/>
        <w:jc w:val="both"/>
      </w:pPr>
      <w:r>
        <w:rPr>
          <w:b/>
          <w:bCs/>
          <w:color w:val="1F3A5F"/>
        </w:rPr>
        <w:t xml:space="preserve">Décision : </w:t>
      </w:r>
      <w:r>
        <w:t xml:space="preserve">L'architecture cible documente le Multi-AZ ; l'environnement de stage déploie une instance Single-AZ, le DB Subnet Group restant réparti sur deux AZ (exigence RDS).</w:t>
      </w:r>
    </w:p>
    <w:p>
      <w:pPr>
        <w:spacing w:after="60"/>
        <w:jc w:val="both"/>
      </w:pPr>
      <w:r>
        <w:rPr>
          <w:b/>
          <w:bCs/>
          <w:color w:val="1F3A5F"/>
        </w:rPr>
        <w:t xml:space="preserve">Exigence rattachée : </w:t>
      </w:r>
      <w:r>
        <w:rPr>
          <w:b/>
          <w:bCs/>
        </w:rPr>
        <w:t xml:space="preserve">T-02 (PostgreSQL managé imposé) — le niveau de disponibilité est notre décision.</w:t>
      </w:r>
    </w:p>
    <w:p>
      <w:pPr>
        <w:spacing w:after="60"/>
        <w:jc w:val="both"/>
      </w:pPr>
      <w:r>
        <w:rPr>
          <w:b/>
          <w:bCs/>
          <w:color w:val="1F3A5F"/>
        </w:rPr>
        <w:t xml:space="preserve">Justification : </w:t>
      </w:r>
      <w:r>
        <w:t xml:space="preserve">Le Multi-AZ double le coût du poste et n'apporte de valeur qu'en production ; la règle reconnue est Multi-AZ en production, Single-AZ en dev/test. Décision révisée et assumée en cours de projet.</w:t>
      </w:r>
    </w:p>
    <w:p>
      <w:pPr>
        <w:spacing w:after="140"/>
      </w:pPr>
      <w:r>
        <w:rPr>
          <w:b/>
          <w:bCs/>
          <w:color w:val="1F3A5F"/>
        </w:rPr>
        <w:t xml:space="preserve">Statut : </w:t>
      </w:r>
      <w:r>
        <w:rPr>
          <w:i/>
          <w:iCs/>
          <w:color w:val="2F7D32"/>
        </w:rPr>
        <w:t xml:space="preserve">Accepté</w:t>
      </w:r>
    </w:p>
    <w:p>
      <w:pPr>
        <w:keepNext/>
        <w:spacing w:after="70" w:before="200"/>
      </w:pPr>
      <w:r>
        <w:rPr>
          <w:b/>
          <w:bCs/>
          <w:color w:val="B36B00"/>
          <w:sz w:val="24"/>
          <w:szCs w:val="24"/>
        </w:rPr>
        <w:t xml:space="preserve">ADR-10 — Images produit sur Amazon S3, URLs en base</w:t>
      </w:r>
    </w:p>
    <w:p>
      <w:pPr>
        <w:spacing w:after="60"/>
        <w:jc w:val="both"/>
      </w:pPr>
      <w:r>
        <w:rPr>
          <w:b/>
          <w:bCs/>
          <w:color w:val="1F3A5F"/>
        </w:rPr>
        <w:t xml:space="preserve">Décision : </w:t>
      </w:r>
      <w:r>
        <w:t xml:space="preserve">Les fichiers images sont stockés sur S3 ; seules leurs URLs figurent dans les documents MongoDB.</w:t>
      </w:r>
    </w:p>
    <w:p>
      <w:pPr>
        <w:spacing w:after="60"/>
        <w:jc w:val="both"/>
      </w:pPr>
      <w:r>
        <w:rPr>
          <w:b/>
          <w:bCs/>
          <w:color w:val="1F3A5F"/>
        </w:rPr>
        <w:t xml:space="preserve">Exigence rattachée : </w:t>
      </w:r>
      <w:r>
        <w:rPr>
          <w:b/>
          <w:bCs/>
        </w:rPr>
        <w:t xml:space="preserve">F-2.2.c (données produit incluant les images stockées dans le catalogue).</w:t>
      </w:r>
    </w:p>
    <w:p>
      <w:pPr>
        <w:spacing w:after="60"/>
        <w:jc w:val="both"/>
      </w:pPr>
      <w:r>
        <w:rPr>
          <w:b/>
          <w:bCs/>
          <w:color w:val="1F3A5F"/>
        </w:rPr>
        <w:t xml:space="preserve">Justification : </w:t>
      </w:r>
      <w:r>
        <w:t xml:space="preserve">Le stockage d'objets est conçu pour les fichiers volumineux ; la base reste légère et le service d'images est délégué à une infrastructure adaptée. Stocker les binaires en base serait un anti-pattern.</w:t>
      </w:r>
    </w:p>
    <w:p>
      <w:pPr>
        <w:spacing w:after="140"/>
      </w:pPr>
      <w:r>
        <w:rPr>
          <w:b/>
          <w:bCs/>
          <w:color w:val="1F3A5F"/>
        </w:rPr>
        <w:t xml:space="preserve">Statut : </w:t>
      </w:r>
      <w:r>
        <w:rPr>
          <w:i/>
          <w:iCs/>
          <w:color w:val="2F7D32"/>
        </w:rPr>
        <w:t xml:space="preserve">Accepté</w:t>
      </w:r>
    </w:p>
    <w:p>
      <w:pPr>
        <w:pStyle w:val="Heading2"/>
        <w:spacing w:after="100" w:before="230"/>
      </w:pPr>
      <w:r>
        <w:t xml:space="preserve">Résilience — les trois défaillances anticipées</w:t>
      </w:r>
    </w:p>
    <w:p>
      <w:pPr>
        <w:keepNext/>
        <w:spacing w:after="70" w:before="200"/>
      </w:pPr>
      <w:r>
        <w:rPr>
          <w:b/>
          <w:bCs/>
          <w:color w:val="B36B00"/>
          <w:sz w:val="24"/>
          <w:szCs w:val="24"/>
        </w:rPr>
        <w:t xml:space="preserve">ADR-11 — Saga chorégraphiée avec décrément conditionnel atomique</w:t>
      </w:r>
    </w:p>
    <w:p>
      <w:pPr>
        <w:spacing w:after="60"/>
        <w:jc w:val="both"/>
      </w:pPr>
      <w:r>
        <w:rPr>
          <w:b/>
          <w:bCs/>
          <w:color w:val="1F3A5F"/>
        </w:rPr>
        <w:t xml:space="preserve">Décision : </w:t>
      </w:r>
      <w:r>
        <w:t xml:space="preserve">La cohérence commande/stock repose sur une Saga chorégraphiée par événements RabbitMQ, avec décrément conditionnel atomique côté Catalogue et transaction de compensation côté Commandes. La vérification à l'ajout au panier est indicative ; la vérification autoritaire est le décrément atomique.</w:t>
      </w:r>
    </w:p>
    <w:p>
      <w:pPr>
        <w:spacing w:after="60"/>
        <w:jc w:val="both"/>
      </w:pPr>
      <w:r>
        <w:rPr>
          <w:b/>
          <w:bCs/>
          <w:color w:val="1F3A5F"/>
        </w:rPr>
        <w:t xml:space="preserve">Exigence rattachée : </w:t>
      </w:r>
      <w:r>
        <w:rPr>
          <w:b/>
          <w:bCs/>
        </w:rPr>
        <w:t xml:space="preserve">B-01 (stock négatif : verrou distribué OU Saga) · US 3.2 (événementiel).</w:t>
      </w:r>
    </w:p>
    <w:p>
      <w:pPr>
        <w:spacing w:after="60"/>
        <w:jc w:val="both"/>
      </w:pPr>
      <w:r>
        <w:rPr>
          <w:b/>
          <w:bCs/>
          <w:color w:val="1F3A5F"/>
        </w:rPr>
        <w:t xml:space="preserve">Justification : </w:t>
      </w:r>
      <w:r>
        <w:t xml:space="preserve">Aucune transaction ne peut couvrir deux bases distinctes : la Saga remplace la transaction distribuée impossible. La chorégraphie (sans orchestrateur central) maximise le découplage. Le décrément conditionnel atomique garantit qu'une seule commande concurrente réussit sur le dernier article. La compensation défait tout : annulation, remboursement, notification.</w:t>
      </w:r>
    </w:p>
    <w:p>
      <w:pPr>
        <w:spacing w:after="140"/>
      </w:pPr>
      <w:r>
        <w:rPr>
          <w:b/>
          <w:bCs/>
          <w:color w:val="1F3A5F"/>
        </w:rPr>
        <w:t xml:space="preserve">Statut : </w:t>
      </w:r>
      <w:r>
        <w:rPr>
          <w:i/>
          <w:iCs/>
          <w:color w:val="2F7D32"/>
        </w:rPr>
        <w:t xml:space="preserve">Accepté</w:t>
      </w:r>
    </w:p>
    <w:p>
      <w:pPr>
        <w:keepNext/>
        <w:spacing w:after="70" w:before="200"/>
      </w:pPr>
      <w:r>
        <w:rPr>
          <w:b/>
          <w:bCs/>
          <w:color w:val="B36B00"/>
          <w:sz w:val="24"/>
          <w:szCs w:val="24"/>
        </w:rPr>
        <w:t xml:space="preserve">ADR-12 — Circuit Breaker et stratégies de repli sur tous les appels synchrones</w:t>
      </w:r>
    </w:p>
    <w:p>
      <w:pPr>
        <w:spacing w:after="60"/>
        <w:jc w:val="both"/>
      </w:pPr>
      <w:r>
        <w:rPr>
          <w:b/>
          <w:bCs/>
          <w:color w:val="1F3A5F"/>
        </w:rPr>
        <w:t xml:space="preserve">Décision : </w:t>
      </w:r>
      <w:r>
        <w:t xml:space="preserve">Tout appel synchrone inter-services est protégé par Circuit Breaker (Panier→Catalogue, Commandes→Panier). Chaque circuit a une stratégie de repli explicite : fail open quand la donnée est indicative, fail closed quand elle est indispensable.</w:t>
      </w:r>
    </w:p>
    <w:p>
      <w:pPr>
        <w:spacing w:after="60"/>
        <w:jc w:val="both"/>
      </w:pPr>
      <w:r>
        <w:rPr>
          <w:b/>
          <w:bCs/>
          <w:color w:val="1F3A5F"/>
        </w:rPr>
        <w:t xml:space="preserve">Exigence rattachée : </w:t>
      </w:r>
      <w:r>
        <w:rPr>
          <w:b/>
          <w:bCs/>
        </w:rPr>
        <w:t xml:space="preserve">B-02 (cascading failure : Circuit Breaker avec fallback ou erreur immédiate).</w:t>
      </w:r>
    </w:p>
    <w:p>
      <w:pPr>
        <w:spacing w:after="60"/>
        <w:jc w:val="both"/>
      </w:pPr>
      <w:r>
        <w:rPr>
          <w:b/>
          <w:bCs/>
          <w:color w:val="1F3A5F"/>
        </w:rPr>
        <w:t xml:space="preserve">Justification : </w:t>
      </w:r>
      <w:r>
        <w:t xml:space="preserve">Le risque de cascade se traite par principe, pas au cas par cas. L'asynchrone RabbitMQ élimine le besoin de Circuit Breaker là où il s'applique — le choix de l'asynchrone est aussi une décision de résilience. Les stratégies de repli opposées (selon la criticité de la donnée) sont détaillées dans la spécification du Workflow.</w:t>
      </w:r>
    </w:p>
    <w:p>
      <w:pPr>
        <w:spacing w:after="140"/>
      </w:pPr>
      <w:r>
        <w:rPr>
          <w:b/>
          <w:bCs/>
          <w:color w:val="1F3A5F"/>
        </w:rPr>
        <w:t xml:space="preserve">Statut : </w:t>
      </w:r>
      <w:r>
        <w:rPr>
          <w:i/>
          <w:iCs/>
          <w:color w:val="2F7D32"/>
        </w:rPr>
        <w:t xml:space="preserve">Accepté</w:t>
      </w:r>
    </w:p>
    <w:p>
      <w:pPr>
        <w:keepNext/>
        <w:spacing w:after="70" w:before="200"/>
      </w:pPr>
      <w:r>
        <w:rPr>
          <w:b/>
          <w:bCs/>
          <w:color w:val="B36B00"/>
          <w:sz w:val="24"/>
          <w:szCs w:val="24"/>
        </w:rPr>
        <w:t xml:space="preserve">ADR-13 — Propagation du contexte : userId et traceId dans les messages AMQP</w:t>
      </w:r>
    </w:p>
    <w:p>
      <w:pPr>
        <w:spacing w:after="60"/>
        <w:jc w:val="both"/>
      </w:pPr>
      <w:r>
        <w:rPr>
          <w:b/>
          <w:bCs/>
          <w:color w:val="1F3A5F"/>
        </w:rPr>
        <w:t xml:space="preserve">Décision : </w:t>
      </w:r>
      <w:r>
        <w:t xml:space="preserve">Chaque événement publié embarque l'identité de l'utilisateur et l'identifiant de corrélation.</w:t>
      </w:r>
    </w:p>
    <w:p>
      <w:pPr>
        <w:spacing w:after="60"/>
        <w:jc w:val="both"/>
      </w:pPr>
      <w:r>
        <w:rPr>
          <w:b/>
          <w:bCs/>
          <w:color w:val="1F3A5F"/>
        </w:rPr>
        <w:t xml:space="preserve">Exigence rattachée : </w:t>
      </w:r>
      <w:r>
        <w:rPr>
          <w:b/>
          <w:bCs/>
        </w:rPr>
        <w:t xml:space="preserve">B-03 (perte du contexte en asynchrone) · US 4.2 (Trace ID traversant les services).</w:t>
      </w:r>
    </w:p>
    <w:p>
      <w:pPr>
        <w:spacing w:after="60"/>
        <w:jc w:val="both"/>
      </w:pPr>
      <w:r>
        <w:rPr>
          <w:b/>
          <w:bCs/>
          <w:color w:val="1F3A5F"/>
        </w:rPr>
        <w:t xml:space="preserve">Justification : </w:t>
      </w:r>
      <w:r>
        <w:t xml:space="preserve">Au passage par le broker, la requête HTTP et le JWT disparaissent : ces en-têtes restaurent l'auditabilité (userId) et permettent le traçage de bout en bout dans Jaeger (traceId).</w:t>
      </w:r>
    </w:p>
    <w:p>
      <w:pPr>
        <w:spacing w:after="140"/>
      </w:pPr>
      <w:r>
        <w:rPr>
          <w:b/>
          <w:bCs/>
          <w:color w:val="1F3A5F"/>
        </w:rPr>
        <w:t xml:space="preserve">Statut : </w:t>
      </w:r>
      <w:r>
        <w:rPr>
          <w:i/>
          <w:iCs/>
          <w:color w:val="2F7D32"/>
        </w:rPr>
        <w:t xml:space="preserve">Accepté</w:t>
      </w:r>
    </w:p>
    <w:p>
      <w:pPr>
        <w:keepNext/>
        <w:spacing w:after="70" w:before="200"/>
      </w:pPr>
      <w:r>
        <w:rPr>
          <w:b/>
          <w:bCs/>
          <w:color w:val="B36B00"/>
          <w:sz w:val="24"/>
          <w:szCs w:val="24"/>
        </w:rPr>
        <w:t xml:space="preserve">ADR-14 — Idempotence des consommateurs</w:t>
      </w:r>
    </w:p>
    <w:p>
      <w:pPr>
        <w:spacing w:after="60"/>
        <w:jc w:val="both"/>
      </w:pPr>
      <w:r>
        <w:rPr>
          <w:b/>
          <w:bCs/>
          <w:color w:val="1F3A5F"/>
        </w:rPr>
        <w:t xml:space="preserve">Décision : </w:t>
      </w:r>
      <w:r>
        <w:t xml:space="preserve">Tout consommateur produit le même effet qu'un message soit reçu une ou plusieurs fois.</w:t>
      </w:r>
    </w:p>
    <w:p>
      <w:pPr>
        <w:spacing w:after="60"/>
        <w:jc w:val="both"/>
      </w:pPr>
      <w:r>
        <w:rPr>
          <w:b/>
          <w:bCs/>
          <w:color w:val="1F3A5F"/>
        </w:rPr>
        <w:t xml:space="preserve">Exigence rattachée : </w:t>
      </w:r>
      <w:r>
        <w:rPr>
          <w:b/>
          <w:bCs/>
        </w:rPr>
        <w:t xml:space="preserve">B-01 (sûreté de la Saga) · T-07 (messagerie asynchrone).</w:t>
      </w:r>
    </w:p>
    <w:p>
      <w:pPr>
        <w:spacing w:after="60"/>
        <w:jc w:val="both"/>
      </w:pPr>
      <w:r>
        <w:rPr>
          <w:b/>
          <w:bCs/>
          <w:color w:val="1F3A5F"/>
        </w:rPr>
        <w:t xml:space="preserve">Justification : </w:t>
      </w:r>
      <w:r>
        <w:t xml:space="preserve">RabbitMQ garantit une livraison « au moins une fois » : sans idempotence, un message dupliqué décrémenterait deux fois le stock. C'est aussi le prérequis qui rend la politique de reprise (retry) sûre. Principe transversal à tous les services consommateurs.</w:t>
      </w:r>
    </w:p>
    <w:p>
      <w:pPr>
        <w:spacing w:after="140"/>
      </w:pPr>
      <w:r>
        <w:rPr>
          <w:b/>
          <w:bCs/>
          <w:color w:val="1F3A5F"/>
        </w:rPr>
        <w:t xml:space="preserve">Statut : </w:t>
      </w:r>
      <w:r>
        <w:rPr>
          <w:i/>
          <w:iCs/>
          <w:color w:val="2F7D32"/>
        </w:rPr>
        <w:t xml:space="preserve">Accepté</w:t>
      </w:r>
    </w:p>
    <w:p>
      <w:pPr>
        <w:pStyle w:val="Heading2"/>
        <w:spacing w:after="100" w:before="230"/>
      </w:pPr>
      <w:r>
        <w:t xml:space="preserve">Outillage et exploitation</w:t>
      </w:r>
    </w:p>
    <w:p>
      <w:pPr>
        <w:keepNext/>
        <w:spacing w:after="70" w:before="200"/>
      </w:pPr>
      <w:r>
        <w:rPr>
          <w:b/>
          <w:bCs/>
          <w:color w:val="B36B00"/>
          <w:sz w:val="24"/>
          <w:szCs w:val="24"/>
        </w:rPr>
        <w:t xml:space="preserve">ADR-15 — Structure mono-repo</w:t>
      </w:r>
    </w:p>
    <w:p>
      <w:pPr>
        <w:spacing w:after="60"/>
        <w:jc w:val="both"/>
      </w:pPr>
      <w:r>
        <w:rPr>
          <w:b/>
          <w:bCs/>
          <w:color w:val="1F3A5F"/>
        </w:rPr>
        <w:t xml:space="preserve">Décision : </w:t>
      </w:r>
      <w:r>
        <w:t xml:space="preserve">Un seul dépôt Git pour l'ensemble des services et manifestes.</w:t>
      </w:r>
    </w:p>
    <w:p>
      <w:pPr>
        <w:spacing w:after="60"/>
        <w:jc w:val="both"/>
      </w:pPr>
      <w:r>
        <w:rPr>
          <w:b/>
          <w:bCs/>
          <w:color w:val="1F3A5F"/>
        </w:rPr>
        <w:t xml:space="preserve">Exigence rattachée : </w:t>
      </w:r>
      <w:r>
        <w:rPr>
          <w:b/>
          <w:bCs/>
        </w:rPr>
        <w:t xml:space="preserve">F-1.1.a (dépôt initialisé avec structure multi-modules ou mono-repo adaptée).</w:t>
      </w:r>
    </w:p>
    <w:p>
      <w:pPr>
        <w:spacing w:after="60"/>
        <w:jc w:val="both"/>
      </w:pPr>
      <w:r>
        <w:rPr>
          <w:b/>
          <w:bCs/>
          <w:color w:val="1F3A5F"/>
        </w:rPr>
        <w:t xml:space="preserve">Justification : </w:t>
      </w:r>
      <w:r>
        <w:t xml:space="preserve">Cohérence des versions, outillage et pipeline partagés, revues simplifiées — adapté à une équipe réduite. Le cahier des charges laissant le choix, l'arbitrage est explicite.</w:t>
      </w:r>
    </w:p>
    <w:p>
      <w:pPr>
        <w:spacing w:after="140"/>
      </w:pPr>
      <w:r>
        <w:rPr>
          <w:b/>
          <w:bCs/>
          <w:color w:val="1F3A5F"/>
        </w:rPr>
        <w:t xml:space="preserve">Statut : </w:t>
      </w:r>
      <w:r>
        <w:rPr>
          <w:i/>
          <w:iCs/>
          <w:color w:val="2F7D32"/>
        </w:rPr>
        <w:t xml:space="preserve">Accepté</w:t>
      </w:r>
    </w:p>
    <w:p>
      <w:pPr>
        <w:keepNext/>
        <w:spacing w:after="70" w:before="200"/>
      </w:pPr>
      <w:r>
        <w:rPr>
          <w:b/>
          <w:bCs/>
          <w:color w:val="B36B00"/>
          <w:sz w:val="24"/>
          <w:szCs w:val="24"/>
        </w:rPr>
        <w:t xml:space="preserve">ADR-16 — GitHub Actions et Terraform</w:t>
      </w:r>
    </w:p>
    <w:p>
      <w:pPr>
        <w:spacing w:after="60"/>
        <w:jc w:val="both"/>
      </w:pPr>
      <w:r>
        <w:rPr>
          <w:b/>
          <w:bCs/>
          <w:color w:val="1F3A5F"/>
        </w:rPr>
        <w:t xml:space="preserve">Décision : </w:t>
      </w:r>
      <w:r>
        <w:t xml:space="preserve">Pipeline CI/CD sous GitHub Actions ; infrastructure décrite en Terraform.</w:t>
      </w:r>
    </w:p>
    <w:p>
      <w:pPr>
        <w:spacing w:after="60"/>
        <w:jc w:val="both"/>
      </w:pPr>
      <w:r>
        <w:rPr>
          <w:b/>
          <w:bCs/>
          <w:color w:val="1F3A5F"/>
        </w:rPr>
        <w:t xml:space="preserve">Exigence rattachée : </w:t>
      </w:r>
      <w:r>
        <w:rPr>
          <w:b/>
          <w:bCs/>
        </w:rPr>
        <w:t xml:space="preserve">T-10 (GitHub Actions ou GitLab CI, avec Terraform).</w:t>
      </w:r>
    </w:p>
    <w:p>
      <w:pPr>
        <w:spacing w:after="60"/>
        <w:jc w:val="both"/>
      </w:pPr>
      <w:r>
        <w:rPr>
          <w:b/>
          <w:bCs/>
          <w:color w:val="1F3A5F"/>
        </w:rPr>
        <w:t xml:space="preserve">Justification : </w:t>
      </w:r>
      <w:r>
        <w:t xml:space="preserve">Le choix suit le dépôt (GitHub) : pas d'outil ni de compte supplémentaire, intégration native pour pousser vers ECR, configuration versionnée avec le code. Terraform rend l'infrastructure reproductible (socle de la stratégie de coûts, ADR-20).</w:t>
      </w:r>
    </w:p>
    <w:p>
      <w:pPr>
        <w:spacing w:after="140"/>
      </w:pPr>
      <w:r>
        <w:rPr>
          <w:b/>
          <w:bCs/>
          <w:color w:val="1F3A5F"/>
        </w:rPr>
        <w:t xml:space="preserve">Statut : </w:t>
      </w:r>
      <w:r>
        <w:rPr>
          <w:i/>
          <w:iCs/>
          <w:color w:val="2F7D32"/>
        </w:rPr>
        <w:t xml:space="preserve">Accepté</w:t>
      </w:r>
    </w:p>
    <w:p>
      <w:pPr>
        <w:keepNext/>
        <w:spacing w:after="70" w:before="200"/>
      </w:pPr>
      <w:r>
        <w:rPr>
          <w:b/>
          <w:bCs/>
          <w:color w:val="B36B00"/>
          <w:sz w:val="24"/>
          <w:szCs w:val="24"/>
        </w:rPr>
        <w:t xml:space="preserve">ADR-17 — Observabilité complète : Prometheus, Grafana, Jaeger et ELK</w:t>
      </w:r>
    </w:p>
    <w:p>
      <w:pPr>
        <w:spacing w:after="60"/>
        <w:jc w:val="both"/>
      </w:pPr>
      <w:r>
        <w:rPr>
          <w:b/>
          <w:bCs/>
          <w:color w:val="1F3A5F"/>
        </w:rPr>
        <w:t xml:space="preserve">Décision : </w:t>
      </w:r>
      <w:r>
        <w:t xml:space="preserve">Les quatre outils sont déployés : métriques, tableaux de bord, traçage distribué, logs centralisés.</w:t>
      </w:r>
    </w:p>
    <w:p>
      <w:pPr>
        <w:spacing w:after="60"/>
        <w:jc w:val="both"/>
      </w:pPr>
      <w:r>
        <w:rPr>
          <w:b/>
          <w:bCs/>
          <w:color w:val="1F3A5F"/>
        </w:rPr>
        <w:t xml:space="preserve">Exigence rattachée : </w:t>
      </w:r>
      <w:r>
        <w:rPr>
          <w:b/>
          <w:bCs/>
        </w:rPr>
        <w:t xml:space="preserve">T-11 (observabilité) · US 4.2 (métriques, dashboard, tracing, logs — les quatre exigés).</w:t>
      </w:r>
    </w:p>
    <w:p>
      <w:pPr>
        <w:spacing w:after="60"/>
        <w:jc w:val="both"/>
      </w:pPr>
      <w:r>
        <w:rPr>
          <w:b/>
          <w:bCs/>
          <w:color w:val="1F3A5F"/>
        </w:rPr>
        <w:t xml:space="preserve">Justification : </w:t>
      </w:r>
      <w:r>
        <w:t xml:space="preserve">Malgré le « ou » du cahier des charges, l'US 4.2 exige simultanément les quatre capacités ; aucun outil ne couvre les trois piliers à lui seul. Dans une architecture où une requête traverse cinq services, le traçage est indispensable au diagnostic. Limite assumée : la pile la plus lourde en ressources — raison directe du dimensionnement des nœuds en t3.large.</w:t>
      </w:r>
    </w:p>
    <w:p>
      <w:pPr>
        <w:spacing w:after="140"/>
      </w:pPr>
      <w:r>
        <w:rPr>
          <w:b/>
          <w:bCs/>
          <w:color w:val="1F3A5F"/>
        </w:rPr>
        <w:t xml:space="preserve">Statut : </w:t>
      </w:r>
      <w:r>
        <w:rPr>
          <w:i/>
          <w:iCs/>
          <w:color w:val="2F7D32"/>
        </w:rPr>
        <w:t xml:space="preserve">Accepté</w:t>
      </w:r>
    </w:p>
    <w:p>
      <w:pPr>
        <w:keepNext/>
        <w:spacing w:after="70" w:before="200"/>
      </w:pPr>
      <w:r>
        <w:rPr>
          <w:b/>
          <w:bCs/>
          <w:color w:val="B36B00"/>
          <w:sz w:val="24"/>
          <w:szCs w:val="24"/>
        </w:rPr>
        <w:t xml:space="preserve">ADR-18 — Mock de paiement déterministe</w:t>
      </w:r>
    </w:p>
    <w:p>
      <w:pPr>
        <w:spacing w:after="60"/>
        <w:jc w:val="both"/>
      </w:pPr>
      <w:r>
        <w:rPr>
          <w:b/>
          <w:bCs/>
          <w:color w:val="1F3A5F"/>
        </w:rPr>
        <w:t xml:space="preserve">Décision : </w:t>
      </w:r>
      <w:r>
        <w:t xml:space="preserve">Le simulateur de paiement accepte par défaut et ne refuse que sur un déclencheur de test explicite.</w:t>
      </w:r>
    </w:p>
    <w:p>
      <w:pPr>
        <w:spacing w:after="60"/>
        <w:jc w:val="both"/>
      </w:pPr>
      <w:r>
        <w:rPr>
          <w:b/>
          <w:bCs/>
          <w:color w:val="1F3A5F"/>
        </w:rPr>
        <w:t xml:space="preserve">Exigence rattachée : </w:t>
      </w:r>
      <w:r>
        <w:rPr>
          <w:b/>
          <w:bCs/>
        </w:rPr>
        <w:t xml:space="preserve">P-07 (pas d'intégration bancaire réelle : mocks pour le paiement).</w:t>
      </w:r>
    </w:p>
    <w:p>
      <w:pPr>
        <w:spacing w:after="60"/>
        <w:jc w:val="both"/>
      </w:pPr>
      <w:r>
        <w:rPr>
          <w:b/>
          <w:bCs/>
          <w:color w:val="1F3A5F"/>
        </w:rPr>
        <w:t xml:space="preserve">Justification : </w:t>
      </w:r>
      <w:r>
        <w:t xml:space="preserve">Un mock aléatoire rendrait les démonstrations non reproductibles ; le déterminisme permet de démontrer le scénario d'échec à la demande, y compris devant le jury.</w:t>
      </w:r>
    </w:p>
    <w:p>
      <w:pPr>
        <w:spacing w:after="140"/>
      </w:pPr>
      <w:r>
        <w:rPr>
          <w:b/>
          <w:bCs/>
          <w:color w:val="1F3A5F"/>
        </w:rPr>
        <w:t xml:space="preserve">Statut : </w:t>
      </w:r>
      <w:r>
        <w:rPr>
          <w:i/>
          <w:iCs/>
          <w:color w:val="2F7D32"/>
        </w:rPr>
        <w:t xml:space="preserve">Accepté</w:t>
      </w:r>
    </w:p>
    <w:p>
      <w:pPr>
        <w:pStyle w:val="Heading2"/>
        <w:spacing w:after="100" w:before="230"/>
      </w:pPr>
      <w:r>
        <w:t xml:space="preserve">Réseau — décision de haute disponibilité auto-imposée</w:t>
      </w:r>
    </w:p>
    <w:p>
      <w:pPr>
        <w:keepNext/>
        <w:spacing w:after="70" w:before="200"/>
      </w:pPr>
      <w:r>
        <w:rPr>
          <w:b/>
          <w:bCs/>
          <w:color w:val="B36B00"/>
          <w:sz w:val="24"/>
          <w:szCs w:val="24"/>
        </w:rPr>
        <w:t xml:space="preserve">ADR-19 — Deux NAT Gateways, une par zone de disponibilité</w:t>
      </w:r>
    </w:p>
    <w:p>
      <w:pPr>
        <w:spacing w:after="60"/>
        <w:jc w:val="both"/>
      </w:pPr>
      <w:r>
        <w:rPr>
          <w:b/>
          <w:bCs/>
          <w:color w:val="1F3A5F"/>
        </w:rPr>
        <w:t xml:space="preserve">Décision : </w:t>
      </w:r>
      <w:r>
        <w:t xml:space="preserve">Chaque AZ dispose de sa propre NAT Gateway pour le trafic sortant des subnets privés.</w:t>
      </w:r>
    </w:p>
    <w:p>
      <w:pPr>
        <w:spacing w:after="60"/>
        <w:jc w:val="both"/>
      </w:pPr>
      <w:r>
        <w:rPr>
          <w:b/>
          <w:bCs/>
          <w:color w:val="1F3A5F"/>
        </w:rPr>
        <w:t xml:space="preserve">Exigence rattachée : </w:t>
      </w:r>
      <w:r>
        <w:rPr>
          <w:b/>
          <w:bCs/>
        </w:rPr>
        <w:t xml:space="preserve">Aucune exigence explicite du cahier des charges — décision de haute disponibilité auto-imposée, cohérente avec l'esprit de résilience du projet.</w:t>
      </w:r>
    </w:p>
    <w:p>
      <w:pPr>
        <w:spacing w:after="60"/>
        <w:jc w:val="both"/>
      </w:pPr>
      <w:r>
        <w:rPr>
          <w:b/>
          <w:bCs/>
          <w:color w:val="1F3A5F"/>
        </w:rPr>
        <w:t xml:space="preserve">Justification : </w:t>
      </w:r>
      <w:r>
        <w:t xml:space="preserve">Une NAT unique serait un point de défaillance touchant les deux zones ; le doublement supprime ce point unique. Transparence assumée : en environnement de stage strict, une seule NAT suffirait — les deux relèvent de l'architecture cible, pas d'une obligation.</w:t>
      </w:r>
    </w:p>
    <w:p>
      <w:pPr>
        <w:spacing w:after="140"/>
      </w:pPr>
      <w:r>
        <w:rPr>
          <w:b/>
          <w:bCs/>
          <w:color w:val="1F3A5F"/>
        </w:rPr>
        <w:t xml:space="preserve">Statut : </w:t>
      </w:r>
      <w:r>
        <w:rPr>
          <w:i/>
          <w:iCs/>
          <w:color w:val="2F7D32"/>
        </w:rPr>
        <w:t xml:space="preserve">Accepté</w:t>
      </w:r>
    </w:p>
    <w:p>
      <w:pPr>
        <w:pStyle w:val="Heading2"/>
        <w:spacing w:after="100" w:before="230"/>
      </w:pPr>
      <w:r>
        <w:t xml:space="preserve">Décision opérationnelle — hors périmètre du cahier des charges</w:t>
      </w:r>
    </w:p>
    <w:p>
      <w:pPr>
        <w:keepNext/>
        <w:spacing w:after="70" w:before="200"/>
      </w:pPr>
      <w:r>
        <w:rPr>
          <w:b/>
          <w:bCs/>
          <w:color w:val="B36B00"/>
          <w:sz w:val="24"/>
          <w:szCs w:val="24"/>
        </w:rPr>
        <w:t xml:space="preserve">ADR-20 — Stratégie de coûts « deux couches » avec destruction quotidienne</w:t>
      </w:r>
    </w:p>
    <w:p>
      <w:pPr>
        <w:spacing w:after="60"/>
        <w:jc w:val="both"/>
      </w:pPr>
      <w:r>
        <w:rPr>
          <w:b/>
          <w:bCs/>
          <w:color w:val="1F3A5F"/>
        </w:rPr>
        <w:t xml:space="preserve">Décision : </w:t>
      </w:r>
      <w:r>
        <w:t xml:space="preserve">Infrastructure scindée en couche persistante (jamais détruite, coût dormant) et couche éphémère (détruite chaque soir par Terraform, recréée le matin) ; RDS stoppé la nuit.</w:t>
      </w:r>
    </w:p>
    <w:p>
      <w:pPr>
        <w:spacing w:after="60"/>
        <w:jc w:val="both"/>
      </w:pPr>
      <w:r>
        <w:rPr>
          <w:b/>
          <w:bCs/>
          <w:color w:val="1F3A5F"/>
        </w:rPr>
        <w:t xml:space="preserve">Exigence rattachée : </w:t>
      </w:r>
      <w:r>
        <w:rPr>
          <w:b/>
          <w:bCs/>
        </w:rPr>
        <w:t xml:space="preserve">Aucune exigence du cahier des charges — décision opérationnelle de maîtrise du budget de stage.</w:t>
      </w:r>
    </w:p>
    <w:p>
      <w:pPr>
        <w:spacing w:after="60"/>
        <w:jc w:val="both"/>
      </w:pPr>
      <w:r>
        <w:rPr>
          <w:b/>
          <w:bCs/>
          <w:color w:val="1F3A5F"/>
        </w:rPr>
        <w:t xml:space="preserve">Justification : </w:t>
      </w:r>
      <w:r>
        <w:t xml:space="preserve">Réduit fortement le coût de la phase de déploiement sans retirer aucun composant de l'architecture cible ; la destruction quotidienne agit comme un test de reproductibilité de l'infrastructure. Filet de sécurité : alarme de budget. Cet ADR est conservé car il structure l'exploitation, tout en étant clairement identifié comme hors exigence.</w:t>
      </w:r>
    </w:p>
    <w:p>
      <w:pPr>
        <w:spacing w:after="140"/>
      </w:pPr>
      <w:r>
        <w:rPr>
          <w:b/>
          <w:bCs/>
          <w:color w:val="1F3A5F"/>
        </w:rPr>
        <w:t xml:space="preserve">Statut : </w:t>
      </w:r>
      <w:r>
        <w:rPr>
          <w:i/>
          <w:iCs/>
          <w:color w:val="2F7D32"/>
        </w:rPr>
        <w:t xml:space="preserve">Accepté</w:t>
      </w:r>
    </w:p>
    <w:p>
      <w:pPr>
        <w:pStyle w:val="Heading2"/>
        <w:spacing w:after="100" w:before="230"/>
      </w:pPr>
      <w:r>
        <w:t xml:space="preserve">Décision en attente</w:t>
      </w:r>
    </w:p>
    <w:p>
      <w:pPr>
        <w:keepNext/>
        <w:spacing w:after="70" w:before="200"/>
      </w:pPr>
      <w:r>
        <w:rPr>
          <w:b/>
          <w:bCs/>
          <w:color w:val="B36B00"/>
          <w:sz w:val="24"/>
          <w:szCs w:val="24"/>
        </w:rPr>
        <w:t xml:space="preserve">ADR-21 — Gestion des secrets</w:t>
      </w:r>
    </w:p>
    <w:p>
      <w:pPr>
        <w:spacing w:after="60"/>
        <w:jc w:val="both"/>
      </w:pPr>
      <w:r>
        <w:rPr>
          <w:b/>
          <w:bCs/>
          <w:color w:val="1F3A5F"/>
        </w:rPr>
        <w:t xml:space="preserve">Décision : </w:t>
      </w:r>
      <w:r>
        <w:t xml:space="preserve">À trancher : Secrets Kubernetes natifs contre AWS Secrets Manager.</w:t>
      </w:r>
    </w:p>
    <w:p>
      <w:pPr>
        <w:spacing w:after="60"/>
        <w:jc w:val="both"/>
      </w:pPr>
      <w:r>
        <w:rPr>
          <w:b/>
          <w:bCs/>
          <w:color w:val="1F3A5F"/>
        </w:rPr>
        <w:t xml:space="preserve">Exigence rattachée : </w:t>
      </w:r>
      <w:r>
        <w:rPr>
          <w:b/>
          <w:bCs/>
        </w:rPr>
        <w:t xml:space="preserve">F-4.1.a (manifestes incluant ConfigMaps et Secrets).</w:t>
      </w:r>
    </w:p>
    <w:p>
      <w:pPr>
        <w:spacing w:after="60"/>
        <w:jc w:val="both"/>
      </w:pPr>
      <w:r>
        <w:rPr>
          <w:b/>
          <w:bCs/>
          <w:color w:val="1F3A5F"/>
        </w:rPr>
        <w:t xml:space="preserve">Justification : </w:t>
      </w:r>
      <w:r>
        <w:t xml:space="preserve">Les identifiants de bases, le secret de signature JWT et les credentials RabbitMQ doivent être stockés hors du code. Le choix conditionne les manifestes et le pipeline ; il doit être arrêté avant le déploiement (Sprint 4).</w:t>
      </w:r>
    </w:p>
    <w:p>
      <w:pPr>
        <w:spacing w:after="140"/>
      </w:pPr>
      <w:r>
        <w:rPr>
          <w:b/>
          <w:bCs/>
          <w:color w:val="1F3A5F"/>
        </w:rPr>
        <w:t xml:space="preserve">Statut : </w:t>
      </w:r>
      <w:r>
        <w:rPr>
          <w:i/>
          <w:iCs/>
          <w:color w:val="B85450"/>
        </w:rPr>
        <w:t xml:space="preserve">En attente — à trancher avant le déploiement</w:t>
      </w:r>
    </w:p>
    <w:p>
      <w:r>
        <w:br w:type="page"/>
      </w:r>
    </w:p>
    <w:p>
      <w:pPr>
        <w:pStyle w:val="Heading1"/>
        <w:spacing w:after="140" w:before="300"/>
      </w:pPr>
      <w:r>
        <w:t xml:space="preserve">Décisions retirées ou fusionnées</w:t>
      </w:r>
    </w:p>
    <w:p>
      <w:pPr>
        <w:spacing w:after="120"/>
        <w:jc w:val="both"/>
      </w:pPr>
      <w:r>
        <w:t xml:space="preserve">Cette section est la preuve que la consolidation a été rigoureuse : voici ce qui a été écarté du journal, et pourquoi. C'est ce qui distingue un nettoyage d'un simple recomptage.</w:t>
      </w:r>
    </w:p>
    <w:p>
      <w:pPr>
        <w:spacing w:after="120"/>
        <w:jc w:val="both"/>
      </w:pPr>
      <w:r>
        <w:rPr>
          <w:b/>
          <w:bCs/>
        </w:rPr>
        <w:t xml:space="preserve">« Un diagramme de classes par microservice » — retiré. </w:t>
      </w:r>
      <w:r>
        <w:t xml:space="preserve">C'est une convention de modélisation, non une décision d'architecture. Elle a sa place dans la méthodologie de modélisation, pas dans le journal des décisions techniques.</w:t>
      </w:r>
    </w:p>
    <w:p>
      <w:pPr>
        <w:spacing w:after="120"/>
        <w:jc w:val="both"/>
      </w:pPr>
      <w:r>
        <w:rPr>
          <w:b/>
          <w:bCs/>
        </w:rPr>
        <w:t xml:space="preserve">« TTL sur le panier Redis » — fusionné dans l'ADR-08. </w:t>
      </w:r>
      <w:r>
        <w:t xml:space="preserve">C'est un détail d'implémentation qui découle de l'usage de Redis, pas une décision structurante autonome. Il est mentionné là où il appartient.</w:t>
      </w:r>
    </w:p>
    <w:p>
      <w:pPr>
        <w:spacing w:after="120"/>
        <w:jc w:val="both"/>
      </w:pPr>
      <w:r>
        <w:rPr>
          <w:b/>
          <w:bCs/>
        </w:rPr>
        <w:t xml:space="preserve">« Vérification de stock indicative vs autoritaire » — fusionné dans l'ADR-11. </w:t>
      </w:r>
      <w:r>
        <w:t xml:space="preserve">Ce n'est pas une décision distincte mais une facette du fonctionnement de la Saga ; l'isoler créait une redondance.</w:t>
      </w:r>
    </w:p>
    <w:p>
      <w:pPr>
        <w:spacing w:after="120"/>
        <w:jc w:val="both"/>
      </w:pPr>
      <w:r>
        <w:rPr>
          <w:b/>
          <w:bCs/>
        </w:rPr>
        <w:t xml:space="preserve">« REST + Circuit Breaker pour Panier→Catalogue » (ancien ADR spécifique) — fusionné dans les ADR-04 et 12. </w:t>
      </w:r>
      <w:r>
        <w:t xml:space="preserve">C'était un cas particulier de deux décisions plus générales (la communication hybride et le Circuit Breaker transversal) ; le maintenir en double n'apportait rien.</w:t>
      </w:r>
    </w:p>
    <w:p>
      <w:pPr>
        <w:spacing w:after="120"/>
        <w:jc w:val="both"/>
      </w:pPr>
      <w:r>
        <w:rPr>
          <w:b/>
          <w:bCs/>
        </w:rPr>
        <w:t xml:space="preserve">Toute « décision » portant sur une technologie imposée — non créée. </w:t>
      </w:r>
      <w:r>
        <w:t xml:space="preserve">PostgreSQL, MongoDB, Redis, Docker, Kubernetes et le style microservices sont imposés par le cahier des charges : aucune alternative n'était ouverte, donc aucun ADR n'est justifié. C'est le principal facteur de réduction, et la raison pour laquelle certaines « évidences » n'apparaissent pas — leur absence est volontaire et défendable.</w:t>
      </w:r>
    </w:p>
    <w:p>
      <w:pPr>
        <w:pStyle w:val="Heading1"/>
        <w:spacing w:after="140" w:before="300"/>
      </w:pPr>
      <w:r>
        <w:t xml:space="preserve">Note sur la numérotation et la traçabilité</w:t>
      </w:r>
    </w:p>
    <w:p>
      <w:pPr>
        <w:spacing w:after="120"/>
        <w:jc w:val="both"/>
      </w:pPr>
      <w:r>
        <w:t xml:space="preserve">Les identifiants d'exigences (T-xx, US x.x, B-xx, F-xx, P-xx) renvoient au Référentiel de conception (Jour 1), qui reste la source unique de vérité. Toute évolution d'un ADR doit être répercutée dans le référentiel, et inversement. La numérotation des ADR est continue et ne doit plus changer : un ADR retiré laisse son numéro vacant plutôt que de décaler les suivants, afin que les références déjà faites dans les autres livrables restent valides.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pPr>
    <w:rPr>
      <w:b/>
      <w:bCs/>
      <w:color w:val="1F3A5F"/>
      <w:sz w:val="29"/>
      <w:szCs w:val="29"/>
    </w:rPr>
  </w:style>
  <w:style w:type="paragraph" w:styleId="Heading2">
    <w:name w:val="Heading 2"/>
    <w:basedOn w:val="Normal"/>
    <w:next w:val="Normal"/>
    <w:qFormat/>
    <w:pPr>
      <w:spacing w:after="100" w:before="230"/>
    </w:pPr>
    <w:rPr>
      <w:b/>
      <w:bCs/>
      <w:color w:val="B36B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2026-07-25T12:50:42.737Z</dcterms:created>
  <dcterms:modified xsi:type="dcterms:W3CDTF">2026-07-25T12:50:42.751Z</dcterms:modified>
</cp:coreProperties>
</file>

<file path=docProps/custom.xml><?xml version="1.0" encoding="utf-8"?>
<Properties xmlns="http://schemas.openxmlformats.org/officeDocument/2006/custom-properties" xmlns:vt="http://schemas.openxmlformats.org/officeDocument/2006/docPropsVTypes"/>
</file>