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b/>
          <w:bCs/>
          <w:color w:val="1F3A5F"/>
          <w:sz w:val="42"/>
          <w:szCs w:val="42"/>
        </w:rPr>
        <w:t xml:space="preserve">Référentiel de conception</w:t>
      </w:r>
    </w:p>
    <w:p>
      <w:pPr>
        <w:spacing w:after="80"/>
        <w:jc w:val="center"/>
      </w:pPr>
      <w:r>
        <w:rPr>
          <w:color w:val="B36B00"/>
          <w:sz w:val="24"/>
          <w:szCs w:val="24"/>
        </w:rPr>
        <w:t xml:space="preserve">Plateforme E-commerce en Architecture Microservices — Smartovate Ltd</w:t>
      </w:r>
    </w:p>
    <w:p>
      <w:pPr>
        <w:jc w:val="center"/>
      </w:pPr>
      <w:r>
        <w:rPr>
          <w:i/>
          <w:iCs/>
          <w:color w:val="555555"/>
          <w:sz w:val="20"/>
          <w:szCs w:val="20"/>
        </w:rPr>
        <w:t xml:space="preserve">Exigences tracées du cahier des charges · Justification de chaque arbitrage technologique · Écarts et plan d'action</w:t>
      </w:r>
    </w:p>
    <w:p>
      <w:pPr>
        <w:spacing w:before="400"/>
        <w:jc w:val="center"/>
      </w:pPr>
      <w:r>
        <w:rPr>
          <w:color w:val="777777"/>
          <w:sz w:val="20"/>
          <w:szCs w:val="20"/>
        </w:rPr>
        <w:t xml:space="preserve">Document de référence — Jour 1</w:t>
      </w:r>
    </w:p>
    <w:p>
      <w:r>
        <w:br w:type="page"/>
      </w:r>
    </w:p>
    <w:p>
      <w:pPr>
        <w:pStyle w:val="Heading1"/>
        <w:spacing w:after="140" w:before="300"/>
      </w:pPr>
      <w:r>
        <w:t xml:space="preserve">Objet de ce document</w:t>
      </w:r>
    </w:p>
    <w:p>
      <w:pPr>
        <w:spacing w:after="120"/>
        <w:jc w:val="both"/>
      </w:pPr>
      <w:r>
        <w:t xml:space="preserve">Ce document est la source unique de vérité du projet. Il répond à une question simple mais qui n'avait jamais été traitée de façon systématique : que demande exactement le cahier des charges, et où chaque exigence est-elle satisfaite ?</w:t>
      </w:r>
    </w:p>
    <w:p>
      <w:pPr>
        <w:spacing w:after="120"/>
        <w:jc w:val="both"/>
      </w:pPr>
      <w:r>
        <w:t xml:space="preserve">Il se lit en trois temps. D'abord la CHECKLIST DES EXIGENCES : chaque phrase du cahier des charges qui engage le projet est transformée en exigence numérotée, avec son statut de couverture honnête. Ensuite la JUSTIFICATION DES ARBITRAGES : le cahier des charges propose plusieurs fois des alternatives (Java ou Node, Kong ou Spring Cloud Gateway, RabbitMQ ou Kafka, AWS ou Azure) — chaque choix est ici argumenté et sa limite assumée. Enfin les ÉCARTS ET LE PLAN D'ACTION : ce qui manque encore, classé par priorité.</w:t>
      </w:r>
    </w:p>
    <w:p>
      <w:pPr>
        <w:spacing w:after="120"/>
        <w:jc w:val="both"/>
      </w:pPr>
      <w:r>
        <w:rPr>
          <w:b/>
          <w:bCs/>
        </w:rPr>
        <w:t xml:space="preserve">Convention de statut : </w:t>
      </w:r>
      <w:r>
        <w:rPr>
          <w:b/>
          <w:bCs/>
          <w:color w:val="2F7D32"/>
        </w:rPr>
        <w:t xml:space="preserve">Couvert</w:t>
      </w:r>
      <w:r>
        <w:t xml:space="preserve"> = l'exigence est traitée et démontrable. </w:t>
      </w:r>
      <w:r>
        <w:rPr>
          <w:b/>
          <w:bCs/>
          <w:color w:val="B36B00"/>
        </w:rPr>
        <w:t xml:space="preserve">Partiel</w:t>
      </w:r>
      <w:r>
        <w:t xml:space="preserve"> = amorcé mais incomplet. </w:t>
      </w:r>
      <w:r>
        <w:rPr>
          <w:b/>
          <w:bCs/>
          <w:color w:val="B85450"/>
        </w:rPr>
        <w:t xml:space="preserve">À faire</w:t>
      </w:r>
      <w:r>
        <w:t xml:space="preserve"> = non traité à ce jour.</w:t>
      </w:r>
    </w:p>
    <w:p>
      <w:pPr>
        <w:spacing w:after="120"/>
        <w:jc w:val="both"/>
      </w:pPr>
      <w:r>
        <w:t xml:space="preserve">Règle de rigueur appliquée : aucun statut « Couvert » n'est attribué sans pouvoir désigner le livrable qui le prouve. Un statut optimiste serait une faute — c'est en soutenance qu'il se paierait.</w:t>
      </w:r>
    </w:p>
    <w:p>
      <w:pPr>
        <w:pStyle w:val="Heading1"/>
        <w:spacing w:after="140" w:before="300"/>
      </w:pPr>
      <w:r>
        <w:t xml:space="preserve">1. Exigences de périmètre</w:t>
      </w:r>
    </w:p>
    <w:p>
      <w:pPr>
        <w:spacing w:after="120"/>
        <w:jc w:val="both"/>
      </w:pPr>
      <w:r>
        <w:t xml:space="preserve">Le périmètre définit ce qui doit être fait et, tout aussi important, ce qui ne doit pas l'être. Sortir du périmètre est une faute autant que ne pas le couvrir.</w:t>
      </w:r>
    </w:p>
    <w:p>
      <w:pPr>
        <w:pStyle w:val="Heading2"/>
        <w:spacing w:after="100" w:before="220"/>
      </w:pPr>
      <w:r>
        <w:t xml:space="preserve">1.1 Inclus dans le périmètre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8%"/>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Exigence (cahier des charges)</w:t>
            </w:r>
          </w:p>
        </w:tc>
        <w:tc>
          <w:tcPr>
            <w:tcW w:type="pct" w:w="32%"/>
            <w:shd w:fill="1F3A5F" w:val="clear"/>
            <w:tcMar>
              <w:top w:type="dxa" w:w="60"/>
              <w:left w:type="dxa" w:w="90"/>
              <w:bottom w:type="dxa" w:w="60"/>
              <w:right w:type="dxa" w:w="90"/>
            </w:tcMar>
          </w:tcPr>
          <w:p>
            <w:pPr>
              <w:spacing w:after="0"/>
            </w:pPr>
            <w:r>
              <w:rPr>
                <w:b/>
                <w:bCs/>
                <w:color w:val="FFFFFF"/>
                <w:sz w:val="18"/>
                <w:szCs w:val="18"/>
              </w:rPr>
              <w:t xml:space="preserve">Où c'est traité</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P-01</w:t>
            </w:r>
          </w:p>
        </w:tc>
        <w:tc>
          <w:tcPr>
            <w:tcW w:type="pct" w:w="42%"/>
            <w:tcMar>
              <w:top w:type="dxa" w:w="60"/>
              <w:left w:type="dxa" w:w="90"/>
              <w:bottom w:type="dxa" w:w="60"/>
              <w:right w:type="dxa" w:w="90"/>
            </w:tcMar>
          </w:tcPr>
          <w:p>
            <w:pPr>
              <w:spacing w:after="0"/>
            </w:pPr>
            <w:r>
              <w:rPr>
                <w:b w:val="false"/>
                <w:bCs w:val="false"/>
                <w:color w:val="16191F"/>
                <w:sz w:val="17"/>
                <w:szCs w:val="17"/>
              </w:rPr>
              <w:t xml:space="preserve">Conception de l'architecture microservices : API Gateway, Service Discovery, bases de données dédiées</w:t>
            </w:r>
          </w:p>
        </w:tc>
        <w:tc>
          <w:tcPr>
            <w:tcW w:type="pct" w:w="32%"/>
            <w:tcMar>
              <w:top w:type="dxa" w:w="60"/>
              <w:left w:type="dxa" w:w="90"/>
              <w:bottom w:type="dxa" w:w="60"/>
              <w:right w:type="dxa" w:w="90"/>
            </w:tcMar>
          </w:tcPr>
          <w:p>
            <w:pPr>
              <w:spacing w:after="0"/>
            </w:pPr>
            <w:r>
              <w:rPr>
                <w:b w:val="false"/>
                <w:bCs w:val="false"/>
                <w:color w:val="16191F"/>
                <w:sz w:val="17"/>
                <w:szCs w:val="17"/>
              </w:rPr>
              <w:t xml:space="preserve">Diagramme d'architecture (Kong, CoreDNS, 3 bases)</w:t>
            </w:r>
          </w:p>
        </w:tc>
        <w:tc>
          <w:tcPr>
            <w:tcW w:type="pct" w:w="18%"/>
            <w:tcMar>
              <w:top w:type="dxa" w:w="60"/>
              <w:left w:type="dxa" w:w="90"/>
              <w:bottom w:type="dxa" w:w="60"/>
              <w:right w:type="dxa" w:w="90"/>
            </w:tcMar>
          </w:tcPr>
          <w:p>
            <w:pPr>
              <w:spacing w:after="0"/>
            </w:pPr>
            <w:r>
              <w:rPr>
                <w:b/>
                <w:bCs/>
                <w:color w:val="2F7D32"/>
                <w:sz w:val="17"/>
                <w:szCs w:val="17"/>
              </w:rPr>
              <w:t xml:space="preserve">Couvert</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P-02</w:t>
            </w:r>
          </w:p>
        </w:tc>
        <w:tc>
          <w:tcPr>
            <w:tcW w:type="pct" w:w="42%"/>
            <w:tcMar>
              <w:top w:type="dxa" w:w="60"/>
              <w:left w:type="dxa" w:w="90"/>
              <w:bottom w:type="dxa" w:w="60"/>
              <w:right w:type="dxa" w:w="90"/>
            </w:tcMar>
          </w:tcPr>
          <w:p>
            <w:pPr>
              <w:spacing w:after="0"/>
            </w:pPr>
            <w:r>
              <w:rPr>
                <w:b w:val="false"/>
                <w:bCs w:val="false"/>
                <w:color w:val="16191F"/>
                <w:sz w:val="17"/>
                <w:szCs w:val="17"/>
              </w:rPr>
              <w:t xml:space="preserve">Développer 4 microservices : Catalogue, Utilisateurs (authn/authz), Panier, Commandes</w:t>
            </w:r>
          </w:p>
        </w:tc>
        <w:tc>
          <w:tcPr>
            <w:tcW w:type="pct" w:w="32%"/>
            <w:tcMar>
              <w:top w:type="dxa" w:w="60"/>
              <w:left w:type="dxa" w:w="90"/>
              <w:bottom w:type="dxa" w:w="60"/>
              <w:right w:type="dxa" w:w="90"/>
            </w:tcMar>
          </w:tcPr>
          <w:p>
            <w:pPr>
              <w:spacing w:after="0"/>
            </w:pPr>
            <w:r>
              <w:rPr>
                <w:b w:val="false"/>
                <w:bCs w:val="false"/>
                <w:color w:val="16191F"/>
                <w:sz w:val="17"/>
                <w:szCs w:val="17"/>
              </w:rPr>
              <w:t xml:space="preserve">Périmètre validé — développement à venir (Sprints 2-3)</w:t>
            </w:r>
          </w:p>
        </w:tc>
        <w:tc>
          <w:tcPr>
            <w:tcW w:type="pct" w:w="18%"/>
            <w:tcMar>
              <w:top w:type="dxa" w:w="60"/>
              <w:left w:type="dxa" w:w="90"/>
              <w:bottom w:type="dxa" w:w="60"/>
              <w:right w:type="dxa" w:w="90"/>
            </w:tcMar>
          </w:tcPr>
          <w:p>
            <w:pPr>
              <w:spacing w:after="0"/>
            </w:pPr>
            <w:r>
              <w:rPr>
                <w:b/>
                <w:bCs/>
                <w:color w:val="B36B00"/>
                <w:sz w:val="17"/>
                <w:szCs w:val="17"/>
              </w:rPr>
              <w:t xml:space="preserve">Partiel — conception faite, code à écrire</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P-03</w:t>
            </w:r>
          </w:p>
        </w:tc>
        <w:tc>
          <w:tcPr>
            <w:tcW w:type="pct" w:w="42%"/>
            <w:tcMar>
              <w:top w:type="dxa" w:w="60"/>
              <w:left w:type="dxa" w:w="90"/>
              <w:bottom w:type="dxa" w:w="60"/>
              <w:right w:type="dxa" w:w="90"/>
            </w:tcMar>
          </w:tcPr>
          <w:p>
            <w:pPr>
              <w:spacing w:after="0"/>
            </w:pPr>
            <w:r>
              <w:rPr>
                <w:b w:val="false"/>
                <w:bCs w:val="false"/>
                <w:color w:val="16191F"/>
                <w:sz w:val="17"/>
                <w:szCs w:val="17"/>
              </w:rPr>
              <w:t xml:space="preserve">Conteneurisation avec Docker et orchestration avec Kubernetes</w:t>
            </w:r>
          </w:p>
        </w:tc>
        <w:tc>
          <w:tcPr>
            <w:tcW w:type="pct" w:w="32%"/>
            <w:tcMar>
              <w:top w:type="dxa" w:w="60"/>
              <w:left w:type="dxa" w:w="90"/>
              <w:bottom w:type="dxa" w:w="60"/>
              <w:right w:type="dxa" w:w="90"/>
            </w:tcMar>
          </w:tcPr>
          <w:p>
            <w:pPr>
              <w:spacing w:after="0"/>
            </w:pPr>
            <w:r>
              <w:rPr>
                <w:b w:val="false"/>
                <w:bCs w:val="false"/>
                <w:color w:val="16191F"/>
                <w:sz w:val="17"/>
                <w:szCs w:val="17"/>
              </w:rPr>
              <w:t xml:space="preserve">Architecture (EKS, pods) — Dockerfiles à écrire</w:t>
            </w:r>
          </w:p>
        </w:tc>
        <w:tc>
          <w:tcPr>
            <w:tcW w:type="pct" w:w="18%"/>
            <w:tcMar>
              <w:top w:type="dxa" w:w="60"/>
              <w:left w:type="dxa" w:w="90"/>
              <w:bottom w:type="dxa" w:w="60"/>
              <w:right w:type="dxa" w:w="90"/>
            </w:tcMar>
          </w:tcPr>
          <w:p>
            <w:pPr>
              <w:spacing w:after="0"/>
            </w:pPr>
            <w:r>
              <w:rPr>
                <w:b/>
                <w:bCs/>
                <w:color w:val="B36B00"/>
                <w:sz w:val="17"/>
                <w:szCs w:val="17"/>
              </w:rPr>
              <w:t xml:space="preserve">Partiel</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P-04</w:t>
            </w:r>
          </w:p>
        </w:tc>
        <w:tc>
          <w:tcPr>
            <w:tcW w:type="pct" w:w="42%"/>
            <w:tcMar>
              <w:top w:type="dxa" w:w="60"/>
              <w:left w:type="dxa" w:w="90"/>
              <w:bottom w:type="dxa" w:w="60"/>
              <w:right w:type="dxa" w:w="90"/>
            </w:tcMar>
          </w:tcPr>
          <w:p>
            <w:pPr>
              <w:spacing w:after="0"/>
            </w:pPr>
            <w:r>
              <w:rPr>
                <w:b w:val="false"/>
                <w:bCs w:val="false"/>
                <w:color w:val="16191F"/>
                <w:sz w:val="17"/>
                <w:szCs w:val="17"/>
              </w:rPr>
              <w:t xml:space="preserve">Pipeline CI/CD pour l'automatisation des tests et déploiements</w:t>
            </w:r>
          </w:p>
        </w:tc>
        <w:tc>
          <w:tcPr>
            <w:tcW w:type="pct" w:w="32%"/>
            <w:tcMar>
              <w:top w:type="dxa" w:w="60"/>
              <w:left w:type="dxa" w:w="90"/>
              <w:bottom w:type="dxa" w:w="60"/>
              <w:right w:type="dxa" w:w="90"/>
            </w:tcMar>
          </w:tcPr>
          <w:p>
            <w:pPr>
              <w:spacing w:after="0"/>
            </w:pPr>
            <w:r>
              <w:rPr>
                <w:b w:val="false"/>
                <w:bCs w:val="false"/>
                <w:color w:val="16191F"/>
                <w:sz w:val="17"/>
                <w:szCs w:val="17"/>
              </w:rPr>
              <w:t xml:space="preserve">Architecture (GitHub Actions → ECR) — pipeline à écrire</w:t>
            </w:r>
          </w:p>
        </w:tc>
        <w:tc>
          <w:tcPr>
            <w:tcW w:type="pct" w:w="18%"/>
            <w:tcMar>
              <w:top w:type="dxa" w:w="60"/>
              <w:left w:type="dxa" w:w="90"/>
              <w:bottom w:type="dxa" w:w="60"/>
              <w:right w:type="dxa" w:w="90"/>
            </w:tcMar>
          </w:tcPr>
          <w:p>
            <w:pPr>
              <w:spacing w:after="0"/>
            </w:pPr>
            <w:r>
              <w:rPr>
                <w:b/>
                <w:bCs/>
                <w:color w:val="B36B00"/>
                <w:sz w:val="17"/>
                <w:szCs w:val="17"/>
              </w:rPr>
              <w:t xml:space="preserve">Partiel</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P-05</w:t>
            </w:r>
          </w:p>
        </w:tc>
        <w:tc>
          <w:tcPr>
            <w:tcW w:type="pct" w:w="42%"/>
            <w:tcMar>
              <w:top w:type="dxa" w:w="60"/>
              <w:left w:type="dxa" w:w="90"/>
              <w:bottom w:type="dxa" w:w="60"/>
              <w:right w:type="dxa" w:w="90"/>
            </w:tcMar>
          </w:tcPr>
          <w:p>
            <w:pPr>
              <w:spacing w:after="0"/>
            </w:pPr>
            <w:r>
              <w:rPr>
                <w:b w:val="false"/>
                <w:bCs w:val="false"/>
                <w:color w:val="16191F"/>
                <w:sz w:val="17"/>
                <w:szCs w:val="17"/>
              </w:rPr>
              <w:t xml:space="preserve">Solution de monitoring et de logging centralisé</w:t>
            </w:r>
          </w:p>
        </w:tc>
        <w:tc>
          <w:tcPr>
            <w:tcW w:type="pct" w:w="32%"/>
            <w:tcMar>
              <w:top w:type="dxa" w:w="60"/>
              <w:left w:type="dxa" w:w="90"/>
              <w:bottom w:type="dxa" w:w="60"/>
              <w:right w:type="dxa" w:w="90"/>
            </w:tcMar>
          </w:tcPr>
          <w:p>
            <w:pPr>
              <w:spacing w:after="0"/>
            </w:pPr>
            <w:r>
              <w:rPr>
                <w:b w:val="false"/>
                <w:bCs w:val="false"/>
                <w:color w:val="16191F"/>
                <w:sz w:val="17"/>
                <w:szCs w:val="17"/>
              </w:rPr>
              <w:t xml:space="preserve">Architecture (Prometheus, Grafana, ELK, Jaeger) — à déployer</w:t>
            </w:r>
          </w:p>
        </w:tc>
        <w:tc>
          <w:tcPr>
            <w:tcW w:type="pct" w:w="18%"/>
            <w:tcMar>
              <w:top w:type="dxa" w:w="60"/>
              <w:left w:type="dxa" w:w="90"/>
              <w:bottom w:type="dxa" w:w="60"/>
              <w:right w:type="dxa" w:w="90"/>
            </w:tcMar>
          </w:tcPr>
          <w:p>
            <w:pPr>
              <w:spacing w:after="0"/>
            </w:pPr>
            <w:r>
              <w:rPr>
                <w:b/>
                <w:bCs/>
                <w:color w:val="B36B00"/>
                <w:sz w:val="17"/>
                <w:szCs w:val="17"/>
              </w:rPr>
              <w:t xml:space="preserve">Partiel</w:t>
            </w:r>
          </w:p>
        </w:tc>
      </w:tr>
    </w:tbl>
    <w:p>
      <w:pPr>
        <w:spacing w:after="140"/>
      </w:pPr>
    </w:p>
    <w:p>
      <w:pPr>
        <w:pStyle w:val="Heading2"/>
        <w:spacing w:after="100" w:before="220"/>
      </w:pPr>
      <w:r>
        <w:t xml:space="preserve">1.2 Exclu du périmètre (à ne PAS faire)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8%"/>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Exclusion</w:t>
            </w:r>
          </w:p>
        </w:tc>
        <w:tc>
          <w:tcPr>
            <w:tcW w:type="pct" w:w="32%"/>
            <w:shd w:fill="1F3A5F" w:val="clear"/>
            <w:tcMar>
              <w:top w:type="dxa" w:w="60"/>
              <w:left w:type="dxa" w:w="90"/>
              <w:bottom w:type="dxa" w:w="60"/>
              <w:right w:type="dxa" w:w="90"/>
            </w:tcMar>
          </w:tcPr>
          <w:p>
            <w:pPr>
              <w:spacing w:after="0"/>
            </w:pPr>
            <w:r>
              <w:rPr>
                <w:b/>
                <w:bCs/>
                <w:color w:val="FFFFFF"/>
                <w:sz w:val="18"/>
                <w:szCs w:val="18"/>
              </w:rPr>
              <w:t xml:space="preserve">Conséquence sur nos choix</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P-06</w:t>
            </w:r>
          </w:p>
        </w:tc>
        <w:tc>
          <w:tcPr>
            <w:tcW w:type="pct" w:w="42%"/>
            <w:tcMar>
              <w:top w:type="dxa" w:w="60"/>
              <w:left w:type="dxa" w:w="90"/>
              <w:bottom w:type="dxa" w:w="60"/>
              <w:right w:type="dxa" w:w="90"/>
            </w:tcMar>
          </w:tcPr>
          <w:p>
            <w:pPr>
              <w:spacing w:after="0"/>
            </w:pPr>
            <w:r>
              <w:rPr>
                <w:b w:val="false"/>
                <w:bCs w:val="false"/>
                <w:color w:val="16191F"/>
                <w:sz w:val="17"/>
                <w:szCs w:val="17"/>
              </w:rPr>
              <w:t xml:space="preserve">Pas de frontend complexe : seules des API REST/GraphQL, testables via Swagger/Postman</w:t>
            </w:r>
          </w:p>
        </w:tc>
        <w:tc>
          <w:tcPr>
            <w:tcW w:type="pct" w:w="32%"/>
            <w:tcMar>
              <w:top w:type="dxa" w:w="60"/>
              <w:left w:type="dxa" w:w="90"/>
              <w:bottom w:type="dxa" w:w="60"/>
              <w:right w:type="dxa" w:w="90"/>
            </w:tcMar>
          </w:tcPr>
          <w:p>
            <w:pPr>
              <w:spacing w:after="0"/>
            </w:pPr>
            <w:r>
              <w:rPr>
                <w:b w:val="false"/>
                <w:bCs w:val="false"/>
                <w:color w:val="16191F"/>
                <w:sz w:val="17"/>
                <w:szCs w:val="17"/>
              </w:rPr>
              <w:t xml:space="preserve">Aucune interface graphique n'est modélisée ; les acteurs interagissent par API</w:t>
            </w:r>
          </w:p>
        </w:tc>
        <w:tc>
          <w:tcPr>
            <w:tcW w:type="pct" w:w="18%"/>
            <w:tcMar>
              <w:top w:type="dxa" w:w="60"/>
              <w:left w:type="dxa" w:w="90"/>
              <w:bottom w:type="dxa" w:w="60"/>
              <w:right w:type="dxa" w:w="90"/>
            </w:tcMar>
          </w:tcPr>
          <w:p>
            <w:pPr>
              <w:spacing w:after="0"/>
            </w:pPr>
            <w:r>
              <w:rPr>
                <w:b/>
                <w:bCs/>
                <w:color w:val="2F7D32"/>
                <w:sz w:val="17"/>
                <w:szCs w:val="17"/>
              </w:rPr>
              <w:t xml:space="preserve">Couvert</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P-07</w:t>
            </w:r>
          </w:p>
        </w:tc>
        <w:tc>
          <w:tcPr>
            <w:tcW w:type="pct" w:w="42%"/>
            <w:tcMar>
              <w:top w:type="dxa" w:w="60"/>
              <w:left w:type="dxa" w:w="90"/>
              <w:bottom w:type="dxa" w:w="60"/>
              <w:right w:type="dxa" w:w="90"/>
            </w:tcMar>
          </w:tcPr>
          <w:p>
            <w:pPr>
              <w:spacing w:after="0"/>
            </w:pPr>
            <w:r>
              <w:rPr>
                <w:b w:val="false"/>
                <w:bCs w:val="false"/>
                <w:color w:val="16191F"/>
                <w:sz w:val="17"/>
                <w:szCs w:val="17"/>
              </w:rPr>
              <w:t xml:space="preserve">Pas d'intégration bancaire réelle : mocks pour le paiement</w:t>
            </w:r>
          </w:p>
        </w:tc>
        <w:tc>
          <w:tcPr>
            <w:tcW w:type="pct" w:w="32%"/>
            <w:tcMar>
              <w:top w:type="dxa" w:w="60"/>
              <w:left w:type="dxa" w:w="90"/>
              <w:bottom w:type="dxa" w:w="60"/>
              <w:right w:type="dxa" w:w="90"/>
            </w:tcMar>
          </w:tcPr>
          <w:p>
            <w:pPr>
              <w:spacing w:after="0"/>
            </w:pPr>
            <w:r>
              <w:rPr>
                <w:b w:val="false"/>
                <w:bCs w:val="false"/>
                <w:color w:val="16191F"/>
                <w:sz w:val="17"/>
                <w:szCs w:val="17"/>
              </w:rPr>
              <w:t xml:space="preserve">MockPaymentGateway déterministe (ADR mock)</w:t>
            </w:r>
          </w:p>
        </w:tc>
        <w:tc>
          <w:tcPr>
            <w:tcW w:type="pct" w:w="18%"/>
            <w:tcMar>
              <w:top w:type="dxa" w:w="60"/>
              <w:left w:type="dxa" w:w="90"/>
              <w:bottom w:type="dxa" w:w="60"/>
              <w:right w:type="dxa" w:w="90"/>
            </w:tcMar>
          </w:tcPr>
          <w:p>
            <w:pPr>
              <w:spacing w:after="0"/>
            </w:pPr>
            <w:r>
              <w:rPr>
                <w:b/>
                <w:bCs/>
                <w:color w:val="2F7D32"/>
                <w:sz w:val="17"/>
                <w:szCs w:val="17"/>
              </w:rPr>
              <w:t xml:space="preserve">Couvert</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P-08</w:t>
            </w:r>
          </w:p>
        </w:tc>
        <w:tc>
          <w:tcPr>
            <w:tcW w:type="pct" w:w="42%"/>
            <w:tcMar>
              <w:top w:type="dxa" w:w="60"/>
              <w:left w:type="dxa" w:w="90"/>
              <w:bottom w:type="dxa" w:w="60"/>
              <w:right w:type="dxa" w:w="90"/>
            </w:tcMar>
          </w:tcPr>
          <w:p>
            <w:pPr>
              <w:spacing w:after="0"/>
            </w:pPr>
            <w:r>
              <w:rPr>
                <w:b w:val="false"/>
                <w:bCs w:val="false"/>
                <w:color w:val="16191F"/>
                <w:sz w:val="17"/>
                <w:szCs w:val="17"/>
              </w:rPr>
              <w:t xml:space="preserve">Pas de gestion avancée des stocks ni de logistique d'expédition</w:t>
            </w:r>
          </w:p>
        </w:tc>
        <w:tc>
          <w:tcPr>
            <w:tcW w:type="pct" w:w="32%"/>
            <w:tcMar>
              <w:top w:type="dxa" w:w="60"/>
              <w:left w:type="dxa" w:w="90"/>
              <w:bottom w:type="dxa" w:w="60"/>
              <w:right w:type="dxa" w:w="90"/>
            </w:tcMar>
          </w:tcPr>
          <w:p>
            <w:pPr>
              <w:spacing w:after="0"/>
            </w:pPr>
            <w:r>
              <w:rPr>
                <w:b w:val="false"/>
                <w:bCs w:val="false"/>
                <w:color w:val="16191F"/>
                <w:sz w:val="17"/>
                <w:szCs w:val="17"/>
              </w:rPr>
              <w:t xml:space="preserve">Le stock se limite à un compteur décrémenté ; aucune notion d'entrepôt ni de livraison</w:t>
            </w:r>
          </w:p>
        </w:tc>
        <w:tc>
          <w:tcPr>
            <w:tcW w:type="pct" w:w="18%"/>
            <w:tcMar>
              <w:top w:type="dxa" w:w="60"/>
              <w:left w:type="dxa" w:w="90"/>
              <w:bottom w:type="dxa" w:w="60"/>
              <w:right w:type="dxa" w:w="90"/>
            </w:tcMar>
          </w:tcPr>
          <w:p>
            <w:pPr>
              <w:spacing w:after="0"/>
            </w:pPr>
            <w:r>
              <w:rPr>
                <w:b/>
                <w:bCs/>
                <w:color w:val="2F7D32"/>
                <w:sz w:val="17"/>
                <w:szCs w:val="17"/>
              </w:rPr>
              <w:t xml:space="preserve">Couvert</w:t>
            </w:r>
          </w:p>
        </w:tc>
      </w:tr>
    </w:tbl>
    <w:p>
      <w:pPr>
        <w:spacing w:after="140"/>
      </w:pPr>
    </w:p>
    <w:p>
      <w:pPr>
        <w:pStyle w:val="Heading1"/>
        <w:spacing w:after="140" w:before="300"/>
      </w:pPr>
      <w:r>
        <w:t xml:space="preserve">2. Exigences technologiques</w:t>
      </w:r>
    </w:p>
    <w:p>
      <w:pPr>
        <w:spacing w:after="120"/>
        <w:jc w:val="both"/>
      </w:pPr>
      <w:r>
        <w:t xml:space="preserve">Le cahier des charges impose certaines technologies et en propose d'autres au choix. La colonne « Nature » distingue les deux — c'est essentiel : sur une technologie imposée, il n'y a rien à justifier ; sur une alternative, il faut pouvoir défendre son arbitrage (section 5).</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gridCol w:w="100"/>
      </w:tblGrid>
      <w:tr>
        <w:trPr>
          <w:tblHeader/>
        </w:trPr>
        <w:tc>
          <w:tcPr>
            <w:tcW w:type="pct" w:w="7%"/>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38%"/>
            <w:shd w:fill="1F3A5F" w:val="clear"/>
            <w:tcMar>
              <w:top w:type="dxa" w:w="60"/>
              <w:left w:type="dxa" w:w="90"/>
              <w:bottom w:type="dxa" w:w="60"/>
              <w:right w:type="dxa" w:w="90"/>
            </w:tcMar>
          </w:tcPr>
          <w:p>
            <w:pPr>
              <w:spacing w:after="0"/>
            </w:pPr>
            <w:r>
              <w:rPr>
                <w:b/>
                <w:bCs/>
                <w:color w:val="FFFFFF"/>
                <w:sz w:val="18"/>
                <w:szCs w:val="18"/>
              </w:rPr>
              <w:t xml:space="preserve">Exigence du cahier des charges</w:t>
            </w:r>
          </w:p>
        </w:tc>
        <w:tc>
          <w:tcPr>
            <w:tcW w:type="pct" w:w="13%"/>
            <w:shd w:fill="1F3A5F" w:val="clear"/>
            <w:tcMar>
              <w:top w:type="dxa" w:w="60"/>
              <w:left w:type="dxa" w:w="90"/>
              <w:bottom w:type="dxa" w:w="60"/>
              <w:right w:type="dxa" w:w="90"/>
            </w:tcMar>
          </w:tcPr>
          <w:p>
            <w:pPr>
              <w:spacing w:after="0"/>
            </w:pPr>
            <w:r>
              <w:rPr>
                <w:b/>
                <w:bCs/>
                <w:color w:val="FFFFFF"/>
                <w:sz w:val="18"/>
                <w:szCs w:val="18"/>
              </w:rPr>
              <w:t xml:space="preserve">Nature</w:t>
            </w:r>
          </w:p>
        </w:tc>
        <w:tc>
          <w:tcPr>
            <w:tcW w:type="pct" w:w="25%"/>
            <w:shd w:fill="1F3A5F" w:val="clear"/>
            <w:tcMar>
              <w:top w:type="dxa" w:w="60"/>
              <w:left w:type="dxa" w:w="90"/>
              <w:bottom w:type="dxa" w:w="60"/>
              <w:right w:type="dxa" w:w="90"/>
            </w:tcMar>
          </w:tcPr>
          <w:p>
            <w:pPr>
              <w:spacing w:after="0"/>
            </w:pPr>
            <w:r>
              <w:rPr>
                <w:b/>
                <w:bCs/>
                <w:color w:val="FFFFFF"/>
                <w:sz w:val="18"/>
                <w:szCs w:val="18"/>
              </w:rPr>
              <w:t xml:space="preserve">Notre choix</w:t>
            </w:r>
          </w:p>
        </w:tc>
        <w:tc>
          <w:tcPr>
            <w:tcW w:type="pct" w:w="17%"/>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T-01</w:t>
            </w:r>
          </w:p>
        </w:tc>
        <w:tc>
          <w:tcPr>
            <w:tcW w:type="pct" w:w="38%"/>
            <w:tcMar>
              <w:top w:type="dxa" w:w="60"/>
              <w:left w:type="dxa" w:w="90"/>
              <w:bottom w:type="dxa" w:w="60"/>
              <w:right w:type="dxa" w:w="90"/>
            </w:tcMar>
          </w:tcPr>
          <w:p>
            <w:pPr>
              <w:spacing w:after="0"/>
            </w:pPr>
            <w:r>
              <w:rPr>
                <w:b w:val="false"/>
                <w:bCs w:val="false"/>
                <w:color w:val="16191F"/>
                <w:sz w:val="17"/>
                <w:szCs w:val="17"/>
              </w:rPr>
              <w:t xml:space="preserve">Java (Spring Boot) ou Node.js (NestJS)</w:t>
            </w:r>
          </w:p>
        </w:tc>
        <w:tc>
          <w:tcPr>
            <w:tcW w:type="pct" w:w="13%"/>
            <w:tcMar>
              <w:top w:type="dxa" w:w="60"/>
              <w:left w:type="dxa" w:w="90"/>
              <w:bottom w:type="dxa" w:w="60"/>
              <w:right w:type="dxa" w:w="90"/>
            </w:tcMar>
          </w:tcPr>
          <w:p>
            <w:pPr>
              <w:spacing w:after="0"/>
            </w:pPr>
            <w:r>
              <w:rPr>
                <w:b w:val="false"/>
                <w:bCs w:val="false"/>
                <w:color w:val="16191F"/>
                <w:sz w:val="17"/>
                <w:szCs w:val="17"/>
              </w:rPr>
              <w:t xml:space="preserve">Alternative</w:t>
            </w:r>
          </w:p>
        </w:tc>
        <w:tc>
          <w:tcPr>
            <w:tcW w:type="pct" w:w="25%"/>
            <w:tcMar>
              <w:top w:type="dxa" w:w="60"/>
              <w:left w:type="dxa" w:w="90"/>
              <w:bottom w:type="dxa" w:w="60"/>
              <w:right w:type="dxa" w:w="90"/>
            </w:tcMar>
          </w:tcPr>
          <w:p>
            <w:pPr>
              <w:spacing w:after="0"/>
            </w:pPr>
            <w:r>
              <w:rPr>
                <w:b w:val="false"/>
                <w:bCs w:val="false"/>
                <w:color w:val="16191F"/>
                <w:sz w:val="17"/>
                <w:szCs w:val="17"/>
              </w:rPr>
              <w:t xml:space="preserve">NestJS / Node.js</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T-02</w:t>
            </w:r>
          </w:p>
        </w:tc>
        <w:tc>
          <w:tcPr>
            <w:tcW w:type="pct" w:w="38%"/>
            <w:tcMar>
              <w:top w:type="dxa" w:w="60"/>
              <w:left w:type="dxa" w:w="90"/>
              <w:bottom w:type="dxa" w:w="60"/>
              <w:right w:type="dxa" w:w="90"/>
            </w:tcMar>
          </w:tcPr>
          <w:p>
            <w:pPr>
              <w:spacing w:after="0"/>
            </w:pPr>
            <w:r>
              <w:rPr>
                <w:b w:val="false"/>
                <w:bCs w:val="false"/>
                <w:color w:val="16191F"/>
                <w:sz w:val="17"/>
                <w:szCs w:val="17"/>
              </w:rPr>
              <w:t xml:space="preserve">PostgreSQL (relationnel : utilisateurs/commandes)</w:t>
            </w:r>
          </w:p>
        </w:tc>
        <w:tc>
          <w:tcPr>
            <w:tcW w:type="pct" w:w="13%"/>
            <w:tcMar>
              <w:top w:type="dxa" w:w="60"/>
              <w:left w:type="dxa" w:w="90"/>
              <w:bottom w:type="dxa" w:w="60"/>
              <w:right w:type="dxa" w:w="90"/>
            </w:tcMar>
          </w:tcPr>
          <w:p>
            <w:pPr>
              <w:spacing w:after="0"/>
            </w:pPr>
            <w:r>
              <w:rPr>
                <w:b w:val="false"/>
                <w:bCs w:val="false"/>
                <w:color w:val="16191F"/>
                <w:sz w:val="17"/>
                <w:szCs w:val="17"/>
              </w:rPr>
              <w:t xml:space="preserve">Imposée</w:t>
            </w:r>
          </w:p>
        </w:tc>
        <w:tc>
          <w:tcPr>
            <w:tcW w:type="pct" w:w="25%"/>
            <w:tcMar>
              <w:top w:type="dxa" w:w="60"/>
              <w:left w:type="dxa" w:w="90"/>
              <w:bottom w:type="dxa" w:w="60"/>
              <w:right w:type="dxa" w:w="90"/>
            </w:tcMar>
          </w:tcPr>
          <w:p>
            <w:pPr>
              <w:spacing w:after="0"/>
            </w:pPr>
            <w:r>
              <w:rPr>
                <w:b w:val="false"/>
                <w:bCs w:val="false"/>
                <w:color w:val="16191F"/>
                <w:sz w:val="17"/>
                <w:szCs w:val="17"/>
              </w:rPr>
              <w:t xml:space="preserve">PostgreSQL via Amazon RDS</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T-03</w:t>
            </w:r>
          </w:p>
        </w:tc>
        <w:tc>
          <w:tcPr>
            <w:tcW w:type="pct" w:w="38%"/>
            <w:tcMar>
              <w:top w:type="dxa" w:w="60"/>
              <w:left w:type="dxa" w:w="90"/>
              <w:bottom w:type="dxa" w:w="60"/>
              <w:right w:type="dxa" w:w="90"/>
            </w:tcMar>
          </w:tcPr>
          <w:p>
            <w:pPr>
              <w:spacing w:after="0"/>
            </w:pPr>
            <w:r>
              <w:rPr>
                <w:b w:val="false"/>
                <w:bCs w:val="false"/>
                <w:color w:val="16191F"/>
                <w:sz w:val="17"/>
                <w:szCs w:val="17"/>
              </w:rPr>
              <w:t xml:space="preserve">MongoDB (NoSQL : catalogue)</w:t>
            </w:r>
          </w:p>
        </w:tc>
        <w:tc>
          <w:tcPr>
            <w:tcW w:type="pct" w:w="13%"/>
            <w:tcMar>
              <w:top w:type="dxa" w:w="60"/>
              <w:left w:type="dxa" w:w="90"/>
              <w:bottom w:type="dxa" w:w="60"/>
              <w:right w:type="dxa" w:w="90"/>
            </w:tcMar>
          </w:tcPr>
          <w:p>
            <w:pPr>
              <w:spacing w:after="0"/>
            </w:pPr>
            <w:r>
              <w:rPr>
                <w:b w:val="false"/>
                <w:bCs w:val="false"/>
                <w:color w:val="16191F"/>
                <w:sz w:val="17"/>
                <w:szCs w:val="17"/>
              </w:rPr>
              <w:t xml:space="preserve">Imposée</w:t>
            </w:r>
          </w:p>
        </w:tc>
        <w:tc>
          <w:tcPr>
            <w:tcW w:type="pct" w:w="25%"/>
            <w:tcMar>
              <w:top w:type="dxa" w:w="60"/>
              <w:left w:type="dxa" w:w="90"/>
              <w:bottom w:type="dxa" w:w="60"/>
              <w:right w:type="dxa" w:w="90"/>
            </w:tcMar>
          </w:tcPr>
          <w:p>
            <w:pPr>
              <w:spacing w:after="0"/>
            </w:pPr>
            <w:r>
              <w:rPr>
                <w:b w:val="false"/>
                <w:bCs w:val="false"/>
                <w:color w:val="16191F"/>
                <w:sz w:val="17"/>
                <w:szCs w:val="17"/>
              </w:rPr>
              <w:t xml:space="preserve">MongoDB auto-hébergé (StatefulSet)</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T-04</w:t>
            </w:r>
          </w:p>
        </w:tc>
        <w:tc>
          <w:tcPr>
            <w:tcW w:type="pct" w:w="38%"/>
            <w:tcMar>
              <w:top w:type="dxa" w:w="60"/>
              <w:left w:type="dxa" w:w="90"/>
              <w:bottom w:type="dxa" w:w="60"/>
              <w:right w:type="dxa" w:w="90"/>
            </w:tcMar>
          </w:tcPr>
          <w:p>
            <w:pPr>
              <w:spacing w:after="0"/>
            </w:pPr>
            <w:r>
              <w:rPr>
                <w:b w:val="false"/>
                <w:bCs w:val="false"/>
                <w:color w:val="16191F"/>
                <w:sz w:val="17"/>
                <w:szCs w:val="17"/>
              </w:rPr>
              <w:t xml:space="preserve">Redis (cache pour le panier)</w:t>
            </w:r>
          </w:p>
        </w:tc>
        <w:tc>
          <w:tcPr>
            <w:tcW w:type="pct" w:w="13%"/>
            <w:tcMar>
              <w:top w:type="dxa" w:w="60"/>
              <w:left w:type="dxa" w:w="90"/>
              <w:bottom w:type="dxa" w:w="60"/>
              <w:right w:type="dxa" w:w="90"/>
            </w:tcMar>
          </w:tcPr>
          <w:p>
            <w:pPr>
              <w:spacing w:after="0"/>
            </w:pPr>
            <w:r>
              <w:rPr>
                <w:b w:val="false"/>
                <w:bCs w:val="false"/>
                <w:color w:val="16191F"/>
                <w:sz w:val="17"/>
                <w:szCs w:val="17"/>
              </w:rPr>
              <w:t xml:space="preserve">Imposée</w:t>
            </w:r>
          </w:p>
        </w:tc>
        <w:tc>
          <w:tcPr>
            <w:tcW w:type="pct" w:w="25%"/>
            <w:tcMar>
              <w:top w:type="dxa" w:w="60"/>
              <w:left w:type="dxa" w:w="90"/>
              <w:bottom w:type="dxa" w:w="60"/>
              <w:right w:type="dxa" w:w="90"/>
            </w:tcMar>
          </w:tcPr>
          <w:p>
            <w:pPr>
              <w:spacing w:after="0"/>
            </w:pPr>
            <w:r>
              <w:rPr>
                <w:b w:val="false"/>
                <w:bCs w:val="false"/>
                <w:color w:val="16191F"/>
                <w:sz w:val="17"/>
                <w:szCs w:val="17"/>
              </w:rPr>
              <w:t xml:space="preserve">Redis auto-hébergé (StatefulSet)</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T-05</w:t>
            </w:r>
          </w:p>
        </w:tc>
        <w:tc>
          <w:tcPr>
            <w:tcW w:type="pct" w:w="38%"/>
            <w:tcMar>
              <w:top w:type="dxa" w:w="60"/>
              <w:left w:type="dxa" w:w="90"/>
              <w:bottom w:type="dxa" w:w="60"/>
              <w:right w:type="dxa" w:w="90"/>
            </w:tcMar>
          </w:tcPr>
          <w:p>
            <w:pPr>
              <w:spacing w:after="0"/>
            </w:pPr>
            <w:r>
              <w:rPr>
                <w:b w:val="false"/>
                <w:bCs w:val="false"/>
                <w:color w:val="16191F"/>
                <w:sz w:val="17"/>
                <w:szCs w:val="17"/>
              </w:rPr>
              <w:t xml:space="preserve">Docker + Kubernetes (Minikube ou EKS/AKS)</w:t>
            </w:r>
          </w:p>
        </w:tc>
        <w:tc>
          <w:tcPr>
            <w:tcW w:type="pct" w:w="13%"/>
            <w:tcMar>
              <w:top w:type="dxa" w:w="60"/>
              <w:left w:type="dxa" w:w="90"/>
              <w:bottom w:type="dxa" w:w="60"/>
              <w:right w:type="dxa" w:w="90"/>
            </w:tcMar>
          </w:tcPr>
          <w:p>
            <w:pPr>
              <w:spacing w:after="0"/>
            </w:pPr>
            <w:r>
              <w:rPr>
                <w:b w:val="false"/>
                <w:bCs w:val="false"/>
                <w:color w:val="16191F"/>
                <w:sz w:val="17"/>
                <w:szCs w:val="17"/>
              </w:rPr>
              <w:t xml:space="preserve">Alternative</w:t>
            </w:r>
          </w:p>
        </w:tc>
        <w:tc>
          <w:tcPr>
            <w:tcW w:type="pct" w:w="25%"/>
            <w:tcMar>
              <w:top w:type="dxa" w:w="60"/>
              <w:left w:type="dxa" w:w="90"/>
              <w:bottom w:type="dxa" w:w="60"/>
              <w:right w:type="dxa" w:w="90"/>
            </w:tcMar>
          </w:tcPr>
          <w:p>
            <w:pPr>
              <w:spacing w:after="0"/>
            </w:pPr>
            <w:r>
              <w:rPr>
                <w:b w:val="false"/>
                <w:bCs w:val="false"/>
                <w:color w:val="16191F"/>
                <w:sz w:val="17"/>
                <w:szCs w:val="17"/>
              </w:rPr>
              <w:t xml:space="preserve">Minikube en local, Amazon EKS en cible</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T-06</w:t>
            </w:r>
          </w:p>
        </w:tc>
        <w:tc>
          <w:tcPr>
            <w:tcW w:type="pct" w:w="38%"/>
            <w:tcMar>
              <w:top w:type="dxa" w:w="60"/>
              <w:left w:type="dxa" w:w="90"/>
              <w:bottom w:type="dxa" w:w="60"/>
              <w:right w:type="dxa" w:w="90"/>
            </w:tcMar>
          </w:tcPr>
          <w:p>
            <w:pPr>
              <w:spacing w:after="0"/>
            </w:pPr>
            <w:r>
              <w:rPr>
                <w:b w:val="false"/>
                <w:bCs w:val="false"/>
                <w:color w:val="16191F"/>
                <w:sz w:val="17"/>
                <w:szCs w:val="17"/>
              </w:rPr>
              <w:t xml:space="preserve">AWS ou Azure</w:t>
            </w:r>
          </w:p>
        </w:tc>
        <w:tc>
          <w:tcPr>
            <w:tcW w:type="pct" w:w="13%"/>
            <w:tcMar>
              <w:top w:type="dxa" w:w="60"/>
              <w:left w:type="dxa" w:w="90"/>
              <w:bottom w:type="dxa" w:w="60"/>
              <w:right w:type="dxa" w:w="90"/>
            </w:tcMar>
          </w:tcPr>
          <w:p>
            <w:pPr>
              <w:spacing w:after="0"/>
            </w:pPr>
            <w:r>
              <w:rPr>
                <w:b w:val="false"/>
                <w:bCs w:val="false"/>
                <w:color w:val="16191F"/>
                <w:sz w:val="17"/>
                <w:szCs w:val="17"/>
              </w:rPr>
              <w:t xml:space="preserve">Alternative</w:t>
            </w:r>
          </w:p>
        </w:tc>
        <w:tc>
          <w:tcPr>
            <w:tcW w:type="pct" w:w="25%"/>
            <w:tcMar>
              <w:top w:type="dxa" w:w="60"/>
              <w:left w:type="dxa" w:w="90"/>
              <w:bottom w:type="dxa" w:w="60"/>
              <w:right w:type="dxa" w:w="90"/>
            </w:tcMar>
          </w:tcPr>
          <w:p>
            <w:pPr>
              <w:spacing w:after="0"/>
            </w:pPr>
            <w:r>
              <w:rPr>
                <w:b w:val="false"/>
                <w:bCs w:val="false"/>
                <w:color w:val="16191F"/>
                <w:sz w:val="17"/>
                <w:szCs w:val="17"/>
              </w:rPr>
              <w:t xml:space="preserve">AWS (région eu-west-3)</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T-07</w:t>
            </w:r>
          </w:p>
        </w:tc>
        <w:tc>
          <w:tcPr>
            <w:tcW w:type="pct" w:w="38%"/>
            <w:tcMar>
              <w:top w:type="dxa" w:w="60"/>
              <w:left w:type="dxa" w:w="90"/>
              <w:bottom w:type="dxa" w:w="60"/>
              <w:right w:type="dxa" w:w="90"/>
            </w:tcMar>
          </w:tcPr>
          <w:p>
            <w:pPr>
              <w:spacing w:after="0"/>
            </w:pPr>
            <w:r>
              <w:rPr>
                <w:b w:val="false"/>
                <w:bCs w:val="false"/>
                <w:color w:val="16191F"/>
                <w:sz w:val="17"/>
                <w:szCs w:val="17"/>
              </w:rPr>
              <w:t xml:space="preserve">Communication : REST, gRPC ou messagerie async (RabbitMQ/Kafka)</w:t>
            </w:r>
          </w:p>
        </w:tc>
        <w:tc>
          <w:tcPr>
            <w:tcW w:type="pct" w:w="13%"/>
            <w:tcMar>
              <w:top w:type="dxa" w:w="60"/>
              <w:left w:type="dxa" w:w="90"/>
              <w:bottom w:type="dxa" w:w="60"/>
              <w:right w:type="dxa" w:w="90"/>
            </w:tcMar>
          </w:tcPr>
          <w:p>
            <w:pPr>
              <w:spacing w:after="0"/>
            </w:pPr>
            <w:r>
              <w:rPr>
                <w:b w:val="false"/>
                <w:bCs w:val="false"/>
                <w:color w:val="16191F"/>
                <w:sz w:val="17"/>
                <w:szCs w:val="17"/>
              </w:rPr>
              <w:t xml:space="preserve">Alternative</w:t>
            </w:r>
          </w:p>
        </w:tc>
        <w:tc>
          <w:tcPr>
            <w:tcW w:type="pct" w:w="25%"/>
            <w:tcMar>
              <w:top w:type="dxa" w:w="60"/>
              <w:left w:type="dxa" w:w="90"/>
              <w:bottom w:type="dxa" w:w="60"/>
              <w:right w:type="dxa" w:w="90"/>
            </w:tcMar>
          </w:tcPr>
          <w:p>
            <w:pPr>
              <w:spacing w:after="0"/>
            </w:pPr>
            <w:r>
              <w:rPr>
                <w:b w:val="false"/>
                <w:bCs w:val="false"/>
                <w:color w:val="16191F"/>
                <w:sz w:val="17"/>
                <w:szCs w:val="17"/>
              </w:rPr>
              <w:t xml:space="preserve">REST synchrone + RabbitMQ asynchrone</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T-08</w:t>
            </w:r>
          </w:p>
        </w:tc>
        <w:tc>
          <w:tcPr>
            <w:tcW w:type="pct" w:w="38%"/>
            <w:tcMar>
              <w:top w:type="dxa" w:w="60"/>
              <w:left w:type="dxa" w:w="90"/>
              <w:bottom w:type="dxa" w:w="60"/>
              <w:right w:type="dxa" w:w="90"/>
            </w:tcMar>
          </w:tcPr>
          <w:p>
            <w:pPr>
              <w:spacing w:after="0"/>
            </w:pPr>
            <w:r>
              <w:rPr>
                <w:b w:val="false"/>
                <w:bCs w:val="false"/>
                <w:color w:val="16191F"/>
                <w:sz w:val="17"/>
                <w:szCs w:val="17"/>
              </w:rPr>
              <w:t xml:space="preserve">API Gateway : Kong ou Spring Cloud Gateway</w:t>
            </w:r>
          </w:p>
        </w:tc>
        <w:tc>
          <w:tcPr>
            <w:tcW w:type="pct" w:w="13%"/>
            <w:tcMar>
              <w:top w:type="dxa" w:w="60"/>
              <w:left w:type="dxa" w:w="90"/>
              <w:bottom w:type="dxa" w:w="60"/>
              <w:right w:type="dxa" w:w="90"/>
            </w:tcMar>
          </w:tcPr>
          <w:p>
            <w:pPr>
              <w:spacing w:after="0"/>
            </w:pPr>
            <w:r>
              <w:rPr>
                <w:b w:val="false"/>
                <w:bCs w:val="false"/>
                <w:color w:val="16191F"/>
                <w:sz w:val="17"/>
                <w:szCs w:val="17"/>
              </w:rPr>
              <w:t xml:space="preserve">Alternative</w:t>
            </w:r>
          </w:p>
        </w:tc>
        <w:tc>
          <w:tcPr>
            <w:tcW w:type="pct" w:w="25%"/>
            <w:tcMar>
              <w:top w:type="dxa" w:w="60"/>
              <w:left w:type="dxa" w:w="90"/>
              <w:bottom w:type="dxa" w:w="60"/>
              <w:right w:type="dxa" w:w="90"/>
            </w:tcMar>
          </w:tcPr>
          <w:p>
            <w:pPr>
              <w:spacing w:after="0"/>
            </w:pPr>
            <w:r>
              <w:rPr>
                <w:b w:val="false"/>
                <w:bCs w:val="false"/>
                <w:color w:val="16191F"/>
                <w:sz w:val="17"/>
                <w:szCs w:val="17"/>
              </w:rPr>
              <w:t xml:space="preserve">Kong + Kong Ingress Controller</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T-09</w:t>
            </w:r>
          </w:p>
        </w:tc>
        <w:tc>
          <w:tcPr>
            <w:tcW w:type="pct" w:w="38%"/>
            <w:tcMar>
              <w:top w:type="dxa" w:w="60"/>
              <w:left w:type="dxa" w:w="90"/>
              <w:bottom w:type="dxa" w:w="60"/>
              <w:right w:type="dxa" w:w="90"/>
            </w:tcMar>
          </w:tcPr>
          <w:p>
            <w:pPr>
              <w:spacing w:after="0"/>
            </w:pPr>
            <w:r>
              <w:rPr>
                <w:b w:val="false"/>
                <w:bCs w:val="false"/>
                <w:color w:val="16191F"/>
                <w:sz w:val="17"/>
                <w:szCs w:val="17"/>
              </w:rPr>
              <w:t xml:space="preserve">Sécurité : OAuth2 / JWT</w:t>
            </w:r>
          </w:p>
        </w:tc>
        <w:tc>
          <w:tcPr>
            <w:tcW w:type="pct" w:w="13%"/>
            <w:tcMar>
              <w:top w:type="dxa" w:w="60"/>
              <w:left w:type="dxa" w:w="90"/>
              <w:bottom w:type="dxa" w:w="60"/>
              <w:right w:type="dxa" w:w="90"/>
            </w:tcMar>
          </w:tcPr>
          <w:p>
            <w:pPr>
              <w:spacing w:after="0"/>
            </w:pPr>
            <w:r>
              <w:rPr>
                <w:b w:val="false"/>
                <w:bCs w:val="false"/>
                <w:color w:val="16191F"/>
                <w:sz w:val="17"/>
                <w:szCs w:val="17"/>
              </w:rPr>
              <w:t xml:space="preserve">Alternative</w:t>
            </w:r>
          </w:p>
        </w:tc>
        <w:tc>
          <w:tcPr>
            <w:tcW w:type="pct" w:w="25%"/>
            <w:tcMar>
              <w:top w:type="dxa" w:w="60"/>
              <w:left w:type="dxa" w:w="90"/>
              <w:bottom w:type="dxa" w:w="60"/>
              <w:right w:type="dxa" w:w="90"/>
            </w:tcMar>
          </w:tcPr>
          <w:p>
            <w:pPr>
              <w:spacing w:after="0"/>
            </w:pPr>
            <w:r>
              <w:rPr>
                <w:b w:val="false"/>
                <w:bCs w:val="false"/>
                <w:color w:val="16191F"/>
                <w:sz w:val="17"/>
                <w:szCs w:val="17"/>
              </w:rPr>
              <w:t xml:space="preserve">JWT (signé, validé par Kong)</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T-10</w:t>
            </w:r>
          </w:p>
        </w:tc>
        <w:tc>
          <w:tcPr>
            <w:tcW w:type="pct" w:w="38%"/>
            <w:tcMar>
              <w:top w:type="dxa" w:w="60"/>
              <w:left w:type="dxa" w:w="90"/>
              <w:bottom w:type="dxa" w:w="60"/>
              <w:right w:type="dxa" w:w="90"/>
            </w:tcMar>
          </w:tcPr>
          <w:p>
            <w:pPr>
              <w:spacing w:after="0"/>
            </w:pPr>
            <w:r>
              <w:rPr>
                <w:b w:val="false"/>
                <w:bCs w:val="false"/>
                <w:color w:val="16191F"/>
                <w:sz w:val="17"/>
                <w:szCs w:val="17"/>
              </w:rPr>
              <w:t xml:space="preserve">Git + GitHub Actions ou GitLab CI + Terraform</w:t>
            </w:r>
          </w:p>
        </w:tc>
        <w:tc>
          <w:tcPr>
            <w:tcW w:type="pct" w:w="13%"/>
            <w:tcMar>
              <w:top w:type="dxa" w:w="60"/>
              <w:left w:type="dxa" w:w="90"/>
              <w:bottom w:type="dxa" w:w="60"/>
              <w:right w:type="dxa" w:w="90"/>
            </w:tcMar>
          </w:tcPr>
          <w:p>
            <w:pPr>
              <w:spacing w:after="0"/>
            </w:pPr>
            <w:r>
              <w:rPr>
                <w:b w:val="false"/>
                <w:bCs w:val="false"/>
                <w:color w:val="16191F"/>
                <w:sz w:val="17"/>
                <w:szCs w:val="17"/>
              </w:rPr>
              <w:t xml:space="preserve">Alternative</w:t>
            </w:r>
          </w:p>
        </w:tc>
        <w:tc>
          <w:tcPr>
            <w:tcW w:type="pct" w:w="25%"/>
            <w:tcMar>
              <w:top w:type="dxa" w:w="60"/>
              <w:left w:type="dxa" w:w="90"/>
              <w:bottom w:type="dxa" w:w="60"/>
              <w:right w:type="dxa" w:w="90"/>
            </w:tcMar>
          </w:tcPr>
          <w:p>
            <w:pPr>
              <w:spacing w:after="0"/>
            </w:pPr>
            <w:r>
              <w:rPr>
                <w:b w:val="false"/>
                <w:bCs w:val="false"/>
                <w:color w:val="16191F"/>
                <w:sz w:val="17"/>
                <w:szCs w:val="17"/>
              </w:rPr>
              <w:t xml:space="preserve">Git/GitHub, GitHub Actions, Terraform</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T-11</w:t>
            </w:r>
          </w:p>
        </w:tc>
        <w:tc>
          <w:tcPr>
            <w:tcW w:type="pct" w:w="38%"/>
            <w:tcMar>
              <w:top w:type="dxa" w:w="60"/>
              <w:left w:type="dxa" w:w="90"/>
              <w:bottom w:type="dxa" w:w="60"/>
              <w:right w:type="dxa" w:w="90"/>
            </w:tcMar>
          </w:tcPr>
          <w:p>
            <w:pPr>
              <w:spacing w:after="0"/>
            </w:pPr>
            <w:r>
              <w:rPr>
                <w:b w:val="false"/>
                <w:bCs w:val="false"/>
                <w:color w:val="16191F"/>
                <w:sz w:val="17"/>
                <w:szCs w:val="17"/>
              </w:rPr>
              <w:t xml:space="preserve">Observabilité : Prometheus, Grafana, ELK ou Jaeger</w:t>
            </w:r>
          </w:p>
        </w:tc>
        <w:tc>
          <w:tcPr>
            <w:tcW w:type="pct" w:w="13%"/>
            <w:tcMar>
              <w:top w:type="dxa" w:w="60"/>
              <w:left w:type="dxa" w:w="90"/>
              <w:bottom w:type="dxa" w:w="60"/>
              <w:right w:type="dxa" w:w="90"/>
            </w:tcMar>
          </w:tcPr>
          <w:p>
            <w:pPr>
              <w:spacing w:after="0"/>
            </w:pPr>
            <w:r>
              <w:rPr>
                <w:b w:val="false"/>
                <w:bCs w:val="false"/>
                <w:color w:val="16191F"/>
                <w:sz w:val="17"/>
                <w:szCs w:val="17"/>
              </w:rPr>
              <w:t xml:space="preserve">Alternative</w:t>
            </w:r>
          </w:p>
        </w:tc>
        <w:tc>
          <w:tcPr>
            <w:tcW w:type="pct" w:w="25%"/>
            <w:tcMar>
              <w:top w:type="dxa" w:w="60"/>
              <w:left w:type="dxa" w:w="90"/>
              <w:bottom w:type="dxa" w:w="60"/>
              <w:right w:type="dxa" w:w="90"/>
            </w:tcMar>
          </w:tcPr>
          <w:p>
            <w:pPr>
              <w:spacing w:after="0"/>
            </w:pPr>
            <w:r>
              <w:rPr>
                <w:b w:val="false"/>
                <w:bCs w:val="false"/>
                <w:color w:val="16191F"/>
                <w:sz w:val="17"/>
                <w:szCs w:val="17"/>
              </w:rPr>
              <w:t xml:space="preserve">Les quatre (métriques, dashboards, logs, traces)</w:t>
            </w:r>
          </w:p>
        </w:tc>
        <w:tc>
          <w:tcPr>
            <w:tcW w:type="pct" w:w="17%"/>
            <w:tcMar>
              <w:top w:type="dxa" w:w="60"/>
              <w:left w:type="dxa" w:w="90"/>
              <w:bottom w:type="dxa" w:w="60"/>
              <w:right w:type="dxa" w:w="90"/>
            </w:tcMar>
          </w:tcPr>
          <w:p>
            <w:pPr>
              <w:spacing w:after="0"/>
            </w:pPr>
            <w:r>
              <w:rPr>
                <w:b/>
                <w:bCs/>
                <w:color w:val="2F7D32"/>
                <w:sz w:val="17"/>
                <w:szCs w:val="17"/>
              </w:rPr>
              <w:t xml:space="preserve">Couvert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T-12</w:t>
            </w:r>
          </w:p>
        </w:tc>
        <w:tc>
          <w:tcPr>
            <w:tcW w:type="pct" w:w="38%"/>
            <w:tcMar>
              <w:top w:type="dxa" w:w="60"/>
              <w:left w:type="dxa" w:w="90"/>
              <w:bottom w:type="dxa" w:w="60"/>
              <w:right w:type="dxa" w:w="90"/>
            </w:tcMar>
          </w:tcPr>
          <w:p>
            <w:pPr>
              <w:spacing w:after="0"/>
            </w:pPr>
            <w:r>
              <w:rPr>
                <w:b w:val="false"/>
                <w:bCs w:val="false"/>
                <w:color w:val="16191F"/>
                <w:sz w:val="17"/>
                <w:szCs w:val="17"/>
              </w:rPr>
              <w:t xml:space="preserve">Gestion de projet : Jira, Confluence</w:t>
            </w:r>
          </w:p>
        </w:tc>
        <w:tc>
          <w:tcPr>
            <w:tcW w:type="pct" w:w="13%"/>
            <w:tcMar>
              <w:top w:type="dxa" w:w="60"/>
              <w:left w:type="dxa" w:w="90"/>
              <w:bottom w:type="dxa" w:w="60"/>
              <w:right w:type="dxa" w:w="90"/>
            </w:tcMar>
          </w:tcPr>
          <w:p>
            <w:pPr>
              <w:spacing w:after="0"/>
            </w:pPr>
            <w:r>
              <w:rPr>
                <w:b w:val="false"/>
                <w:bCs w:val="false"/>
                <w:color w:val="16191F"/>
                <w:sz w:val="17"/>
                <w:szCs w:val="17"/>
              </w:rPr>
              <w:t xml:space="preserve">Imposée</w:t>
            </w:r>
          </w:p>
        </w:tc>
        <w:tc>
          <w:tcPr>
            <w:tcW w:type="pct" w:w="25%"/>
            <w:tcMar>
              <w:top w:type="dxa" w:w="60"/>
              <w:left w:type="dxa" w:w="90"/>
              <w:bottom w:type="dxa" w:w="60"/>
              <w:right w:type="dxa" w:w="90"/>
            </w:tcMar>
          </w:tcPr>
          <w:p>
            <w:pPr>
              <w:spacing w:after="0"/>
            </w:pPr>
            <w:r>
              <w:rPr>
                <w:b w:val="false"/>
                <w:bCs w:val="false"/>
                <w:color w:val="16191F"/>
                <w:sz w:val="17"/>
                <w:szCs w:val="17"/>
              </w:rPr>
              <w:t xml:space="preserve">Jira (accès fourni) — organisation à faire</w:t>
            </w:r>
          </w:p>
        </w:tc>
        <w:tc>
          <w:tcPr>
            <w:tcW w:type="pct" w:w="17%"/>
            <w:tcMar>
              <w:top w:type="dxa" w:w="60"/>
              <w:left w:type="dxa" w:w="90"/>
              <w:bottom w:type="dxa" w:w="60"/>
              <w:right w:type="dxa" w:w="90"/>
            </w:tcMar>
          </w:tcPr>
          <w:p>
            <w:pPr>
              <w:spacing w:after="0"/>
            </w:pPr>
            <w:r>
              <w:rPr>
                <w:b/>
                <w:bCs/>
                <w:color w:val="B85450"/>
                <w:sz w:val="17"/>
                <w:szCs w:val="17"/>
              </w:rPr>
              <w:t xml:space="preserve">À faire</w:t>
            </w:r>
          </w:p>
        </w:tc>
      </w:tr>
    </w:tbl>
    <w:p>
      <w:pPr>
        <w:spacing w:after="140"/>
      </w:pPr>
    </w:p>
    <w:p>
      <w:pPr>
        <w:pStyle w:val="Heading1"/>
        <w:spacing w:after="140" w:before="300"/>
      </w:pPr>
      <w:r>
        <w:t xml:space="preserve">3. Exigences fonctionnelles (critères d'acceptation des User Stories)</w:t>
      </w:r>
    </w:p>
    <w:p>
      <w:pPr>
        <w:spacing w:after="120"/>
        <w:jc w:val="both"/>
      </w:pPr>
      <w:r>
        <w:t xml:space="preserve">Ce sont les exigences les plus concrètes : chaque critère d'acceptation est un test que le projet devra passer. Elles constituent la matière première du backlog Jira (Jour 3).</w:t>
      </w:r>
    </w:p>
    <w:p>
      <w:pPr>
        <w:pStyle w:val="Heading2"/>
        <w:spacing w:after="100" w:before="220"/>
      </w:pPr>
      <w:r>
        <w:t xml:space="preserve">US 1.1 — Environnement de développement et CI/CD (Sprint 1, priorité Haute)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10%"/>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Critère d'acceptation</w:t>
            </w:r>
          </w:p>
        </w:tc>
        <w:tc>
          <w:tcPr>
            <w:tcW w:type="pct" w:w="30%"/>
            <w:shd w:fill="1F3A5F" w:val="clear"/>
            <w:tcMar>
              <w:top w:type="dxa" w:w="60"/>
              <w:left w:type="dxa" w:w="90"/>
              <w:bottom w:type="dxa" w:w="60"/>
              <w:right w:type="dxa" w:w="90"/>
            </w:tcMar>
          </w:tcPr>
          <w:p>
            <w:pPr>
              <w:spacing w:after="0"/>
            </w:pPr>
            <w:r>
              <w:rPr>
                <w:b/>
                <w:bCs/>
                <w:color w:val="FFFFFF"/>
                <w:sz w:val="18"/>
                <w:szCs w:val="18"/>
              </w:rPr>
              <w:t xml:space="preserve">Où c'est traité</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F-1.1.a</w:t>
            </w:r>
          </w:p>
        </w:tc>
        <w:tc>
          <w:tcPr>
            <w:tcW w:type="pct" w:w="42%"/>
            <w:tcMar>
              <w:top w:type="dxa" w:w="60"/>
              <w:left w:type="dxa" w:w="90"/>
              <w:bottom w:type="dxa" w:w="60"/>
              <w:right w:type="dxa" w:w="90"/>
            </w:tcMar>
          </w:tcPr>
          <w:p>
            <w:pPr>
              <w:spacing w:after="0"/>
            </w:pPr>
            <w:r>
              <w:rPr>
                <w:b w:val="false"/>
                <w:bCs w:val="false"/>
                <w:color w:val="16191F"/>
                <w:sz w:val="17"/>
                <w:szCs w:val="17"/>
              </w:rPr>
              <w:t xml:space="preserve">Dépôt Git initialisé avec structure multi-modules ou mono-repo adaptée</w:t>
            </w:r>
          </w:p>
        </w:tc>
        <w:tc>
          <w:tcPr>
            <w:tcW w:type="pct" w:w="30%"/>
            <w:tcMar>
              <w:top w:type="dxa" w:w="60"/>
              <w:left w:type="dxa" w:w="90"/>
              <w:bottom w:type="dxa" w:w="60"/>
              <w:right w:type="dxa" w:w="90"/>
            </w:tcMar>
          </w:tcPr>
          <w:p>
            <w:pPr>
              <w:spacing w:after="0"/>
            </w:pPr>
            <w:r>
              <w:rPr>
                <w:b w:val="false"/>
                <w:bCs w:val="false"/>
                <w:color w:val="16191F"/>
                <w:sz w:val="17"/>
                <w:szCs w:val="17"/>
              </w:rPr>
              <w:t xml:space="preserve">Choix mono-repo acté (ADR)</w:t>
            </w:r>
          </w:p>
        </w:tc>
        <w:tc>
          <w:tcPr>
            <w:tcW w:type="pct" w:w="18%"/>
            <w:tcMar>
              <w:top w:type="dxa" w:w="60"/>
              <w:left w:type="dxa" w:w="90"/>
              <w:bottom w:type="dxa" w:w="60"/>
              <w:right w:type="dxa" w:w="90"/>
            </w:tcMar>
          </w:tcPr>
          <w:p>
            <w:pPr>
              <w:spacing w:after="0"/>
            </w:pPr>
            <w:r>
              <w:rPr>
                <w:b/>
                <w:bCs/>
                <w:color w:val="B36B00"/>
                <w:sz w:val="17"/>
                <w:szCs w:val="17"/>
              </w:rPr>
              <w:t xml:space="preserve">Partiel — décidé, non initialisé</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F-1.1.b</w:t>
            </w:r>
          </w:p>
        </w:tc>
        <w:tc>
          <w:tcPr>
            <w:tcW w:type="pct" w:w="42%"/>
            <w:tcMar>
              <w:top w:type="dxa" w:w="60"/>
              <w:left w:type="dxa" w:w="90"/>
              <w:bottom w:type="dxa" w:w="60"/>
              <w:right w:type="dxa" w:w="90"/>
            </w:tcMar>
          </w:tcPr>
          <w:p>
            <w:pPr>
              <w:spacing w:after="0"/>
            </w:pPr>
            <w:r>
              <w:rPr>
                <w:b w:val="false"/>
                <w:bCs w:val="false"/>
                <w:color w:val="16191F"/>
                <w:sz w:val="17"/>
                <w:szCs w:val="17"/>
              </w:rPr>
              <w:t xml:space="preserve">Pipeline CI configurée : compilation + tests unitaires</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(GitHub Actions)</w:t>
            </w:r>
          </w:p>
        </w:tc>
        <w:tc>
          <w:tcPr>
            <w:tcW w:type="pct" w:w="18%"/>
            <w:tcMar>
              <w:top w:type="dxa" w:w="60"/>
              <w:left w:type="dxa" w:w="90"/>
              <w:bottom w:type="dxa" w:w="60"/>
              <w:right w:type="dxa" w:w="90"/>
            </w:tcMar>
          </w:tcPr>
          <w:p>
            <w:pPr>
              <w:spacing w:after="0"/>
            </w:pPr>
            <w:r>
              <w:rPr>
                <w:b/>
                <w:bCs/>
                <w:color w:val="B85450"/>
                <w:sz w:val="17"/>
                <w:szCs w:val="17"/>
              </w:rPr>
              <w:t xml:space="preserve">À faire</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F-1.1.c</w:t>
            </w:r>
          </w:p>
        </w:tc>
        <w:tc>
          <w:tcPr>
            <w:tcW w:type="pct" w:w="42%"/>
            <w:tcMar>
              <w:top w:type="dxa" w:w="60"/>
              <w:left w:type="dxa" w:w="90"/>
              <w:bottom w:type="dxa" w:w="60"/>
              <w:right w:type="dxa" w:w="90"/>
            </w:tcMar>
          </w:tcPr>
          <w:p>
            <w:pPr>
              <w:spacing w:after="0"/>
            </w:pPr>
            <w:r>
              <w:rPr>
                <w:b w:val="false"/>
                <w:bCs w:val="false"/>
                <w:color w:val="16191F"/>
                <w:sz w:val="17"/>
                <w:szCs w:val="17"/>
              </w:rPr>
              <w:t xml:space="preserve">La pipeline construit une image Docker et la pousse vers un registry (ECR)</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(flux push vers ECR)</w:t>
            </w:r>
          </w:p>
        </w:tc>
        <w:tc>
          <w:tcPr>
            <w:tcW w:type="pct" w:w="18%"/>
            <w:tcMar>
              <w:top w:type="dxa" w:w="60"/>
              <w:left w:type="dxa" w:w="90"/>
              <w:bottom w:type="dxa" w:w="60"/>
              <w:right w:type="dxa" w:w="90"/>
            </w:tcMar>
          </w:tcPr>
          <w:p>
            <w:pPr>
              <w:spacing w:after="0"/>
            </w:pPr>
            <w:r>
              <w:rPr>
                <w:b/>
                <w:bCs/>
                <w:color w:val="B36B00"/>
                <w:sz w:val="17"/>
                <w:szCs w:val="17"/>
              </w:rPr>
              <w:t xml:space="preserve">Partiel — modélisé, non implémenté</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F-1.1.d</w:t>
            </w:r>
          </w:p>
        </w:tc>
        <w:tc>
          <w:tcPr>
            <w:tcW w:type="pct" w:w="42%"/>
            <w:tcMar>
              <w:top w:type="dxa" w:w="60"/>
              <w:left w:type="dxa" w:w="90"/>
              <w:bottom w:type="dxa" w:w="60"/>
              <w:right w:type="dxa" w:w="90"/>
            </w:tcMar>
          </w:tcPr>
          <w:p>
            <w:pPr>
              <w:spacing w:after="0"/>
            </w:pPr>
            <w:r>
              <w:rPr>
                <w:b w:val="false"/>
                <w:bCs w:val="false"/>
                <w:color w:val="16191F"/>
                <w:sz w:val="17"/>
                <w:szCs w:val="17"/>
              </w:rPr>
              <w:t xml:space="preserve">Un linter et un outil d'analyse de code (ex. SonarQube) intégrés à la pipeline</w:t>
            </w:r>
          </w:p>
        </w:tc>
        <w:tc>
          <w:tcPr>
            <w:tcW w:type="pct" w:w="30%"/>
            <w:tcMar>
              <w:top w:type="dxa" w:w="60"/>
              <w:left w:type="dxa" w:w="90"/>
              <w:bottom w:type="dxa" w:w="60"/>
              <w:right w:type="dxa" w:w="90"/>
            </w:tcMar>
          </w:tcPr>
          <w:p>
            <w:pPr>
              <w:spacing w:after="0"/>
            </w:pPr>
            <w:r>
              <w:rPr>
                <w:b w:val="false"/>
                <w:bCs w:val="false"/>
                <w:color w:val="16191F"/>
                <w:sz w:val="17"/>
                <w:szCs w:val="17"/>
              </w:rPr>
              <w:t xml:space="preserve">Cité dans le document de coûts (SonarQube Community)</w:t>
            </w:r>
          </w:p>
        </w:tc>
        <w:tc>
          <w:tcPr>
            <w:tcW w:type="pct" w:w="18%"/>
            <w:tcMar>
              <w:top w:type="dxa" w:w="60"/>
              <w:left w:type="dxa" w:w="90"/>
              <w:bottom w:type="dxa" w:w="60"/>
              <w:right w:type="dxa" w:w="90"/>
            </w:tcMar>
          </w:tcPr>
          <w:p>
            <w:pPr>
              <w:spacing w:after="0"/>
            </w:pPr>
            <w:r>
              <w:rPr>
                <w:b/>
                <w:bCs/>
                <w:color w:val="B85450"/>
                <w:sz w:val="17"/>
                <w:szCs w:val="17"/>
              </w:rPr>
              <w:t xml:space="preserve">À faire — aucun ADR, non modélisé</w:t>
            </w:r>
          </w:p>
        </w:tc>
      </w:tr>
    </w:tbl>
    <w:p>
      <w:pPr>
        <w:spacing w:after="140"/>
      </w:pPr>
    </w:p>
    <w:p>
      <w:pPr>
        <w:pStyle w:val="Heading2"/>
        <w:spacing w:after="100" w:before="220"/>
      </w:pPr>
      <w:r>
        <w:t xml:space="preserve">US 1.2 — API Gateway et Service Discovery (Sprint 1, priorité Haute)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10%"/>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Critère d'acceptation</w:t>
            </w:r>
          </w:p>
        </w:tc>
        <w:tc>
          <w:tcPr>
            <w:tcW w:type="pct" w:w="30%"/>
            <w:shd w:fill="1F3A5F" w:val="clear"/>
            <w:tcMar>
              <w:top w:type="dxa" w:w="60"/>
              <w:left w:type="dxa" w:w="90"/>
              <w:bottom w:type="dxa" w:w="60"/>
              <w:right w:type="dxa" w:w="90"/>
            </w:tcMar>
          </w:tcPr>
          <w:p>
            <w:pPr>
              <w:spacing w:after="0"/>
            </w:pPr>
            <w:r>
              <w:rPr>
                <w:b/>
                <w:bCs/>
                <w:color w:val="FFFFFF"/>
                <w:sz w:val="18"/>
                <w:szCs w:val="18"/>
              </w:rPr>
              <w:t xml:space="preserve">Où c'est traité</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F-1.2.a</w:t>
            </w:r>
          </w:p>
        </w:tc>
        <w:tc>
          <w:tcPr>
            <w:tcW w:type="pct" w:w="42%"/>
            <w:tcMar>
              <w:top w:type="dxa" w:w="60"/>
              <w:left w:type="dxa" w:w="90"/>
              <w:bottom w:type="dxa" w:w="60"/>
              <w:right w:type="dxa" w:w="90"/>
            </w:tcMar>
          </w:tcPr>
          <w:p>
            <w:pPr>
              <w:spacing w:after="0"/>
            </w:pPr>
            <w:r>
              <w:rPr>
                <w:b w:val="false"/>
                <w:bCs w:val="false"/>
                <w:color w:val="16191F"/>
                <w:sz w:val="17"/>
                <w:szCs w:val="17"/>
              </w:rPr>
              <w:t xml:space="preserve">L'API Gateway est déployée et accessible</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(Kong dans namespace gateway, exposé par l'ALB)</w:t>
            </w:r>
          </w:p>
        </w:tc>
        <w:tc>
          <w:tcPr>
            <w:tcW w:type="pct" w:w="18%"/>
            <w:tcMar>
              <w:top w:type="dxa" w:w="60"/>
              <w:left w:type="dxa" w:w="90"/>
              <w:bottom w:type="dxa" w:w="60"/>
              <w:right w:type="dxa" w:w="90"/>
            </w:tcMar>
          </w:tcPr>
          <w:p>
            <w:pPr>
              <w:spacing w:after="0"/>
            </w:pPr>
            <w:r>
              <w:rPr>
                <w:b/>
                <w:bCs/>
                <w:color w:val="B36B00"/>
                <w:sz w:val="17"/>
                <w:szCs w:val="17"/>
              </w:rPr>
              <w:t xml:space="preserve">Partiel — modélisé</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F-1.2.b</w:t>
            </w:r>
          </w:p>
        </w:tc>
        <w:tc>
          <w:tcPr>
            <w:tcW w:type="pct" w:w="42%"/>
            <w:tcMar>
              <w:top w:type="dxa" w:w="60"/>
              <w:left w:type="dxa" w:w="90"/>
              <w:bottom w:type="dxa" w:w="60"/>
              <w:right w:type="dxa" w:w="90"/>
            </w:tcMar>
          </w:tcPr>
          <w:p>
            <w:pPr>
              <w:spacing w:after="0"/>
            </w:pPr>
            <w:r>
              <w:rPr>
                <w:b w:val="false"/>
                <w:bCs w:val="false"/>
                <w:color w:val="16191F"/>
                <w:sz w:val="17"/>
                <w:szCs w:val="17"/>
              </w:rPr>
              <w:t xml:space="preserve">Un mécanisme de Service Discovery (Eureka ou DNS Kubernetes) est configuré</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(CoreDNS)</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F-1.2.c</w:t>
            </w:r>
          </w:p>
        </w:tc>
        <w:tc>
          <w:tcPr>
            <w:tcW w:type="pct" w:w="42%"/>
            <w:tcMar>
              <w:top w:type="dxa" w:w="60"/>
              <w:left w:type="dxa" w:w="90"/>
              <w:bottom w:type="dxa" w:w="60"/>
              <w:right w:type="dxa" w:w="90"/>
            </w:tcMar>
          </w:tcPr>
          <w:p>
            <w:pPr>
              <w:spacing w:after="0"/>
            </w:pPr>
            <w:r>
              <w:rPr>
                <w:b w:val="false"/>
                <w:bCs w:val="false"/>
                <w:color w:val="16191F"/>
                <w:sz w:val="17"/>
                <w:szCs w:val="17"/>
              </w:rPr>
              <w:t xml:space="preserve">Les requêtes HTTP entrantes sur /api/v1* sont correctement routées</w:t>
            </w:r>
          </w:p>
        </w:tc>
        <w:tc>
          <w:tcPr>
            <w:tcW w:type="pct" w:w="30%"/>
            <w:tcMar>
              <w:top w:type="dxa" w:w="60"/>
              <w:left w:type="dxa" w:w="90"/>
              <w:bottom w:type="dxa" w:w="60"/>
              <w:right w:type="dxa" w:w="90"/>
            </w:tcMar>
          </w:tcPr>
          <w:p>
            <w:pPr>
              <w:spacing w:after="0"/>
            </w:pPr>
            <w:r>
              <w:rPr>
                <w:b w:val="false"/>
                <w:bCs w:val="false"/>
                <w:color w:val="16191F"/>
                <w:sz w:val="17"/>
                <w:szCs w:val="17"/>
              </w:rPr>
              <w:t xml:space="preserve">Kong assure le routage — préfixe /api/v1 à formaliser</w:t>
            </w:r>
          </w:p>
        </w:tc>
        <w:tc>
          <w:tcPr>
            <w:tcW w:type="pct" w:w="18%"/>
            <w:tcMar>
              <w:top w:type="dxa" w:w="60"/>
              <w:left w:type="dxa" w:w="90"/>
              <w:bottom w:type="dxa" w:w="60"/>
              <w:right w:type="dxa" w:w="90"/>
            </w:tcMar>
          </w:tcPr>
          <w:p>
            <w:pPr>
              <w:spacing w:after="0"/>
            </w:pPr>
            <w:r>
              <w:rPr>
                <w:b/>
                <w:bCs/>
                <w:color w:val="B36B00"/>
                <w:sz w:val="17"/>
                <w:szCs w:val="17"/>
              </w:rPr>
              <w:t xml:space="preserve">Partiel — préfixe absent de nos diagrammes</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F-1.2.d</w:t>
            </w:r>
          </w:p>
        </w:tc>
        <w:tc>
          <w:tcPr>
            <w:tcW w:type="pct" w:w="42%"/>
            <w:tcMar>
              <w:top w:type="dxa" w:w="60"/>
              <w:left w:type="dxa" w:w="90"/>
              <w:bottom w:type="dxa" w:w="60"/>
              <w:right w:type="dxa" w:w="90"/>
            </w:tcMar>
          </w:tcPr>
          <w:p>
            <w:pPr>
              <w:spacing w:after="0"/>
            </w:pPr>
            <w:r>
              <w:rPr>
                <w:b w:val="false"/>
                <w:bCs w:val="false"/>
                <w:color w:val="16191F"/>
                <w:sz w:val="17"/>
                <w:szCs w:val="17"/>
              </w:rPr>
              <w:t xml:space="preserve">Une limitation de taux (Rate Limiting) basique protège les services</w:t>
            </w:r>
          </w:p>
        </w:tc>
        <w:tc>
          <w:tcPr>
            <w:tcW w:type="pct" w:w="30%"/>
            <w:tcMar>
              <w:top w:type="dxa" w:w="60"/>
              <w:left w:type="dxa" w:w="90"/>
              <w:bottom w:type="dxa" w:w="60"/>
              <w:right w:type="dxa" w:w="90"/>
            </w:tcMar>
          </w:tcPr>
          <w:p>
            <w:pPr>
              <w:spacing w:after="0"/>
            </w:pPr>
            <w:r>
              <w:rPr>
                <w:b w:val="false"/>
                <w:bCs w:val="false"/>
                <w:color w:val="16191F"/>
                <w:sz w:val="17"/>
                <w:szCs w:val="17"/>
              </w:rPr>
              <w:t xml:space="preserve">Kong (rate limiting) — cité, non paramétré</w:t>
            </w:r>
          </w:p>
        </w:tc>
        <w:tc>
          <w:tcPr>
            <w:tcW w:type="pct" w:w="18%"/>
            <w:tcMar>
              <w:top w:type="dxa" w:w="60"/>
              <w:left w:type="dxa" w:w="90"/>
              <w:bottom w:type="dxa" w:w="60"/>
              <w:right w:type="dxa" w:w="90"/>
            </w:tcMar>
          </w:tcPr>
          <w:p>
            <w:pPr>
              <w:spacing w:after="0"/>
            </w:pPr>
            <w:r>
              <w:rPr>
                <w:b/>
                <w:bCs/>
                <w:color w:val="B36B00"/>
                <w:sz w:val="17"/>
                <w:szCs w:val="17"/>
              </w:rPr>
              <w:t xml:space="preserve">Partiel</w:t>
            </w:r>
          </w:p>
        </w:tc>
      </w:tr>
    </w:tbl>
    <w:p>
      <w:pPr>
        <w:spacing w:after="140"/>
      </w:pPr>
    </w:p>
    <w:p>
      <w:pPr>
        <w:pStyle w:val="Heading2"/>
        <w:spacing w:after="100" w:before="220"/>
      </w:pPr>
      <w:r>
        <w:t xml:space="preserve">US 2.1 — Microservice IAM (Sprint 2, priorité Haute)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10%"/>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Critère d'acceptation</w:t>
            </w:r>
          </w:p>
        </w:tc>
        <w:tc>
          <w:tcPr>
            <w:tcW w:type="pct" w:w="30%"/>
            <w:shd w:fill="1F3A5F" w:val="clear"/>
            <w:tcMar>
              <w:top w:type="dxa" w:w="60"/>
              <w:left w:type="dxa" w:w="90"/>
              <w:bottom w:type="dxa" w:w="60"/>
              <w:right w:type="dxa" w:w="90"/>
            </w:tcMar>
          </w:tcPr>
          <w:p>
            <w:pPr>
              <w:spacing w:after="0"/>
            </w:pPr>
            <w:r>
              <w:rPr>
                <w:b/>
                <w:bCs/>
                <w:color w:val="FFFFFF"/>
                <w:sz w:val="18"/>
                <w:szCs w:val="18"/>
              </w:rPr>
              <w:t xml:space="preserve">Où c'est traité</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F-2.1.a</w:t>
            </w:r>
          </w:p>
        </w:tc>
        <w:tc>
          <w:tcPr>
            <w:tcW w:type="pct" w:w="42%"/>
            <w:tcMar>
              <w:top w:type="dxa" w:w="60"/>
              <w:left w:type="dxa" w:w="90"/>
              <w:bottom w:type="dxa" w:w="60"/>
              <w:right w:type="dxa" w:w="90"/>
            </w:tcMar>
          </w:tcPr>
          <w:p>
            <w:pPr>
              <w:spacing w:after="0"/>
            </w:pPr>
            <w:r>
              <w:rPr>
                <w:b w:val="false"/>
                <w:bCs w:val="false"/>
                <w:color w:val="16191F"/>
                <w:sz w:val="17"/>
                <w:szCs w:val="17"/>
              </w:rPr>
              <w:t xml:space="preserve">API REST d'inscription (nom, email, mot de passe)</w:t>
            </w:r>
          </w:p>
        </w:tc>
        <w:tc>
          <w:tcPr>
            <w:tcW w:type="pct" w:w="30%"/>
            <w:tcMar>
              <w:top w:type="dxa" w:w="60"/>
              <w:left w:type="dxa" w:w="90"/>
              <w:bottom w:type="dxa" w:w="60"/>
              <w:right w:type="dxa" w:w="90"/>
            </w:tcMar>
          </w:tcPr>
          <w:p>
            <w:pPr>
              <w:spacing w:after="0"/>
            </w:pPr>
            <w:r>
              <w:rPr>
                <w:b w:val="false"/>
                <w:bCs w:val="false"/>
                <w:color w:val="16191F"/>
                <w:sz w:val="17"/>
                <w:szCs w:val="17"/>
              </w:rPr>
              <w:t xml:space="preserve">Classe User + méthode inscrire() ; flux Vue 1</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F-2.1.b</w:t>
            </w:r>
          </w:p>
        </w:tc>
        <w:tc>
          <w:tcPr>
            <w:tcW w:type="pct" w:w="42%"/>
            <w:tcMar>
              <w:top w:type="dxa" w:w="60"/>
              <w:left w:type="dxa" w:w="90"/>
              <w:bottom w:type="dxa" w:w="60"/>
              <w:right w:type="dxa" w:w="90"/>
            </w:tcMar>
          </w:tcPr>
          <w:p>
            <w:pPr>
              <w:spacing w:after="0"/>
            </w:pPr>
            <w:r>
              <w:rPr>
                <w:b w:val="false"/>
                <w:bCs w:val="false"/>
                <w:color w:val="16191F"/>
                <w:sz w:val="17"/>
                <w:szCs w:val="17"/>
              </w:rPr>
              <w:t xml:space="preserve">Mots de passe hachés (bcrypt) avant stockage dans PostgreSQL</w:t>
            </w:r>
          </w:p>
        </w:tc>
        <w:tc>
          <w:tcPr>
            <w:tcW w:type="pct" w:w="30%"/>
            <w:tcMar>
              <w:top w:type="dxa" w:w="60"/>
              <w:left w:type="dxa" w:w="90"/>
              <w:bottom w:type="dxa" w:w="60"/>
              <w:right w:type="dxa" w:w="90"/>
            </w:tcMar>
          </w:tcPr>
          <w:p>
            <w:pPr>
              <w:spacing w:after="0"/>
            </w:pPr>
            <w:r>
              <w:rPr>
                <w:b w:val="false"/>
                <w:bCs w:val="false"/>
                <w:color w:val="16191F"/>
                <w:sz w:val="17"/>
                <w:szCs w:val="17"/>
              </w:rPr>
              <w:t xml:space="preserve">Attribut motDePasseHache ; séquence d'authentification</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F-2.1.c</w:t>
            </w:r>
          </w:p>
        </w:tc>
        <w:tc>
          <w:tcPr>
            <w:tcW w:type="pct" w:w="42%"/>
            <w:tcMar>
              <w:top w:type="dxa" w:w="60"/>
              <w:left w:type="dxa" w:w="90"/>
              <w:bottom w:type="dxa" w:w="60"/>
              <w:right w:type="dxa" w:w="90"/>
            </w:tcMar>
          </w:tcPr>
          <w:p>
            <w:pPr>
              <w:spacing w:after="0"/>
            </w:pPr>
            <w:r>
              <w:rPr>
                <w:b w:val="false"/>
                <w:bCs w:val="false"/>
                <w:color w:val="16191F"/>
                <w:sz w:val="17"/>
                <w:szCs w:val="17"/>
              </w:rPr>
              <w:t xml:space="preserve">API de login retournant un token JWT valide</w:t>
            </w:r>
          </w:p>
        </w:tc>
        <w:tc>
          <w:tcPr>
            <w:tcW w:type="pct" w:w="30%"/>
            <w:tcMar>
              <w:top w:type="dxa" w:w="60"/>
              <w:left w:type="dxa" w:w="90"/>
              <w:bottom w:type="dxa" w:w="60"/>
              <w:right w:type="dxa" w:w="90"/>
            </w:tcMar>
          </w:tcPr>
          <w:p>
            <w:pPr>
              <w:spacing w:after="0"/>
            </w:pPr>
            <w:r>
              <w:rPr>
                <w:b w:val="false"/>
                <w:bCs w:val="false"/>
                <w:color w:val="16191F"/>
                <w:sz w:val="17"/>
                <w:szCs w:val="17"/>
              </w:rPr>
              <w:t xml:space="preserve">Méthode authentifier() : Token ; séquence login</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F-2.1.d</w:t>
            </w:r>
          </w:p>
        </w:tc>
        <w:tc>
          <w:tcPr>
            <w:tcW w:type="pct" w:w="42%"/>
            <w:tcMar>
              <w:top w:type="dxa" w:w="60"/>
              <w:left w:type="dxa" w:w="90"/>
              <w:bottom w:type="dxa" w:w="60"/>
              <w:right w:type="dxa" w:w="90"/>
            </w:tcMar>
          </w:tcPr>
          <w:p>
            <w:pPr>
              <w:spacing w:after="0"/>
            </w:pPr>
            <w:r>
              <w:rPr>
                <w:b w:val="false"/>
                <w:bCs w:val="false"/>
                <w:color w:val="16191F"/>
                <w:sz w:val="17"/>
                <w:szCs w:val="17"/>
              </w:rPr>
              <w:t xml:space="preserve">L'API Gateway valide le JWT avant de laisser passer vers les services protégés</w:t>
            </w:r>
          </w:p>
        </w:tc>
        <w:tc>
          <w:tcPr>
            <w:tcW w:type="pct" w:w="30%"/>
            <w:tcMar>
              <w:top w:type="dxa" w:w="60"/>
              <w:left w:type="dxa" w:w="90"/>
              <w:bottom w:type="dxa" w:w="60"/>
              <w:right w:type="dxa" w:w="90"/>
            </w:tcMar>
          </w:tcPr>
          <w:p>
            <w:pPr>
              <w:spacing w:after="0"/>
            </w:pPr>
            <w:r>
              <w:rPr>
                <w:b w:val="false"/>
                <w:bCs w:val="false"/>
                <w:color w:val="16191F"/>
                <w:sz w:val="17"/>
                <w:szCs w:val="17"/>
              </w:rPr>
              <w:t xml:space="preserve">Kong validerJWT() — présent dans tous les flux</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bl>
    <w:p>
      <w:pPr>
        <w:spacing w:after="140"/>
      </w:pPr>
    </w:p>
    <w:p>
      <w:pPr>
        <w:pStyle w:val="Heading2"/>
        <w:spacing w:after="100" w:before="220"/>
      </w:pPr>
      <w:r>
        <w:t xml:space="preserve">US 2.2 — Microservice Catalogue (Sprint 2, priorité Haute)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10%"/>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Critère d'acceptation</w:t>
            </w:r>
          </w:p>
        </w:tc>
        <w:tc>
          <w:tcPr>
            <w:tcW w:type="pct" w:w="30%"/>
            <w:shd w:fill="1F3A5F" w:val="clear"/>
            <w:tcMar>
              <w:top w:type="dxa" w:w="60"/>
              <w:left w:type="dxa" w:w="90"/>
              <w:bottom w:type="dxa" w:w="60"/>
              <w:right w:type="dxa" w:w="90"/>
            </w:tcMar>
          </w:tcPr>
          <w:p>
            <w:pPr>
              <w:spacing w:after="0"/>
            </w:pPr>
            <w:r>
              <w:rPr>
                <w:b/>
                <w:bCs/>
                <w:color w:val="FFFFFF"/>
                <w:sz w:val="18"/>
                <w:szCs w:val="18"/>
              </w:rPr>
              <w:t xml:space="preserve">Où c'est traité</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F-2.2.a</w:t>
            </w:r>
          </w:p>
        </w:tc>
        <w:tc>
          <w:tcPr>
            <w:tcW w:type="pct" w:w="42%"/>
            <w:tcMar>
              <w:top w:type="dxa" w:w="60"/>
              <w:left w:type="dxa" w:w="90"/>
              <w:bottom w:type="dxa" w:w="60"/>
              <w:right w:type="dxa" w:w="90"/>
            </w:tcMar>
          </w:tcPr>
          <w:p>
            <w:pPr>
              <w:spacing w:after="0"/>
            </w:pPr>
            <w:r>
              <w:rPr>
                <w:b w:val="false"/>
                <w:bCs w:val="false"/>
                <w:color w:val="16191F"/>
                <w:sz w:val="17"/>
                <w:szCs w:val="17"/>
              </w:rPr>
              <w:t xml:space="preserve">API REST de liste des produits AVEC PAGINATION</w:t>
            </w:r>
          </w:p>
        </w:tc>
        <w:tc>
          <w:tcPr>
            <w:tcW w:type="pct" w:w="30%"/>
            <w:tcMar>
              <w:top w:type="dxa" w:w="60"/>
              <w:left w:type="dxa" w:w="90"/>
              <w:bottom w:type="dxa" w:w="60"/>
              <w:right w:type="dxa" w:w="90"/>
            </w:tcMar>
          </w:tcPr>
          <w:p>
            <w:pPr>
              <w:spacing w:after="0"/>
            </w:pPr>
            <w:r>
              <w:rPr>
                <w:b w:val="false"/>
                <w:bCs w:val="false"/>
                <w:color w:val="16191F"/>
                <w:sz w:val="17"/>
                <w:szCs w:val="17"/>
              </w:rPr>
              <w:t xml:space="preserve">Flux Vue 1 (consultation) — pagination jamais modélisée</w:t>
            </w:r>
          </w:p>
        </w:tc>
        <w:tc>
          <w:tcPr>
            <w:tcW w:type="pct" w:w="18%"/>
            <w:tcMar>
              <w:top w:type="dxa" w:w="60"/>
              <w:left w:type="dxa" w:w="90"/>
              <w:bottom w:type="dxa" w:w="60"/>
              <w:right w:type="dxa" w:w="90"/>
            </w:tcMar>
          </w:tcPr>
          <w:p>
            <w:pPr>
              <w:spacing w:after="0"/>
            </w:pPr>
            <w:r>
              <w:rPr>
                <w:b/>
                <w:bCs/>
                <w:color w:val="B36B00"/>
                <w:sz w:val="17"/>
                <w:szCs w:val="17"/>
              </w:rPr>
              <w:t xml:space="preserve">Partiel — pagination absente</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F-2.2.b</w:t>
            </w:r>
          </w:p>
        </w:tc>
        <w:tc>
          <w:tcPr>
            <w:tcW w:type="pct" w:w="42%"/>
            <w:tcMar>
              <w:top w:type="dxa" w:w="60"/>
              <w:left w:type="dxa" w:w="90"/>
              <w:bottom w:type="dxa" w:w="60"/>
              <w:right w:type="dxa" w:w="90"/>
            </w:tcMar>
          </w:tcPr>
          <w:p>
            <w:pPr>
              <w:spacing w:after="0"/>
            </w:pPr>
            <w:r>
              <w:rPr>
                <w:b w:val="false"/>
                <w:bCs w:val="false"/>
                <w:color w:val="16191F"/>
                <w:sz w:val="17"/>
                <w:szCs w:val="17"/>
              </w:rPr>
              <w:t xml:space="preserve">API de récupération du détail d'un produit via son ID</w:t>
            </w:r>
          </w:p>
        </w:tc>
        <w:tc>
          <w:tcPr>
            <w:tcW w:type="pct" w:w="30%"/>
            <w:tcMar>
              <w:top w:type="dxa" w:w="60"/>
              <w:left w:type="dxa" w:w="90"/>
              <w:bottom w:type="dxa" w:w="60"/>
              <w:right w:type="dxa" w:w="90"/>
            </w:tcMar>
          </w:tcPr>
          <w:p>
            <w:pPr>
              <w:spacing w:after="0"/>
            </w:pPr>
            <w:r>
              <w:rPr>
                <w:b w:val="false"/>
                <w:bCs w:val="false"/>
                <w:color w:val="16191F"/>
                <w:sz w:val="17"/>
                <w:szCs w:val="17"/>
              </w:rPr>
              <w:t xml:space="preserve">Cas d'utilisation « Consulter le détail d'un produit »</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F-2.2.c</w:t>
            </w:r>
          </w:p>
        </w:tc>
        <w:tc>
          <w:tcPr>
            <w:tcW w:type="pct" w:w="42%"/>
            <w:tcMar>
              <w:top w:type="dxa" w:w="60"/>
              <w:left w:type="dxa" w:w="90"/>
              <w:bottom w:type="dxa" w:w="60"/>
              <w:right w:type="dxa" w:w="90"/>
            </w:tcMar>
          </w:tcPr>
          <w:p>
            <w:pPr>
              <w:spacing w:after="0"/>
            </w:pPr>
            <w:r>
              <w:rPr>
                <w:b w:val="false"/>
                <w:bCs w:val="false"/>
                <w:color w:val="16191F"/>
                <w:sz w:val="17"/>
                <w:szCs w:val="17"/>
              </w:rPr>
              <w:t xml:space="preserve">Données produit (nom, description, prix, stock, images) stockées dans MongoDB</w:t>
            </w:r>
          </w:p>
        </w:tc>
        <w:tc>
          <w:tcPr>
            <w:tcW w:type="pct" w:w="30%"/>
            <w:tcMar>
              <w:top w:type="dxa" w:w="60"/>
              <w:left w:type="dxa" w:w="90"/>
              <w:bottom w:type="dxa" w:w="60"/>
              <w:right w:type="dxa" w:w="90"/>
            </w:tcMar>
          </w:tcPr>
          <w:p>
            <w:pPr>
              <w:spacing w:after="0"/>
            </w:pPr>
            <w:r>
              <w:rPr>
                <w:b w:val="false"/>
                <w:bCs w:val="false"/>
                <w:color w:val="16191F"/>
                <w:sz w:val="17"/>
                <w:szCs w:val="17"/>
              </w:rPr>
              <w:t xml:space="preserve">Classe Product (tous les attributs présents)</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F-2.2.d</w:t>
            </w:r>
          </w:p>
        </w:tc>
        <w:tc>
          <w:tcPr>
            <w:tcW w:type="pct" w:w="42%"/>
            <w:tcMar>
              <w:top w:type="dxa" w:w="60"/>
              <w:left w:type="dxa" w:w="90"/>
              <w:bottom w:type="dxa" w:w="60"/>
              <w:right w:type="dxa" w:w="90"/>
            </w:tcMar>
          </w:tcPr>
          <w:p>
            <w:pPr>
              <w:spacing w:after="0"/>
            </w:pPr>
            <w:r>
              <w:rPr>
                <w:b w:val="false"/>
                <w:bCs w:val="false"/>
                <w:color w:val="16191F"/>
                <w:sz w:val="17"/>
                <w:szCs w:val="17"/>
              </w:rPr>
              <w:t xml:space="preserve">API sécurisée réservée aux administrateurs pour ajouter/modifier/supprimer un produit</w:t>
            </w:r>
          </w:p>
        </w:tc>
        <w:tc>
          <w:tcPr>
            <w:tcW w:type="pct" w:w="30%"/>
            <w:tcMar>
              <w:top w:type="dxa" w:w="60"/>
              <w:left w:type="dxa" w:w="90"/>
              <w:bottom w:type="dxa" w:w="60"/>
              <w:right w:type="dxa" w:w="90"/>
            </w:tcMar>
          </w:tcPr>
          <w:p>
            <w:pPr>
              <w:spacing w:after="0"/>
            </w:pPr>
            <w:r>
              <w:rPr>
                <w:b w:val="false"/>
                <w:bCs w:val="false"/>
                <w:color w:val="16191F"/>
                <w:sz w:val="17"/>
                <w:szCs w:val="17"/>
              </w:rPr>
              <w:t xml:space="preserve">Rôle ADMIN_METIER ; cas « Gérer le catalogue »</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bl>
    <w:p>
      <w:pPr>
        <w:spacing w:after="140"/>
      </w:pPr>
    </w:p>
    <w:p>
      <w:pPr>
        <w:pStyle w:val="Heading2"/>
        <w:spacing w:after="100" w:before="220"/>
      </w:pPr>
      <w:r>
        <w:t xml:space="preserve">US 3.1 — Microservice Panier (Sprint 3, priorité Haute)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10%"/>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Critère d'acceptation</w:t>
            </w:r>
          </w:p>
        </w:tc>
        <w:tc>
          <w:tcPr>
            <w:tcW w:type="pct" w:w="30%"/>
            <w:shd w:fill="1F3A5F" w:val="clear"/>
            <w:tcMar>
              <w:top w:type="dxa" w:w="60"/>
              <w:left w:type="dxa" w:w="90"/>
              <w:bottom w:type="dxa" w:w="60"/>
              <w:right w:type="dxa" w:w="90"/>
            </w:tcMar>
          </w:tcPr>
          <w:p>
            <w:pPr>
              <w:spacing w:after="0"/>
            </w:pPr>
            <w:r>
              <w:rPr>
                <w:b/>
                <w:bCs/>
                <w:color w:val="FFFFFF"/>
                <w:sz w:val="18"/>
                <w:szCs w:val="18"/>
              </w:rPr>
              <w:t xml:space="preserve">Où c'est traité</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F-3.1.a</w:t>
            </w:r>
          </w:p>
        </w:tc>
        <w:tc>
          <w:tcPr>
            <w:tcW w:type="pct" w:w="42%"/>
            <w:tcMar>
              <w:top w:type="dxa" w:w="60"/>
              <w:left w:type="dxa" w:w="90"/>
              <w:bottom w:type="dxa" w:w="60"/>
              <w:right w:type="dxa" w:w="90"/>
            </w:tcMar>
          </w:tcPr>
          <w:p>
            <w:pPr>
              <w:spacing w:after="0"/>
            </w:pPr>
            <w:r>
              <w:rPr>
                <w:b w:val="false"/>
                <w:bCs w:val="false"/>
                <w:color w:val="16191F"/>
                <w:sz w:val="17"/>
                <w:szCs w:val="17"/>
              </w:rPr>
              <w:t xml:space="preserve">API pour ajouter, modifier la quantité, supprimer un article</w:t>
            </w:r>
          </w:p>
        </w:tc>
        <w:tc>
          <w:tcPr>
            <w:tcW w:type="pct" w:w="30%"/>
            <w:tcMar>
              <w:top w:type="dxa" w:w="60"/>
              <w:left w:type="dxa" w:w="90"/>
              <w:bottom w:type="dxa" w:w="60"/>
              <w:right w:type="dxa" w:w="90"/>
            </w:tcMar>
          </w:tcPr>
          <w:p>
            <w:pPr>
              <w:spacing w:after="0"/>
            </w:pPr>
            <w:r>
              <w:rPr>
                <w:b w:val="false"/>
                <w:bCs w:val="false"/>
                <w:color w:val="16191F"/>
                <w:sz w:val="17"/>
                <w:szCs w:val="17"/>
              </w:rPr>
              <w:t xml:space="preserve">Classe Cart (3 méthodes) ; cas d'utilisation</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F-3.1.b</w:t>
            </w:r>
          </w:p>
        </w:tc>
        <w:tc>
          <w:tcPr>
            <w:tcW w:type="pct" w:w="42%"/>
            <w:tcMar>
              <w:top w:type="dxa" w:w="60"/>
              <w:left w:type="dxa" w:w="90"/>
              <w:bottom w:type="dxa" w:w="60"/>
              <w:right w:type="dxa" w:w="90"/>
            </w:tcMar>
          </w:tcPr>
          <w:p>
            <w:pPr>
              <w:spacing w:after="0"/>
            </w:pPr>
            <w:r>
              <w:rPr>
                <w:b w:val="false"/>
                <w:bCs w:val="false"/>
                <w:color w:val="16191F"/>
                <w:sz w:val="17"/>
                <w:szCs w:val="17"/>
              </w:rPr>
              <w:t xml:space="preserve">État du panier stocké en mémoire via Redis (temps de réponse rapides)</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 Workflow (clé userId, &lt; 10 ms)</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F-3.1.c</w:t>
            </w:r>
          </w:p>
        </w:tc>
        <w:tc>
          <w:tcPr>
            <w:tcW w:type="pct" w:w="42%"/>
            <w:tcMar>
              <w:top w:type="dxa" w:w="60"/>
              <w:left w:type="dxa" w:w="90"/>
              <w:bottom w:type="dxa" w:w="60"/>
              <w:right w:type="dxa" w:w="90"/>
            </w:tcMar>
          </w:tcPr>
          <w:p>
            <w:pPr>
              <w:spacing w:after="0"/>
            </w:pPr>
            <w:r>
              <w:rPr>
                <w:b w:val="false"/>
                <w:bCs w:val="false"/>
                <w:color w:val="16191F"/>
                <w:sz w:val="17"/>
                <w:szCs w:val="17"/>
              </w:rPr>
              <w:t xml:space="preserve">Le panier est associé à l'ID utilisateur extrait du token JWT</w:t>
            </w:r>
          </w:p>
        </w:tc>
        <w:tc>
          <w:tcPr>
            <w:tcW w:type="pct" w:w="30%"/>
            <w:tcMar>
              <w:top w:type="dxa" w:w="60"/>
              <w:left w:type="dxa" w:w="90"/>
              <w:bottom w:type="dxa" w:w="60"/>
              <w:right w:type="dxa" w:w="90"/>
            </w:tcMar>
          </w:tcPr>
          <w:p>
            <w:pPr>
              <w:spacing w:after="0"/>
            </w:pPr>
            <w:r>
              <w:rPr>
                <w:b w:val="false"/>
                <w:bCs w:val="false"/>
                <w:color w:val="16191F"/>
                <w:sz w:val="17"/>
                <w:szCs w:val="17"/>
              </w:rPr>
              <w:t xml:space="preserve">Attribut userId ; flux Vue 2a</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F-3.1.d</w:t>
            </w:r>
          </w:p>
        </w:tc>
        <w:tc>
          <w:tcPr>
            <w:tcW w:type="pct" w:w="42%"/>
            <w:tcMar>
              <w:top w:type="dxa" w:w="60"/>
              <w:left w:type="dxa" w:w="90"/>
              <w:bottom w:type="dxa" w:w="60"/>
              <w:right w:type="dxa" w:w="90"/>
            </w:tcMar>
          </w:tcPr>
          <w:p>
            <w:pPr>
              <w:spacing w:after="0"/>
            </w:pPr>
            <w:r>
              <w:rPr>
                <w:b w:val="false"/>
                <w:bCs w:val="false"/>
                <w:color w:val="16191F"/>
                <w:sz w:val="17"/>
                <w:szCs w:val="17"/>
              </w:rPr>
              <w:t xml:space="preserve">Le service vérifie le stock en interrogeant le Catalogue (synchrone ou asynchrone)</w:t>
            </w:r>
          </w:p>
        </w:tc>
        <w:tc>
          <w:tcPr>
            <w:tcW w:type="pct" w:w="30%"/>
            <w:tcMar>
              <w:top w:type="dxa" w:w="60"/>
              <w:left w:type="dxa" w:w="90"/>
              <w:bottom w:type="dxa" w:w="60"/>
              <w:right w:type="dxa" w:w="90"/>
            </w:tcMar>
          </w:tcPr>
          <w:p>
            <w:pPr>
              <w:spacing w:after="0"/>
            </w:pPr>
            <w:r>
              <w:rPr>
                <w:b w:val="false"/>
                <w:bCs w:val="false"/>
                <w:color w:val="16191F"/>
                <w:sz w:val="17"/>
                <w:szCs w:val="17"/>
              </w:rPr>
              <w:t xml:space="preserve">Vue 2a : appel synchrone REST sous Circuit Breaker</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bl>
    <w:p>
      <w:pPr>
        <w:spacing w:after="140"/>
      </w:pPr>
    </w:p>
    <w:p>
      <w:pPr>
        <w:pStyle w:val="Heading2"/>
        <w:spacing w:after="100" w:before="220"/>
      </w:pPr>
      <w:r>
        <w:t xml:space="preserve">US 3.2 — Microservice Commandes (Sprint 3, priorité Haute)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10%"/>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Critère d'acceptation</w:t>
            </w:r>
          </w:p>
        </w:tc>
        <w:tc>
          <w:tcPr>
            <w:tcW w:type="pct" w:w="30%"/>
            <w:shd w:fill="1F3A5F" w:val="clear"/>
            <w:tcMar>
              <w:top w:type="dxa" w:w="60"/>
              <w:left w:type="dxa" w:w="90"/>
              <w:bottom w:type="dxa" w:w="60"/>
              <w:right w:type="dxa" w:w="90"/>
            </w:tcMar>
          </w:tcPr>
          <w:p>
            <w:pPr>
              <w:spacing w:after="0"/>
            </w:pPr>
            <w:r>
              <w:rPr>
                <w:b/>
                <w:bCs/>
                <w:color w:val="FFFFFF"/>
                <w:sz w:val="18"/>
                <w:szCs w:val="18"/>
              </w:rPr>
              <w:t xml:space="preserve">Où c'est traité</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F-3.2.a</w:t>
            </w:r>
          </w:p>
        </w:tc>
        <w:tc>
          <w:tcPr>
            <w:tcW w:type="pct" w:w="42%"/>
            <w:tcMar>
              <w:top w:type="dxa" w:w="60"/>
              <w:left w:type="dxa" w:w="90"/>
              <w:bottom w:type="dxa" w:w="60"/>
              <w:right w:type="dxa" w:w="90"/>
            </w:tcMar>
          </w:tcPr>
          <w:p>
            <w:pPr>
              <w:spacing w:after="0"/>
            </w:pPr>
            <w:r>
              <w:rPr>
                <w:b w:val="false"/>
                <w:bCs w:val="false"/>
                <w:color w:val="16191F"/>
                <w:sz w:val="17"/>
                <w:szCs w:val="17"/>
              </w:rPr>
              <w:t xml:space="preserve">API transformant un panier actif en commande</w:t>
            </w:r>
          </w:p>
        </w:tc>
        <w:tc>
          <w:tcPr>
            <w:tcW w:type="pct" w:w="30%"/>
            <w:tcMar>
              <w:top w:type="dxa" w:w="60"/>
              <w:left w:type="dxa" w:w="90"/>
              <w:bottom w:type="dxa" w:w="60"/>
              <w:right w:type="dxa" w:w="90"/>
            </w:tcMar>
          </w:tcPr>
          <w:p>
            <w:pPr>
              <w:spacing w:after="0"/>
            </w:pPr>
            <w:r>
              <w:rPr>
                <w:b w:val="false"/>
                <w:bCs w:val="false"/>
                <w:color w:val="16191F"/>
                <w:sz w:val="17"/>
                <w:szCs w:val="17"/>
              </w:rPr>
              <w:t xml:space="preserve">Flux Vue 2b ; séquence d'achat</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F-3.2.b</w:t>
            </w:r>
          </w:p>
        </w:tc>
        <w:tc>
          <w:tcPr>
            <w:tcW w:type="pct" w:w="42%"/>
            <w:tcMar>
              <w:top w:type="dxa" w:w="60"/>
              <w:left w:type="dxa" w:w="90"/>
              <w:bottom w:type="dxa" w:w="60"/>
              <w:right w:type="dxa" w:w="90"/>
            </w:tcMar>
          </w:tcPr>
          <w:p>
            <w:pPr>
              <w:spacing w:after="0"/>
            </w:pPr>
            <w:r>
              <w:rPr>
                <w:b w:val="false"/>
                <w:bCs w:val="false"/>
                <w:color w:val="16191F"/>
                <w:sz w:val="17"/>
                <w:szCs w:val="17"/>
              </w:rPr>
              <w:t xml:space="preserve">Le statut de la commande est initialisé à EN_ATTENTE</w:t>
            </w:r>
          </w:p>
        </w:tc>
        <w:tc>
          <w:tcPr>
            <w:tcW w:type="pct" w:w="30%"/>
            <w:tcMar>
              <w:top w:type="dxa" w:w="60"/>
              <w:left w:type="dxa" w:w="90"/>
              <w:bottom w:type="dxa" w:w="60"/>
              <w:right w:type="dxa" w:w="90"/>
            </w:tcMar>
          </w:tcPr>
          <w:p>
            <w:pPr>
              <w:spacing w:after="0"/>
            </w:pPr>
            <w:r>
              <w:rPr>
                <w:b w:val="false"/>
                <w:bCs w:val="false"/>
                <w:color w:val="16191F"/>
                <w:sz w:val="17"/>
                <w:szCs w:val="17"/>
              </w:rPr>
              <w:t xml:space="preserve">Énumération StatutCommande ; états-transitions</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F-3.2.c</w:t>
            </w:r>
          </w:p>
        </w:tc>
        <w:tc>
          <w:tcPr>
            <w:tcW w:type="pct" w:w="42%"/>
            <w:tcMar>
              <w:top w:type="dxa" w:w="60"/>
              <w:left w:type="dxa" w:w="90"/>
              <w:bottom w:type="dxa" w:w="60"/>
              <w:right w:type="dxa" w:w="90"/>
            </w:tcMar>
          </w:tcPr>
          <w:p>
            <w:pPr>
              <w:spacing w:after="0"/>
            </w:pPr>
            <w:r>
              <w:rPr>
                <w:b w:val="false"/>
                <w:bCs w:val="false"/>
                <w:color w:val="16191F"/>
                <w:sz w:val="17"/>
                <w:szCs w:val="17"/>
              </w:rPr>
              <w:t xml:space="preserve">Un événement « CommandeCréée » est publié dans le broker</w:t>
            </w:r>
          </w:p>
        </w:tc>
        <w:tc>
          <w:tcPr>
            <w:tcW w:type="pct" w:w="30%"/>
            <w:tcMar>
              <w:top w:type="dxa" w:w="60"/>
              <w:left w:type="dxa" w:w="90"/>
              <w:bottom w:type="dxa" w:w="60"/>
              <w:right w:type="dxa" w:w="90"/>
            </w:tcMar>
          </w:tcPr>
          <w:p>
            <w:pPr>
              <w:spacing w:after="0"/>
            </w:pPr>
            <w:r>
              <w:rPr>
                <w:b w:val="false"/>
                <w:bCs w:val="false"/>
                <w:color w:val="16191F"/>
                <w:sz w:val="17"/>
                <w:szCs w:val="17"/>
              </w:rPr>
              <w:t xml:space="preserve">Vue 2b, séquence, collaboration (message 7)</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F-3.2.d</w:t>
            </w:r>
          </w:p>
        </w:tc>
        <w:tc>
          <w:tcPr>
            <w:tcW w:type="pct" w:w="42%"/>
            <w:tcMar>
              <w:top w:type="dxa" w:w="60"/>
              <w:left w:type="dxa" w:w="90"/>
              <w:bottom w:type="dxa" w:w="60"/>
              <w:right w:type="dxa" w:w="90"/>
            </w:tcMar>
          </w:tcPr>
          <w:p>
            <w:pPr>
              <w:spacing w:after="0"/>
            </w:pPr>
            <w:r>
              <w:rPr>
                <w:b w:val="false"/>
                <w:bCs w:val="false"/>
                <w:color w:val="16191F"/>
                <w:sz w:val="17"/>
                <w:szCs w:val="17"/>
              </w:rPr>
              <w:t xml:space="preserve">Le Catalogue écoute l'événement pour décrémenter le stock de façon asynchrone</w:t>
            </w:r>
          </w:p>
        </w:tc>
        <w:tc>
          <w:tcPr>
            <w:tcW w:type="pct" w:w="30%"/>
            <w:tcMar>
              <w:top w:type="dxa" w:w="60"/>
              <w:left w:type="dxa" w:w="90"/>
              <w:bottom w:type="dxa" w:w="60"/>
              <w:right w:type="dxa" w:w="90"/>
            </w:tcMar>
          </w:tcPr>
          <w:p>
            <w:pPr>
              <w:spacing w:after="0"/>
            </w:pPr>
            <w:r>
              <w:rPr>
                <w:b w:val="false"/>
                <w:bCs w:val="false"/>
                <w:color w:val="16191F"/>
                <w:sz w:val="17"/>
                <w:szCs w:val="17"/>
              </w:rPr>
              <w:t xml:space="preserve">Vue 2b : consommation AMQP + décrément conditionnel</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F-3.2.e</w:t>
            </w:r>
          </w:p>
        </w:tc>
        <w:tc>
          <w:tcPr>
            <w:tcW w:type="pct" w:w="42%"/>
            <w:tcMar>
              <w:top w:type="dxa" w:w="60"/>
              <w:left w:type="dxa" w:w="90"/>
              <w:bottom w:type="dxa" w:w="60"/>
              <w:right w:type="dxa" w:w="90"/>
            </w:tcMar>
          </w:tcPr>
          <w:p>
            <w:pPr>
              <w:spacing w:after="0"/>
            </w:pPr>
            <w:r>
              <w:rPr>
                <w:b w:val="false"/>
                <w:bCs w:val="false"/>
                <w:color w:val="16191F"/>
                <w:sz w:val="17"/>
                <w:szCs w:val="17"/>
              </w:rPr>
              <w:t xml:space="preserve">Le panier est vidé dans Redis une fois la commande validée</w:t>
            </w:r>
          </w:p>
        </w:tc>
        <w:tc>
          <w:tcPr>
            <w:tcW w:type="pct" w:w="30%"/>
            <w:tcMar>
              <w:top w:type="dxa" w:w="60"/>
              <w:left w:type="dxa" w:w="90"/>
              <w:bottom w:type="dxa" w:w="60"/>
              <w:right w:type="dxa" w:w="90"/>
            </w:tcMar>
          </w:tcPr>
          <w:p>
            <w:pPr>
              <w:spacing w:after="0"/>
            </w:pPr>
            <w:r>
              <w:rPr>
                <w:b w:val="false"/>
                <w:bCs w:val="false"/>
                <w:color w:val="16191F"/>
                <w:sz w:val="17"/>
                <w:szCs w:val="17"/>
              </w:rPr>
              <w:t xml:space="preserve">Vue 2b : vidage via API Panier après CONFIRMEE (Posture A)</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bl>
    <w:p>
      <w:pPr>
        <w:spacing w:after="140"/>
      </w:pPr>
    </w:p>
    <w:p>
      <w:pPr>
        <w:pStyle w:val="Heading2"/>
        <w:spacing w:after="100" w:before="220"/>
      </w:pPr>
      <w:r>
        <w:t xml:space="preserve">US 4.1 — Déploiement sur Kubernetes (Sprint 4, priorité Haute)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10%"/>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Critère d'acceptation</w:t>
            </w:r>
          </w:p>
        </w:tc>
        <w:tc>
          <w:tcPr>
            <w:tcW w:type="pct" w:w="30%"/>
            <w:shd w:fill="1F3A5F" w:val="clear"/>
            <w:tcMar>
              <w:top w:type="dxa" w:w="60"/>
              <w:left w:type="dxa" w:w="90"/>
              <w:bottom w:type="dxa" w:w="60"/>
              <w:right w:type="dxa" w:w="90"/>
            </w:tcMar>
          </w:tcPr>
          <w:p>
            <w:pPr>
              <w:spacing w:after="0"/>
            </w:pPr>
            <w:r>
              <w:rPr>
                <w:b/>
                <w:bCs/>
                <w:color w:val="FFFFFF"/>
                <w:sz w:val="18"/>
                <w:szCs w:val="18"/>
              </w:rPr>
              <w:t xml:space="preserve">Où c'est traité</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F-4.1.a</w:t>
            </w:r>
          </w:p>
        </w:tc>
        <w:tc>
          <w:tcPr>
            <w:tcW w:type="pct" w:w="42%"/>
            <w:tcMar>
              <w:top w:type="dxa" w:w="60"/>
              <w:left w:type="dxa" w:w="90"/>
              <w:bottom w:type="dxa" w:w="60"/>
              <w:right w:type="dxa" w:w="90"/>
            </w:tcMar>
          </w:tcPr>
          <w:p>
            <w:pPr>
              <w:spacing w:after="0"/>
            </w:pPr>
            <w:r>
              <w:rPr>
                <w:b w:val="false"/>
                <w:bCs w:val="false"/>
                <w:color w:val="16191F"/>
                <w:sz w:val="17"/>
                <w:szCs w:val="17"/>
              </w:rPr>
              <w:t xml:space="preserve">Manifestes Kubernetes (Deployments, Services, ConfigMaps, Secrets) par microservice</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(Deployments, StatefulSets) — manifestes à écrire</w:t>
            </w:r>
          </w:p>
        </w:tc>
        <w:tc>
          <w:tcPr>
            <w:tcW w:type="pct" w:w="18%"/>
            <w:tcMar>
              <w:top w:type="dxa" w:w="60"/>
              <w:left w:type="dxa" w:w="90"/>
              <w:bottom w:type="dxa" w:w="60"/>
              <w:right w:type="dxa" w:w="90"/>
            </w:tcMar>
          </w:tcPr>
          <w:p>
            <w:pPr>
              <w:spacing w:after="0"/>
            </w:pPr>
            <w:r>
              <w:rPr>
                <w:b/>
                <w:bCs/>
                <w:color w:val="B85450"/>
                <w:sz w:val="17"/>
                <w:szCs w:val="17"/>
              </w:rPr>
              <w:t xml:space="preserve">À faire</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F-4.1.b</w:t>
            </w:r>
          </w:p>
        </w:tc>
        <w:tc>
          <w:tcPr>
            <w:tcW w:type="pct" w:w="42%"/>
            <w:tcMar>
              <w:top w:type="dxa" w:w="60"/>
              <w:left w:type="dxa" w:w="90"/>
              <w:bottom w:type="dxa" w:w="60"/>
              <w:right w:type="dxa" w:w="90"/>
            </w:tcMar>
          </w:tcPr>
          <w:p>
            <w:pPr>
              <w:spacing w:after="0"/>
            </w:pPr>
            <w:r>
              <w:rPr>
                <w:b w:val="false"/>
                <w:bCs w:val="false"/>
                <w:color w:val="16191F"/>
                <w:sz w:val="17"/>
                <w:szCs w:val="17"/>
              </w:rPr>
              <w:t xml:space="preserve">Bases déployées via StatefulSets ou services managés externes</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 RDS managé + 3 StatefulSets</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F-4.1.c</w:t>
            </w:r>
          </w:p>
        </w:tc>
        <w:tc>
          <w:tcPr>
            <w:tcW w:type="pct" w:w="42%"/>
            <w:tcMar>
              <w:top w:type="dxa" w:w="60"/>
              <w:left w:type="dxa" w:w="90"/>
              <w:bottom w:type="dxa" w:w="60"/>
              <w:right w:type="dxa" w:w="90"/>
            </w:tcMar>
          </w:tcPr>
          <w:p>
            <w:pPr>
              <w:spacing w:after="0"/>
            </w:pPr>
            <w:r>
              <w:rPr>
                <w:b w:val="false"/>
                <w:bCs w:val="false"/>
                <w:color w:val="16191F"/>
                <w:sz w:val="17"/>
                <w:szCs w:val="17"/>
              </w:rPr>
              <w:t xml:space="preserve">Un Ingress Controller expose l'API Gateway vers l'extérieur</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 Kong Ingress Controller + ALB</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F-4.1.d</w:t>
            </w:r>
          </w:p>
        </w:tc>
        <w:tc>
          <w:tcPr>
            <w:tcW w:type="pct" w:w="42%"/>
            <w:tcMar>
              <w:top w:type="dxa" w:w="60"/>
              <w:left w:type="dxa" w:w="90"/>
              <w:bottom w:type="dxa" w:w="60"/>
              <w:right w:type="dxa" w:w="90"/>
            </w:tcMar>
          </w:tcPr>
          <w:p>
            <w:pPr>
              <w:spacing w:after="0"/>
            </w:pPr>
            <w:r>
              <w:rPr>
                <w:b w:val="false"/>
                <w:bCs w:val="false"/>
                <w:color w:val="16191F"/>
                <w:sz w:val="17"/>
                <w:szCs w:val="17"/>
              </w:rPr>
              <w:t xml:space="preserve">Les pods redémarrent en cas de crash (Liveness / Readiness probes)</w:t>
            </w:r>
          </w:p>
        </w:tc>
        <w:tc>
          <w:tcPr>
            <w:tcW w:type="pct" w:w="30%"/>
            <w:tcMar>
              <w:top w:type="dxa" w:w="60"/>
              <w:left w:type="dxa" w:w="90"/>
              <w:bottom w:type="dxa" w:w="60"/>
              <w:right w:type="dxa" w:w="90"/>
            </w:tcMar>
          </w:tcPr>
          <w:p>
            <w:pPr>
              <w:spacing w:after="0"/>
            </w:pPr>
            <w:r>
              <w:rPr>
                <w:b w:val="false"/>
                <w:bCs w:val="false"/>
                <w:color w:val="16191F"/>
                <w:sz w:val="17"/>
                <w:szCs w:val="17"/>
              </w:rPr>
              <w:t xml:space="preserve">Jamais modélisé ni documenté</w:t>
            </w:r>
          </w:p>
        </w:tc>
        <w:tc>
          <w:tcPr>
            <w:tcW w:type="pct" w:w="18%"/>
            <w:tcMar>
              <w:top w:type="dxa" w:w="60"/>
              <w:left w:type="dxa" w:w="90"/>
              <w:bottom w:type="dxa" w:w="60"/>
              <w:right w:type="dxa" w:w="90"/>
            </w:tcMar>
          </w:tcPr>
          <w:p>
            <w:pPr>
              <w:spacing w:after="0"/>
            </w:pPr>
            <w:r>
              <w:rPr>
                <w:b/>
                <w:bCs/>
                <w:color w:val="B85450"/>
                <w:sz w:val="17"/>
                <w:szCs w:val="17"/>
              </w:rPr>
              <w:t xml:space="preserve">À faire</w:t>
            </w:r>
          </w:p>
        </w:tc>
      </w:tr>
    </w:tbl>
    <w:p>
      <w:pPr>
        <w:spacing w:after="140"/>
      </w:pPr>
    </w:p>
    <w:p>
      <w:pPr>
        <w:pStyle w:val="Heading2"/>
        <w:spacing w:after="100" w:before="220"/>
      </w:pPr>
      <w:r>
        <w:t xml:space="preserve">US 4.2 — Monitoring et Tracing (Sprint 4, priorité Moyenne)</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10%"/>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2%"/>
            <w:shd w:fill="1F3A5F" w:val="clear"/>
            <w:tcMar>
              <w:top w:type="dxa" w:w="60"/>
              <w:left w:type="dxa" w:w="90"/>
              <w:bottom w:type="dxa" w:w="60"/>
              <w:right w:type="dxa" w:w="90"/>
            </w:tcMar>
          </w:tcPr>
          <w:p>
            <w:pPr>
              <w:spacing w:after="0"/>
            </w:pPr>
            <w:r>
              <w:rPr>
                <w:b/>
                <w:bCs/>
                <w:color w:val="FFFFFF"/>
                <w:sz w:val="18"/>
                <w:szCs w:val="18"/>
              </w:rPr>
              <w:t xml:space="preserve">Critère d'acceptation</w:t>
            </w:r>
          </w:p>
        </w:tc>
        <w:tc>
          <w:tcPr>
            <w:tcW w:type="pct" w:w="30%"/>
            <w:shd w:fill="1F3A5F" w:val="clear"/>
            <w:tcMar>
              <w:top w:type="dxa" w:w="60"/>
              <w:left w:type="dxa" w:w="90"/>
              <w:bottom w:type="dxa" w:w="60"/>
              <w:right w:type="dxa" w:w="90"/>
            </w:tcMar>
          </w:tcPr>
          <w:p>
            <w:pPr>
              <w:spacing w:after="0"/>
            </w:pPr>
            <w:r>
              <w:rPr>
                <w:b/>
                <w:bCs/>
                <w:color w:val="FFFFFF"/>
                <w:sz w:val="18"/>
                <w:szCs w:val="18"/>
              </w:rPr>
              <w:t xml:space="preserve">Où c'est traité</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F-4.2.a</w:t>
            </w:r>
          </w:p>
        </w:tc>
        <w:tc>
          <w:tcPr>
            <w:tcW w:type="pct" w:w="42%"/>
            <w:tcMar>
              <w:top w:type="dxa" w:w="60"/>
              <w:left w:type="dxa" w:w="90"/>
              <w:bottom w:type="dxa" w:w="60"/>
              <w:right w:type="dxa" w:w="90"/>
            </w:tcMar>
          </w:tcPr>
          <w:p>
            <w:pPr>
              <w:spacing w:after="0"/>
            </w:pPr>
            <w:r>
              <w:rPr>
                <w:b w:val="false"/>
                <w:bCs w:val="false"/>
                <w:color w:val="16191F"/>
                <w:sz w:val="17"/>
                <w:szCs w:val="17"/>
              </w:rPr>
              <w:t xml:space="preserve">Prometheus scrape les métriques (CPU, RAM, requêtes HTTP) des microservices</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(namespace observabilité)</w:t>
            </w:r>
          </w:p>
        </w:tc>
        <w:tc>
          <w:tcPr>
            <w:tcW w:type="pct" w:w="18%"/>
            <w:tcMar>
              <w:top w:type="dxa" w:w="60"/>
              <w:left w:type="dxa" w:w="90"/>
              <w:bottom w:type="dxa" w:w="60"/>
              <w:right w:type="dxa" w:w="90"/>
            </w:tcMar>
          </w:tcPr>
          <w:p>
            <w:pPr>
              <w:spacing w:after="0"/>
            </w:pPr>
            <w:r>
              <w:rPr>
                <w:b/>
                <w:bCs/>
                <w:color w:val="B36B00"/>
                <w:sz w:val="17"/>
                <w:szCs w:val="17"/>
              </w:rPr>
              <w:t xml:space="preserve">Partiel — présent, non configuré</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F-4.2.b</w:t>
            </w:r>
          </w:p>
        </w:tc>
        <w:tc>
          <w:tcPr>
            <w:tcW w:type="pct" w:w="42%"/>
            <w:tcMar>
              <w:top w:type="dxa" w:w="60"/>
              <w:left w:type="dxa" w:w="90"/>
              <w:bottom w:type="dxa" w:w="60"/>
              <w:right w:type="dxa" w:w="90"/>
            </w:tcMar>
          </w:tcPr>
          <w:p>
            <w:pPr>
              <w:spacing w:after="0"/>
            </w:pPr>
            <w:r>
              <w:rPr>
                <w:b w:val="false"/>
                <w:bCs w:val="false"/>
                <w:color w:val="16191F"/>
                <w:sz w:val="17"/>
                <w:szCs w:val="17"/>
              </w:rPr>
              <w:t xml:space="preserve">Un dashboard Grafana visualise l'état de santé du système</w:t>
            </w:r>
          </w:p>
        </w:tc>
        <w:tc>
          <w:tcPr>
            <w:tcW w:type="pct" w:w="30%"/>
            <w:tcMar>
              <w:top w:type="dxa" w:w="60"/>
              <w:left w:type="dxa" w:w="90"/>
              <w:bottom w:type="dxa" w:w="60"/>
              <w:right w:type="dxa" w:w="90"/>
            </w:tcMar>
          </w:tcPr>
          <w:p>
            <w:pPr>
              <w:spacing w:after="0"/>
            </w:pPr>
            <w:r>
              <w:rPr>
                <w:b w:val="false"/>
                <w:bCs w:val="false"/>
                <w:color w:val="16191F"/>
                <w:sz w:val="17"/>
                <w:szCs w:val="17"/>
              </w:rPr>
              <w:t xml:space="preserve">Architecture — dashboard à construire</w:t>
            </w:r>
          </w:p>
        </w:tc>
        <w:tc>
          <w:tcPr>
            <w:tcW w:type="pct" w:w="18%"/>
            <w:tcMar>
              <w:top w:type="dxa" w:w="60"/>
              <w:left w:type="dxa" w:w="90"/>
              <w:bottom w:type="dxa" w:w="60"/>
              <w:right w:type="dxa" w:w="90"/>
            </w:tcMar>
          </w:tcPr>
          <w:p>
            <w:pPr>
              <w:spacing w:after="0"/>
            </w:pPr>
            <w:r>
              <w:rPr>
                <w:b/>
                <w:bCs/>
                <w:color w:val="B85450"/>
                <w:sz w:val="17"/>
                <w:szCs w:val="17"/>
              </w:rPr>
              <w:t xml:space="preserve">À faire</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F-4.2.c</w:t>
            </w:r>
          </w:p>
        </w:tc>
        <w:tc>
          <w:tcPr>
            <w:tcW w:type="pct" w:w="42%"/>
            <w:tcMar>
              <w:top w:type="dxa" w:w="60"/>
              <w:left w:type="dxa" w:w="90"/>
              <w:bottom w:type="dxa" w:w="60"/>
              <w:right w:type="dxa" w:w="90"/>
            </w:tcMar>
          </w:tcPr>
          <w:p>
            <w:pPr>
              <w:spacing w:after="0"/>
            </w:pPr>
            <w:r>
              <w:rPr>
                <w:b w:val="false"/>
                <w:bCs w:val="false"/>
                <w:color w:val="16191F"/>
                <w:sz w:val="17"/>
                <w:szCs w:val="17"/>
              </w:rPr>
              <w:t xml:space="preserve">Jaeger ou Zipkin intégré pour le tracing distribué (Trace ID unique traversant les services)</w:t>
            </w:r>
          </w:p>
        </w:tc>
        <w:tc>
          <w:tcPr>
            <w:tcW w:type="pct" w:w="30%"/>
            <w:tcMar>
              <w:top w:type="dxa" w:w="60"/>
              <w:left w:type="dxa" w:w="90"/>
              <w:bottom w:type="dxa" w:w="60"/>
              <w:right w:type="dxa" w:w="90"/>
            </w:tcMar>
          </w:tcPr>
          <w:p>
            <w:pPr>
              <w:spacing w:after="0"/>
            </w:pPr>
            <w:r>
              <w:rPr>
                <w:b w:val="false"/>
                <w:bCs w:val="false"/>
                <w:color w:val="16191F"/>
                <w:sz w:val="17"/>
                <w:szCs w:val="17"/>
              </w:rPr>
              <w:t xml:space="preserve">traceId propagé (Bug 3) ; Jaeger dans l'architecture</w:t>
            </w:r>
          </w:p>
        </w:tc>
        <w:tc>
          <w:tcPr>
            <w:tcW w:type="pct" w:w="18%"/>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10%"/>
            <w:tcMar>
              <w:top w:type="dxa" w:w="60"/>
              <w:left w:type="dxa" w:w="90"/>
              <w:bottom w:type="dxa" w:w="60"/>
              <w:right w:type="dxa" w:w="90"/>
            </w:tcMar>
          </w:tcPr>
          <w:p>
            <w:pPr>
              <w:spacing w:after="0"/>
            </w:pPr>
            <w:r>
              <w:rPr>
                <w:b w:val="false"/>
                <w:bCs w:val="false"/>
                <w:color w:val="16191F"/>
                <w:sz w:val="17"/>
                <w:szCs w:val="17"/>
              </w:rPr>
              <w:t xml:space="preserve">F-4.2.d</w:t>
            </w:r>
          </w:p>
        </w:tc>
        <w:tc>
          <w:tcPr>
            <w:tcW w:type="pct" w:w="42%"/>
            <w:tcMar>
              <w:top w:type="dxa" w:w="60"/>
              <w:left w:type="dxa" w:w="90"/>
              <w:bottom w:type="dxa" w:w="60"/>
              <w:right w:type="dxa" w:w="90"/>
            </w:tcMar>
          </w:tcPr>
          <w:p>
            <w:pPr>
              <w:spacing w:after="0"/>
            </w:pPr>
            <w:r>
              <w:rPr>
                <w:b w:val="false"/>
                <w:bCs w:val="false"/>
                <w:color w:val="16191F"/>
                <w:sz w:val="17"/>
                <w:szCs w:val="17"/>
              </w:rPr>
              <w:t xml:space="preserve">Les logs sont centralisés et consultables</w:t>
            </w:r>
          </w:p>
        </w:tc>
        <w:tc>
          <w:tcPr>
            <w:tcW w:type="pct" w:w="30%"/>
            <w:tcMar>
              <w:top w:type="dxa" w:w="60"/>
              <w:left w:type="dxa" w:w="90"/>
              <w:bottom w:type="dxa" w:w="60"/>
              <w:right w:type="dxa" w:w="90"/>
            </w:tcMar>
          </w:tcPr>
          <w:p>
            <w:pPr>
              <w:spacing w:after="0"/>
            </w:pPr>
            <w:r>
              <w:rPr>
                <w:b w:val="false"/>
                <w:bCs w:val="false"/>
                <w:color w:val="16191F"/>
                <w:sz w:val="17"/>
                <w:szCs w:val="17"/>
              </w:rPr>
              <w:t xml:space="preserve">ELK dans l'architecture</w:t>
            </w:r>
          </w:p>
        </w:tc>
        <w:tc>
          <w:tcPr>
            <w:tcW w:type="pct" w:w="18%"/>
            <w:tcMar>
              <w:top w:type="dxa" w:w="60"/>
              <w:left w:type="dxa" w:w="90"/>
              <w:bottom w:type="dxa" w:w="60"/>
              <w:right w:type="dxa" w:w="90"/>
            </w:tcMar>
          </w:tcPr>
          <w:p>
            <w:pPr>
              <w:spacing w:after="0"/>
            </w:pPr>
            <w:r>
              <w:rPr>
                <w:b/>
                <w:bCs/>
                <w:color w:val="B36B00"/>
                <w:sz w:val="17"/>
                <w:szCs w:val="17"/>
              </w:rPr>
              <w:t xml:space="preserve">Partiel</w:t>
            </w:r>
          </w:p>
        </w:tc>
      </w:tr>
    </w:tbl>
    <w:p>
      <w:pPr>
        <w:spacing w:after="140"/>
      </w:pPr>
    </w:p>
    <w:p>
      <w:pPr>
        <w:pStyle w:val="Heading1"/>
        <w:spacing w:after="140" w:before="300"/>
      </w:pPr>
      <w:r>
        <w:t xml:space="preserve">4. Exigences de résilience (les trois bugs à anticiper)</w:t>
      </w:r>
    </w:p>
    <w:p>
      <w:pPr>
        <w:spacing w:after="120"/>
        <w:jc w:val="both"/>
      </w:pPr>
      <w:r>
        <w:t xml:space="preserve">Le cahier des charges ne se contente pas de demander des fonctionnalités : il impose d'anticiper trois défaillances précises. Ce sont, très probablement, les points sur lesquels le jury creusera le plus, car ils distinguent une conception naïve d'une conception d'ingénieur.</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gridCol w:w="100"/>
      </w:tblGrid>
      <w:tr>
        <w:trPr>
          <w:tblHeader/>
        </w:trPr>
        <w:tc>
          <w:tcPr>
            <w:tcW w:type="pct" w:w="7%"/>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23%"/>
            <w:shd w:fill="1F3A5F" w:val="clear"/>
            <w:tcMar>
              <w:top w:type="dxa" w:w="60"/>
              <w:left w:type="dxa" w:w="90"/>
              <w:bottom w:type="dxa" w:w="60"/>
              <w:right w:type="dxa" w:w="90"/>
            </w:tcMar>
          </w:tcPr>
          <w:p>
            <w:pPr>
              <w:spacing w:after="0"/>
            </w:pPr>
            <w:r>
              <w:rPr>
                <w:b/>
                <w:bCs/>
                <w:color w:val="FFFFFF"/>
                <w:sz w:val="18"/>
                <w:szCs w:val="18"/>
              </w:rPr>
              <w:t xml:space="preserve">Défaillance à anticiper</w:t>
            </w:r>
          </w:p>
        </w:tc>
        <w:tc>
          <w:tcPr>
            <w:tcW w:type="pct" w:w="28%"/>
            <w:shd w:fill="1F3A5F" w:val="clear"/>
            <w:tcMar>
              <w:top w:type="dxa" w:w="60"/>
              <w:left w:type="dxa" w:w="90"/>
              <w:bottom w:type="dxa" w:w="60"/>
              <w:right w:type="dxa" w:w="90"/>
            </w:tcMar>
          </w:tcPr>
          <w:p>
            <w:pPr>
              <w:spacing w:after="0"/>
            </w:pPr>
            <w:r>
              <w:rPr>
                <w:b/>
                <w:bCs/>
                <w:color w:val="FFFFFF"/>
                <w:sz w:val="18"/>
                <w:szCs w:val="18"/>
              </w:rPr>
              <w:t xml:space="preserve">Action corrective demandée</w:t>
            </w:r>
          </w:p>
        </w:tc>
        <w:tc>
          <w:tcPr>
            <w:tcW w:type="pct" w:w="28%"/>
            <w:shd w:fill="1F3A5F" w:val="clear"/>
            <w:tcMar>
              <w:top w:type="dxa" w:w="60"/>
              <w:left w:type="dxa" w:w="90"/>
              <w:bottom w:type="dxa" w:w="60"/>
              <w:right w:type="dxa" w:w="90"/>
            </w:tcMar>
          </w:tcPr>
          <w:p>
            <w:pPr>
              <w:spacing w:after="0"/>
            </w:pPr>
            <w:r>
              <w:rPr>
                <w:b/>
                <w:bCs/>
                <w:color w:val="FFFFFF"/>
                <w:sz w:val="18"/>
                <w:szCs w:val="18"/>
              </w:rPr>
              <w:t xml:space="preserve">Notre réponse</w:t>
            </w:r>
          </w:p>
        </w:tc>
        <w:tc>
          <w:tcPr>
            <w:tcW w:type="pct" w:w="14%"/>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B-01</w:t>
            </w:r>
          </w:p>
        </w:tc>
        <w:tc>
          <w:tcPr>
            <w:tcW w:type="pct" w:w="23%"/>
            <w:tcMar>
              <w:top w:type="dxa" w:w="60"/>
              <w:left w:type="dxa" w:w="90"/>
              <w:bottom w:type="dxa" w:w="60"/>
              <w:right w:type="dxa" w:w="90"/>
            </w:tcMar>
          </w:tcPr>
          <w:p>
            <w:pPr>
              <w:spacing w:after="0"/>
            </w:pPr>
            <w:r>
              <w:rPr>
                <w:b w:val="false"/>
                <w:bCs w:val="false"/>
                <w:color w:val="16191F"/>
                <w:sz w:val="17"/>
                <w:szCs w:val="17"/>
              </w:rPr>
              <w:t xml:space="preserve">Stock négatif : deux commandes simultanées sur le dernier article</w:t>
            </w:r>
          </w:p>
        </w:tc>
        <w:tc>
          <w:tcPr>
            <w:tcW w:type="pct" w:w="28%"/>
            <w:tcMar>
              <w:top w:type="dxa" w:w="60"/>
              <w:left w:type="dxa" w:w="90"/>
              <w:bottom w:type="dxa" w:w="60"/>
              <w:right w:type="dxa" w:w="90"/>
            </w:tcMar>
          </w:tcPr>
          <w:p>
            <w:pPr>
              <w:spacing w:after="0"/>
            </w:pPr>
            <w:r>
              <w:rPr>
                <w:b w:val="false"/>
                <w:bCs w:val="false"/>
                <w:color w:val="16191F"/>
                <w:sz w:val="17"/>
                <w:szCs w:val="17"/>
              </w:rPr>
              <w:t xml:space="preserve">Verrouillage distribué via Redis OU pattern Saga + transaction de compensation</w:t>
            </w:r>
          </w:p>
        </w:tc>
        <w:tc>
          <w:tcPr>
            <w:tcW w:type="pct" w:w="28%"/>
            <w:tcMar>
              <w:top w:type="dxa" w:w="60"/>
              <w:left w:type="dxa" w:w="90"/>
              <w:bottom w:type="dxa" w:w="60"/>
              <w:right w:type="dxa" w:w="90"/>
            </w:tcMar>
          </w:tcPr>
          <w:p>
            <w:pPr>
              <w:spacing w:after="0"/>
            </w:pPr>
            <w:r>
              <w:rPr>
                <w:b w:val="false"/>
                <w:bCs w:val="false"/>
                <w:color w:val="16191F"/>
                <w:sz w:val="17"/>
                <w:szCs w:val="17"/>
              </w:rPr>
              <w:t xml:space="preserve">Saga chorégraphiée + décrément conditionnel atomique + compensation (annulation, remboursement, notification)</w:t>
            </w:r>
          </w:p>
        </w:tc>
        <w:tc>
          <w:tcPr>
            <w:tcW w:type="pct" w:w="14%"/>
            <w:tcMar>
              <w:top w:type="dxa" w:w="60"/>
              <w:left w:type="dxa" w:w="90"/>
              <w:bottom w:type="dxa" w:w="60"/>
              <w:right w:type="dxa" w:w="90"/>
            </w:tcMar>
          </w:tcPr>
          <w:p>
            <w:pPr>
              <w:spacing w:after="0"/>
            </w:pPr>
            <w:r>
              <w:rPr>
                <w:b/>
                <w:bCs/>
                <w:color w:val="2F7D32"/>
                <w:sz w:val="17"/>
                <w:szCs w:val="17"/>
              </w:rPr>
              <w:t xml:space="preserve">Couvert (conception)</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B-02</w:t>
            </w:r>
          </w:p>
        </w:tc>
        <w:tc>
          <w:tcPr>
            <w:tcW w:type="pct" w:w="23%"/>
            <w:tcMar>
              <w:top w:type="dxa" w:w="60"/>
              <w:left w:type="dxa" w:w="90"/>
              <w:bottom w:type="dxa" w:w="60"/>
              <w:right w:type="dxa" w:w="90"/>
            </w:tcMar>
          </w:tcPr>
          <w:p>
            <w:pPr>
              <w:spacing w:after="0"/>
            </w:pPr>
            <w:r>
              <w:rPr>
                <w:b w:val="false"/>
                <w:bCs w:val="false"/>
                <w:color w:val="16191F"/>
                <w:sz w:val="17"/>
                <w:szCs w:val="17"/>
              </w:rPr>
              <w:t xml:space="preserve">Cascading failure : un service lent épuise les threads de ses appelants</w:t>
            </w:r>
          </w:p>
        </w:tc>
        <w:tc>
          <w:tcPr>
            <w:tcW w:type="pct" w:w="28%"/>
            <w:tcMar>
              <w:top w:type="dxa" w:w="60"/>
              <w:left w:type="dxa" w:w="90"/>
              <w:bottom w:type="dxa" w:w="60"/>
              <w:right w:type="dxa" w:w="90"/>
            </w:tcMar>
          </w:tcPr>
          <w:p>
            <w:pPr>
              <w:spacing w:after="0"/>
            </w:pPr>
            <w:r>
              <w:rPr>
                <w:b w:val="false"/>
                <w:bCs w:val="false"/>
                <w:color w:val="16191F"/>
                <w:sz w:val="17"/>
                <w:szCs w:val="17"/>
              </w:rPr>
              <w:t xml:space="preserve">Pattern Circuit Breaker (ex. Resilience4j) avec fallback ou erreur immédiate</w:t>
            </w:r>
          </w:p>
        </w:tc>
        <w:tc>
          <w:tcPr>
            <w:tcW w:type="pct" w:w="28%"/>
            <w:tcMar>
              <w:top w:type="dxa" w:w="60"/>
              <w:left w:type="dxa" w:w="90"/>
              <w:bottom w:type="dxa" w:w="60"/>
              <w:right w:type="dxa" w:w="90"/>
            </w:tcMar>
          </w:tcPr>
          <w:p>
            <w:pPr>
              <w:spacing w:after="0"/>
            </w:pPr>
            <w:r>
              <w:rPr>
                <w:b w:val="false"/>
                <w:bCs w:val="false"/>
                <w:color w:val="16191F"/>
                <w:sz w:val="17"/>
                <w:szCs w:val="17"/>
              </w:rPr>
              <w:t xml:space="preserve">Circuit Breaker sur tous les appels synchrones (Panier→Catalogue, Commandes→Panier) ; asynchrone RabbitMQ ailleurs</w:t>
            </w:r>
          </w:p>
        </w:tc>
        <w:tc>
          <w:tcPr>
            <w:tcW w:type="pct" w:w="14%"/>
            <w:tcMar>
              <w:top w:type="dxa" w:w="60"/>
              <w:left w:type="dxa" w:w="90"/>
              <w:bottom w:type="dxa" w:w="60"/>
              <w:right w:type="dxa" w:w="90"/>
            </w:tcMar>
          </w:tcPr>
          <w:p>
            <w:pPr>
              <w:spacing w:after="0"/>
            </w:pPr>
            <w:r>
              <w:rPr>
                <w:b/>
                <w:bCs/>
                <w:color w:val="B36B00"/>
                <w:sz w:val="17"/>
                <w:szCs w:val="17"/>
              </w:rPr>
              <w:t xml:space="preserve">Partiel — le FALLBACK n'est ni nommé ni modélisé</w:t>
            </w:r>
          </w:p>
        </w:tc>
      </w:tr>
      <w:tr>
        <w:tc>
          <w:tcPr>
            <w:tcW w:type="pct" w:w="7%"/>
            <w:tcMar>
              <w:top w:type="dxa" w:w="60"/>
              <w:left w:type="dxa" w:w="90"/>
              <w:bottom w:type="dxa" w:w="60"/>
              <w:right w:type="dxa" w:w="90"/>
            </w:tcMar>
          </w:tcPr>
          <w:p>
            <w:pPr>
              <w:spacing w:after="0"/>
            </w:pPr>
            <w:r>
              <w:rPr>
                <w:b w:val="false"/>
                <w:bCs w:val="false"/>
                <w:color w:val="16191F"/>
                <w:sz w:val="17"/>
                <w:szCs w:val="17"/>
              </w:rPr>
              <w:t xml:space="preserve">B-03</w:t>
            </w:r>
          </w:p>
        </w:tc>
        <w:tc>
          <w:tcPr>
            <w:tcW w:type="pct" w:w="23%"/>
            <w:tcMar>
              <w:top w:type="dxa" w:w="60"/>
              <w:left w:type="dxa" w:w="90"/>
              <w:bottom w:type="dxa" w:w="60"/>
              <w:right w:type="dxa" w:w="90"/>
            </w:tcMar>
          </w:tcPr>
          <w:p>
            <w:pPr>
              <w:spacing w:after="0"/>
            </w:pPr>
            <w:r>
              <w:rPr>
                <w:b w:val="false"/>
                <w:bCs w:val="false"/>
                <w:color w:val="16191F"/>
                <w:sz w:val="17"/>
                <w:szCs w:val="17"/>
              </w:rPr>
              <w:t xml:space="preserve">Perte du contexte de sécurité en communication asynchrone</w:t>
            </w:r>
          </w:p>
        </w:tc>
        <w:tc>
          <w:tcPr>
            <w:tcW w:type="pct" w:w="28%"/>
            <w:tcMar>
              <w:top w:type="dxa" w:w="60"/>
              <w:left w:type="dxa" w:w="90"/>
              <w:bottom w:type="dxa" w:w="60"/>
              <w:right w:type="dxa" w:w="90"/>
            </w:tcMar>
          </w:tcPr>
          <w:p>
            <w:pPr>
              <w:spacing w:after="0"/>
            </w:pPr>
            <w:r>
              <w:rPr>
                <w:b w:val="false"/>
                <w:bCs w:val="false"/>
                <w:color w:val="16191F"/>
                <w:sz w:val="17"/>
                <w:szCs w:val="17"/>
              </w:rPr>
              <w:t xml:space="preserve">Inclure des métadonnées de contexte dans les headers : ID utilisateur et Trace ID</w:t>
            </w:r>
          </w:p>
        </w:tc>
        <w:tc>
          <w:tcPr>
            <w:tcW w:type="pct" w:w="28%"/>
            <w:tcMar>
              <w:top w:type="dxa" w:w="60"/>
              <w:left w:type="dxa" w:w="90"/>
              <w:bottom w:type="dxa" w:w="60"/>
              <w:right w:type="dxa" w:w="90"/>
            </w:tcMar>
          </w:tcPr>
          <w:p>
            <w:pPr>
              <w:spacing w:after="0"/>
            </w:pPr>
            <w:r>
              <w:rPr>
                <w:b w:val="false"/>
                <w:bCs w:val="false"/>
                <w:color w:val="16191F"/>
                <w:sz w:val="17"/>
                <w:szCs w:val="17"/>
              </w:rPr>
              <w:t xml:space="preserve">Headers userId + traceId dans chaque message AMQP</w:t>
            </w:r>
          </w:p>
        </w:tc>
        <w:tc>
          <w:tcPr>
            <w:tcW w:type="pct" w:w="14%"/>
            <w:tcMar>
              <w:top w:type="dxa" w:w="60"/>
              <w:left w:type="dxa" w:w="90"/>
              <w:bottom w:type="dxa" w:w="60"/>
              <w:right w:type="dxa" w:w="90"/>
            </w:tcMar>
          </w:tcPr>
          <w:p>
            <w:pPr>
              <w:spacing w:after="0"/>
            </w:pPr>
            <w:r>
              <w:rPr>
                <w:b/>
                <w:bCs/>
                <w:color w:val="2F7D32"/>
                <w:sz w:val="17"/>
                <w:szCs w:val="17"/>
              </w:rPr>
              <w:t xml:space="preserve">Couvert (conception)</w:t>
            </w:r>
          </w:p>
        </w:tc>
      </w:tr>
    </w:tbl>
    <w:p>
      <w:pPr>
        <w:spacing w:after="140"/>
      </w:pPr>
    </w:p>
    <w:p>
      <w:pPr>
        <w:spacing w:after="120"/>
        <w:jc w:val="both"/>
      </w:pPr>
      <w:r>
        <w:rPr>
          <w:b/>
          <w:bCs/>
        </w:rPr>
        <w:t xml:space="preserve">Point de vigilance sur B-02. </w:t>
      </w:r>
      <w:r>
        <w:t xml:space="preserve">Le cahier des charges demande explicitement que le circuit ouvert « retourne une réponse par défaut (Fallback) ou une erreur immédiate ». Nos diagrammes montrent le Circuit Breaker mais ne disent jamais CE QUI SE PASSE quand il s'ouvre. C'est un écart réel à combler — d'autant que la grille d'évaluation du Workflow note explicitement les mécanismes de résilience (retry, fallback, alerte).</w:t>
      </w:r>
    </w:p>
    <w:p>
      <w:pPr>
        <w:pStyle w:val="Heading1"/>
        <w:spacing w:after="140" w:before="300"/>
      </w:pPr>
      <w:r>
        <w:t xml:space="preserve">5. Livrables attendus</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8%"/>
            <w:shd w:fill="1F3A5F" w:val="clear"/>
            <w:tcMar>
              <w:top w:type="dxa" w:w="60"/>
              <w:left w:type="dxa" w:w="90"/>
              <w:bottom w:type="dxa" w:w="60"/>
              <w:right w:type="dxa" w:w="90"/>
            </w:tcMar>
          </w:tcPr>
          <w:p>
            <w:pPr>
              <w:spacing w:after="0"/>
            </w:pPr>
            <w:r>
              <w:rPr>
                <w:b/>
                <w:bCs/>
                <w:color w:val="FFFFFF"/>
                <w:sz w:val="18"/>
                <w:szCs w:val="18"/>
              </w:rPr>
              <w:t xml:space="preserve">ID</w:t>
            </w:r>
          </w:p>
        </w:tc>
        <w:tc>
          <w:tcPr>
            <w:tcW w:type="pct" w:w="40%"/>
            <w:shd w:fill="1F3A5F" w:val="clear"/>
            <w:tcMar>
              <w:top w:type="dxa" w:w="60"/>
              <w:left w:type="dxa" w:w="90"/>
              <w:bottom w:type="dxa" w:w="60"/>
              <w:right w:type="dxa" w:w="90"/>
            </w:tcMar>
          </w:tcPr>
          <w:p>
            <w:pPr>
              <w:spacing w:after="0"/>
            </w:pPr>
            <w:r>
              <w:rPr>
                <w:b/>
                <w:bCs/>
                <w:color w:val="FFFFFF"/>
                <w:sz w:val="18"/>
                <w:szCs w:val="18"/>
              </w:rPr>
              <w:t xml:space="preserve">Livrable exigé</w:t>
            </w:r>
          </w:p>
        </w:tc>
        <w:tc>
          <w:tcPr>
            <w:tcW w:type="pct" w:w="34%"/>
            <w:shd w:fill="1F3A5F" w:val="clear"/>
            <w:tcMar>
              <w:top w:type="dxa" w:w="60"/>
              <w:left w:type="dxa" w:w="90"/>
              <w:bottom w:type="dxa" w:w="60"/>
              <w:right w:type="dxa" w:w="90"/>
            </w:tcMar>
          </w:tcPr>
          <w:p>
            <w:pPr>
              <w:spacing w:after="0"/>
            </w:pPr>
            <w:r>
              <w:rPr>
                <w:b/>
                <w:bCs/>
                <w:color w:val="FFFFFF"/>
                <w:sz w:val="18"/>
                <w:szCs w:val="18"/>
              </w:rPr>
              <w:t xml:space="preserve">État actuel</w:t>
            </w:r>
          </w:p>
        </w:tc>
        <w:tc>
          <w:tcPr>
            <w:tcW w:type="pct" w:w="18%"/>
            <w:shd w:fill="1F3A5F" w:val="clear"/>
            <w:tcMar>
              <w:top w:type="dxa" w:w="60"/>
              <w:left w:type="dxa" w:w="90"/>
              <w:bottom w:type="dxa" w:w="60"/>
              <w:right w:type="dxa" w:w="90"/>
            </w:tcMar>
          </w:tcPr>
          <w:p>
            <w:pPr>
              <w:spacing w:after="0"/>
            </w:pPr>
            <w:r>
              <w:rPr>
                <w:b/>
                <w:bCs/>
                <w:color w:val="FFFFFF"/>
                <w:sz w:val="18"/>
                <w:szCs w:val="18"/>
              </w:rPr>
              <w:t xml:space="preserve">Statut</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L-01</w:t>
            </w:r>
          </w:p>
        </w:tc>
        <w:tc>
          <w:tcPr>
            <w:tcW w:type="pct" w:w="40%"/>
            <w:tcMar>
              <w:top w:type="dxa" w:w="60"/>
              <w:left w:type="dxa" w:w="90"/>
              <w:bottom w:type="dxa" w:w="60"/>
              <w:right w:type="dxa" w:w="90"/>
            </w:tcMar>
          </w:tcPr>
          <w:p>
            <w:pPr>
              <w:spacing w:after="0"/>
            </w:pPr>
            <w:r>
              <w:rPr>
                <w:b w:val="false"/>
                <w:bCs w:val="false"/>
                <w:color w:val="16191F"/>
                <w:sz w:val="17"/>
                <w:szCs w:val="17"/>
              </w:rPr>
              <w:t xml:space="preserve">Document d'architecture technique (schémas d'architecture, flux de données)</w:t>
            </w:r>
          </w:p>
        </w:tc>
        <w:tc>
          <w:tcPr>
            <w:tcW w:type="pct" w:w="34%"/>
            <w:tcMar>
              <w:top w:type="dxa" w:w="60"/>
              <w:left w:type="dxa" w:w="90"/>
              <w:bottom w:type="dxa" w:w="60"/>
              <w:right w:type="dxa" w:w="90"/>
            </w:tcMar>
          </w:tcPr>
          <w:p>
            <w:pPr>
              <w:spacing w:after="0"/>
            </w:pPr>
            <w:r>
              <w:rPr>
                <w:b w:val="false"/>
                <w:bCs w:val="false"/>
                <w:color w:val="16191F"/>
                <w:sz w:val="17"/>
                <w:szCs w:val="17"/>
              </w:rPr>
              <w:t xml:space="preserve">Diagramme d'architecture + document Word — à actualiser (Single-AZ)</w:t>
            </w:r>
          </w:p>
        </w:tc>
        <w:tc>
          <w:tcPr>
            <w:tcW w:type="pct" w:w="18%"/>
            <w:tcMar>
              <w:top w:type="dxa" w:w="60"/>
              <w:left w:type="dxa" w:w="90"/>
              <w:bottom w:type="dxa" w:w="60"/>
              <w:right w:type="dxa" w:w="90"/>
            </w:tcMar>
          </w:tcPr>
          <w:p>
            <w:pPr>
              <w:spacing w:after="0"/>
            </w:pPr>
            <w:r>
              <w:rPr>
                <w:b/>
                <w:bCs/>
                <w:color w:val="B36B00"/>
                <w:sz w:val="17"/>
                <w:szCs w:val="17"/>
              </w:rPr>
              <w:t xml:space="preserve">Partiel</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L-02</w:t>
            </w:r>
          </w:p>
        </w:tc>
        <w:tc>
          <w:tcPr>
            <w:tcW w:type="pct" w:w="40%"/>
            <w:tcMar>
              <w:top w:type="dxa" w:w="60"/>
              <w:left w:type="dxa" w:w="90"/>
              <w:bottom w:type="dxa" w:w="60"/>
              <w:right w:type="dxa" w:w="90"/>
            </w:tcMar>
          </w:tcPr>
          <w:p>
            <w:pPr>
              <w:spacing w:after="0"/>
            </w:pPr>
            <w:r>
              <w:rPr>
                <w:b w:val="false"/>
                <w:bCs w:val="false"/>
                <w:color w:val="16191F"/>
                <w:sz w:val="17"/>
                <w:szCs w:val="17"/>
              </w:rPr>
              <w:t xml:space="preserve">Code source documenté et versionné sur le dépôt Git de l'entreprise</w:t>
            </w:r>
          </w:p>
        </w:tc>
        <w:tc>
          <w:tcPr>
            <w:tcW w:type="pct" w:w="34%"/>
            <w:tcMar>
              <w:top w:type="dxa" w:w="60"/>
              <w:left w:type="dxa" w:w="90"/>
              <w:bottom w:type="dxa" w:w="60"/>
              <w:right w:type="dxa" w:w="90"/>
            </w:tcMar>
          </w:tcPr>
          <w:p>
            <w:pPr>
              <w:spacing w:after="0"/>
            </w:pPr>
            <w:r>
              <w:rPr>
                <w:b w:val="false"/>
                <w:bCs w:val="false"/>
                <w:color w:val="16191F"/>
                <w:sz w:val="17"/>
                <w:szCs w:val="17"/>
              </w:rPr>
              <w:t xml:space="preserve">Non commencé</w:t>
            </w:r>
          </w:p>
        </w:tc>
        <w:tc>
          <w:tcPr>
            <w:tcW w:type="pct" w:w="18%"/>
            <w:tcMar>
              <w:top w:type="dxa" w:w="60"/>
              <w:left w:type="dxa" w:w="90"/>
              <w:bottom w:type="dxa" w:w="60"/>
              <w:right w:type="dxa" w:w="90"/>
            </w:tcMar>
          </w:tcPr>
          <w:p>
            <w:pPr>
              <w:spacing w:after="0"/>
            </w:pPr>
            <w:r>
              <w:rPr>
                <w:b/>
                <w:bCs/>
                <w:color w:val="B85450"/>
                <w:sz w:val="17"/>
                <w:szCs w:val="17"/>
              </w:rPr>
              <w:t xml:space="preserve">À faire</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L-03</w:t>
            </w:r>
          </w:p>
        </w:tc>
        <w:tc>
          <w:tcPr>
            <w:tcW w:type="pct" w:w="40%"/>
            <w:tcMar>
              <w:top w:type="dxa" w:w="60"/>
              <w:left w:type="dxa" w:w="90"/>
              <w:bottom w:type="dxa" w:w="60"/>
              <w:right w:type="dxa" w:w="90"/>
            </w:tcMar>
          </w:tcPr>
          <w:p>
            <w:pPr>
              <w:spacing w:after="0"/>
            </w:pPr>
            <w:r>
              <w:rPr>
                <w:b w:val="false"/>
                <w:bCs w:val="false"/>
                <w:color w:val="16191F"/>
                <w:sz w:val="17"/>
                <w:szCs w:val="17"/>
              </w:rPr>
              <w:t xml:space="preserve">Fichiers de configuration de l'infrastructure (Dockerfile, manifestes K8s, scripts CI/CD)</w:t>
            </w:r>
          </w:p>
        </w:tc>
        <w:tc>
          <w:tcPr>
            <w:tcW w:type="pct" w:w="34%"/>
            <w:tcMar>
              <w:top w:type="dxa" w:w="60"/>
              <w:left w:type="dxa" w:w="90"/>
              <w:bottom w:type="dxa" w:w="60"/>
              <w:right w:type="dxa" w:w="90"/>
            </w:tcMar>
          </w:tcPr>
          <w:p>
            <w:pPr>
              <w:spacing w:after="0"/>
            </w:pPr>
            <w:r>
              <w:rPr>
                <w:b w:val="false"/>
                <w:bCs w:val="false"/>
                <w:color w:val="16191F"/>
                <w:sz w:val="17"/>
                <w:szCs w:val="17"/>
              </w:rPr>
              <w:t xml:space="preserve">Non commencé</w:t>
            </w:r>
          </w:p>
        </w:tc>
        <w:tc>
          <w:tcPr>
            <w:tcW w:type="pct" w:w="18%"/>
            <w:tcMar>
              <w:top w:type="dxa" w:w="60"/>
              <w:left w:type="dxa" w:w="90"/>
              <w:bottom w:type="dxa" w:w="60"/>
              <w:right w:type="dxa" w:w="90"/>
            </w:tcMar>
          </w:tcPr>
          <w:p>
            <w:pPr>
              <w:spacing w:after="0"/>
            </w:pPr>
            <w:r>
              <w:rPr>
                <w:b/>
                <w:bCs/>
                <w:color w:val="B85450"/>
                <w:sz w:val="17"/>
                <w:szCs w:val="17"/>
              </w:rPr>
              <w:t xml:space="preserve">À faire</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L-04</w:t>
            </w:r>
          </w:p>
        </w:tc>
        <w:tc>
          <w:tcPr>
            <w:tcW w:type="pct" w:w="40%"/>
            <w:tcMar>
              <w:top w:type="dxa" w:w="60"/>
              <w:left w:type="dxa" w:w="90"/>
              <w:bottom w:type="dxa" w:w="60"/>
              <w:right w:type="dxa" w:w="90"/>
            </w:tcMar>
          </w:tcPr>
          <w:p>
            <w:pPr>
              <w:spacing w:after="0"/>
            </w:pPr>
            <w:r>
              <w:rPr>
                <w:b w:val="false"/>
                <w:bCs w:val="false"/>
                <w:color w:val="16191F"/>
                <w:sz w:val="17"/>
                <w:szCs w:val="17"/>
              </w:rPr>
              <w:t xml:space="preserve">Collection Postman ou documentation Swagger pour tester les API</w:t>
            </w:r>
          </w:p>
        </w:tc>
        <w:tc>
          <w:tcPr>
            <w:tcW w:type="pct" w:w="34%"/>
            <w:tcMar>
              <w:top w:type="dxa" w:w="60"/>
              <w:left w:type="dxa" w:w="90"/>
              <w:bottom w:type="dxa" w:w="60"/>
              <w:right w:type="dxa" w:w="90"/>
            </w:tcMar>
          </w:tcPr>
          <w:p>
            <w:pPr>
              <w:spacing w:after="0"/>
            </w:pPr>
            <w:r>
              <w:rPr>
                <w:b w:val="false"/>
                <w:bCs w:val="false"/>
                <w:color w:val="16191F"/>
                <w:sz w:val="17"/>
                <w:szCs w:val="17"/>
              </w:rPr>
              <w:t xml:space="preserve">Non commencé</w:t>
            </w:r>
          </w:p>
        </w:tc>
        <w:tc>
          <w:tcPr>
            <w:tcW w:type="pct" w:w="18%"/>
            <w:tcMar>
              <w:top w:type="dxa" w:w="60"/>
              <w:left w:type="dxa" w:w="90"/>
              <w:bottom w:type="dxa" w:w="60"/>
              <w:right w:type="dxa" w:w="90"/>
            </w:tcMar>
          </w:tcPr>
          <w:p>
            <w:pPr>
              <w:spacing w:after="0"/>
            </w:pPr>
            <w:r>
              <w:rPr>
                <w:b/>
                <w:bCs/>
                <w:color w:val="B85450"/>
                <w:sz w:val="17"/>
                <w:szCs w:val="17"/>
              </w:rPr>
              <w:t xml:space="preserve">À faire</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L-05</w:t>
            </w:r>
          </w:p>
        </w:tc>
        <w:tc>
          <w:tcPr>
            <w:tcW w:type="pct" w:w="40%"/>
            <w:tcMar>
              <w:top w:type="dxa" w:w="60"/>
              <w:left w:type="dxa" w:w="90"/>
              <w:bottom w:type="dxa" w:w="60"/>
              <w:right w:type="dxa" w:w="90"/>
            </w:tcMar>
          </w:tcPr>
          <w:p>
            <w:pPr>
              <w:spacing w:after="0"/>
            </w:pPr>
            <w:r>
              <w:rPr>
                <w:b w:val="false"/>
                <w:bCs w:val="false"/>
                <w:color w:val="16191F"/>
                <w:sz w:val="17"/>
                <w:szCs w:val="17"/>
              </w:rPr>
              <w:t xml:space="preserve">Tableau de bord de monitoring fonctionnel</w:t>
            </w:r>
          </w:p>
        </w:tc>
        <w:tc>
          <w:tcPr>
            <w:tcW w:type="pct" w:w="34%"/>
            <w:tcMar>
              <w:top w:type="dxa" w:w="60"/>
              <w:left w:type="dxa" w:w="90"/>
              <w:bottom w:type="dxa" w:w="60"/>
              <w:right w:type="dxa" w:w="90"/>
            </w:tcMar>
          </w:tcPr>
          <w:p>
            <w:pPr>
              <w:spacing w:after="0"/>
            </w:pPr>
            <w:r>
              <w:rPr>
                <w:b w:val="false"/>
                <w:bCs w:val="false"/>
                <w:color w:val="16191F"/>
                <w:sz w:val="17"/>
                <w:szCs w:val="17"/>
              </w:rPr>
              <w:t xml:space="preserve">Non commencé</w:t>
            </w:r>
          </w:p>
        </w:tc>
        <w:tc>
          <w:tcPr>
            <w:tcW w:type="pct" w:w="18%"/>
            <w:tcMar>
              <w:top w:type="dxa" w:w="60"/>
              <w:left w:type="dxa" w:w="90"/>
              <w:bottom w:type="dxa" w:w="60"/>
              <w:right w:type="dxa" w:w="90"/>
            </w:tcMar>
          </w:tcPr>
          <w:p>
            <w:pPr>
              <w:spacing w:after="0"/>
            </w:pPr>
            <w:r>
              <w:rPr>
                <w:b/>
                <w:bCs/>
                <w:color w:val="B85450"/>
                <w:sz w:val="17"/>
                <w:szCs w:val="17"/>
              </w:rPr>
              <w:t xml:space="preserve">À faire</w:t>
            </w:r>
          </w:p>
        </w:tc>
      </w:tr>
      <w:tr>
        <w:tc>
          <w:tcPr>
            <w:tcW w:type="pct" w:w="8%"/>
            <w:tcMar>
              <w:top w:type="dxa" w:w="60"/>
              <w:left w:type="dxa" w:w="90"/>
              <w:bottom w:type="dxa" w:w="60"/>
              <w:right w:type="dxa" w:w="90"/>
            </w:tcMar>
          </w:tcPr>
          <w:p>
            <w:pPr>
              <w:spacing w:after="0"/>
            </w:pPr>
            <w:r>
              <w:rPr>
                <w:b w:val="false"/>
                <w:bCs w:val="false"/>
                <w:color w:val="16191F"/>
                <w:sz w:val="17"/>
                <w:szCs w:val="17"/>
              </w:rPr>
              <w:t xml:space="preserve">L-06</w:t>
            </w:r>
          </w:p>
        </w:tc>
        <w:tc>
          <w:tcPr>
            <w:tcW w:type="pct" w:w="40%"/>
            <w:tcMar>
              <w:top w:type="dxa" w:w="60"/>
              <w:left w:type="dxa" w:w="90"/>
              <w:bottom w:type="dxa" w:w="60"/>
              <w:right w:type="dxa" w:w="90"/>
            </w:tcMar>
          </w:tcPr>
          <w:p>
            <w:pPr>
              <w:spacing w:after="0"/>
            </w:pPr>
            <w:r>
              <w:rPr>
                <w:b w:val="false"/>
                <w:bCs w:val="false"/>
                <w:color w:val="16191F"/>
                <w:sz w:val="17"/>
                <w:szCs w:val="17"/>
              </w:rPr>
              <w:t xml:space="preserve">Rapport de stage détaillant les défis techniques et les solutions</w:t>
            </w:r>
          </w:p>
        </w:tc>
        <w:tc>
          <w:tcPr>
            <w:tcW w:type="pct" w:w="34%"/>
            <w:tcMar>
              <w:top w:type="dxa" w:w="60"/>
              <w:left w:type="dxa" w:w="90"/>
              <w:bottom w:type="dxa" w:w="60"/>
              <w:right w:type="dxa" w:w="90"/>
            </w:tcMar>
          </w:tcPr>
          <w:p>
            <w:pPr>
              <w:spacing w:after="0"/>
            </w:pPr>
            <w:r>
              <w:rPr>
                <w:b w:val="false"/>
                <w:bCs w:val="false"/>
                <w:color w:val="16191F"/>
                <w:sz w:val="17"/>
                <w:szCs w:val="17"/>
              </w:rPr>
              <w:t xml:space="preserve">Non commencé — la matière existe (ADR, bugs)</w:t>
            </w:r>
          </w:p>
        </w:tc>
        <w:tc>
          <w:tcPr>
            <w:tcW w:type="pct" w:w="18%"/>
            <w:tcMar>
              <w:top w:type="dxa" w:w="60"/>
              <w:left w:type="dxa" w:w="90"/>
              <w:bottom w:type="dxa" w:w="60"/>
              <w:right w:type="dxa" w:w="90"/>
            </w:tcMar>
          </w:tcPr>
          <w:p>
            <w:pPr>
              <w:spacing w:after="0"/>
            </w:pPr>
            <w:r>
              <w:rPr>
                <w:b/>
                <w:bCs/>
                <w:color w:val="B85450"/>
                <w:sz w:val="17"/>
                <w:szCs w:val="17"/>
              </w:rPr>
              <w:t xml:space="preserve">À faire</w:t>
            </w:r>
          </w:p>
        </w:tc>
      </w:tr>
    </w:tbl>
    <w:p>
      <w:pPr>
        <w:spacing w:after="140"/>
      </w:pPr>
    </w:p>
    <w:p>
      <w:pPr>
        <w:spacing w:after="120"/>
        <w:jc w:val="both"/>
      </w:pPr>
      <w:r>
        <w:rPr>
          <w:b/>
          <w:bCs/>
        </w:rPr>
        <w:t xml:space="preserve">À noter : </w:t>
      </w:r>
      <w:r>
        <w:t xml:space="preserve">les 9 diagrammes de modélisation (7 UML + Architecture + Workflow) ne figurent pas dans cette liste du cahier des charges initial — ils relèvent des consignes complémentaires transmises par l'encadrement, avec leur propre grille de notation sur 50. Ils sont traités au Jour 2.</w:t>
      </w:r>
    </w:p>
    <w:p>
      <w:r>
        <w:br w:type="page"/>
      </w:r>
    </w:p>
    <w:p>
      <w:pPr>
        <w:pStyle w:val="Heading1"/>
        <w:spacing w:after="140" w:before="300"/>
      </w:pPr>
      <w:r>
        <w:t xml:space="preserve">6. Justification des arbitrages technologiques</w:t>
      </w:r>
    </w:p>
    <w:p>
      <w:pPr>
        <w:spacing w:after="120"/>
        <w:jc w:val="both"/>
      </w:pPr>
      <w:r>
        <w:t xml:space="preserve">Le cahier des charges laisse le choix sur huit points. Voici, pour chacun, l'option retenue, sa justification liée à un besoin réel du projet, et la limite assumée — parce qu'un choix sans inconvénient n'existe pas, et qu'un candidat qui prétend le contraire perd sa crédibilité.</w:t>
      </w:r>
    </w:p>
    <w:p>
      <w:pPr>
        <w:spacing w:after="70" w:before="200"/>
      </w:pPr>
      <w:r>
        <w:rPr>
          <w:b/>
          <w:bCs/>
          <w:color w:val="1F3A5F"/>
          <w:sz w:val="24"/>
          <w:szCs w:val="24"/>
        </w:rPr>
        <w:t xml:space="preserve">6.1 — Framework applicatif : NestJS plutôt que Spring Boot</w:t>
      </w:r>
    </w:p>
    <w:p>
      <w:pPr>
        <w:spacing w:after="120"/>
        <w:jc w:val="both"/>
      </w:pPr>
      <w:r>
        <w:rPr>
          <w:b/>
          <w:bCs/>
        </w:rPr>
        <w:t xml:space="preserve">Options offertes par le cahier des charges : </w:t>
      </w:r>
      <w:r>
        <w:t xml:space="preserve">Java (Spring Boot) ou Node.js (NestJS).</w:t>
      </w:r>
    </w:p>
    <w:p>
      <w:pPr>
        <w:spacing w:after="120"/>
        <w:jc w:val="both"/>
      </w:pPr>
      <w:r>
        <w:rPr>
          <w:b/>
          <w:bCs/>
        </w:rPr>
        <w:t xml:space="preserve">Choix retenu : </w:t>
      </w:r>
      <w:r>
        <w:rPr>
          <w:b/>
          <w:bCs/>
          <w:color w:val="B36B00"/>
        </w:rPr>
        <w:t xml:space="preserve">NestJS sur Node.js (TypeScript).</w:t>
      </w:r>
    </w:p>
    <w:p>
      <w:pPr>
        <w:spacing w:after="120"/>
        <w:jc w:val="both"/>
      </w:pPr>
      <w:r>
        <w:rPr>
          <w:b/>
          <w:bCs/>
        </w:rPr>
        <w:t xml:space="preserve">Justification : </w:t>
      </w:r>
      <w:r>
        <w:t xml:space="preserve">Trois raisons liées au projet. D'abord, NestJS impose nativement une architecture modulaire (modules, injection de dépendances, séparation contrôleur/service/dépôt) qui correspond exactement au découpage en microservices — chaque service est structuré de la même façon, ce qui accélère le développement des quatre. Ensuite, le modèle d'entrées/sorties non bloquant de Node.js convient aux services qui passent l'essentiel de leur temps à attendre le réseau et les bases, ce qui est précisément notre profil de charge. Enfin, l'empreinte mémoire d'un service Node est nettement plus faible que celle d'une JVM, ce qui compte directement dans un cluster de deux nœuds où doivent cohabiter Kong, quatre services, trois middlewares et la pile d'observabilité.</w:t>
      </w:r>
    </w:p>
    <w:p>
      <w:pPr>
        <w:spacing w:after="120"/>
        <w:jc w:val="both"/>
      </w:pPr>
      <w:r>
        <w:rPr>
          <w:b/>
          <w:bCs/>
        </w:rPr>
        <w:t xml:space="preserve">Limite assumée / réponse si challengé : </w:t>
      </w:r>
      <w:r>
        <w:rPr>
          <w:i/>
          <w:iCs/>
        </w:rPr>
        <w:t xml:space="preserve">Spring Boot a un écosystème plus mature pour les patterns de résilience (Resilience4j est d'ailleurs cité par le cahier des charges). En NestJS, le Circuit Breaker s'implémente via une bibliothèque tierce (par exemple opossum) : le pattern est identique, l'outillage est simplement moins intégré. C'est un arbitrage assumé, pas un oubli.</w:t>
      </w:r>
    </w:p>
    <w:p>
      <w:pPr>
        <w:spacing w:after="70" w:before="200"/>
      </w:pPr>
      <w:r>
        <w:rPr>
          <w:b/>
          <w:bCs/>
          <w:color w:val="1F3A5F"/>
          <w:sz w:val="24"/>
          <w:szCs w:val="24"/>
        </w:rPr>
        <w:t xml:space="preserve">6.2 — Cloud : AWS plutôt qu'Azure</w:t>
      </w:r>
    </w:p>
    <w:p>
      <w:pPr>
        <w:spacing w:after="120"/>
        <w:jc w:val="both"/>
      </w:pPr>
      <w:r>
        <w:rPr>
          <w:b/>
          <w:bCs/>
        </w:rPr>
        <w:t xml:space="preserve">Options offertes par le cahier des charges : </w:t>
      </w:r>
      <w:r>
        <w:t xml:space="preserve">AWS ou Azure.</w:t>
      </w:r>
    </w:p>
    <w:p>
      <w:pPr>
        <w:spacing w:after="120"/>
        <w:jc w:val="both"/>
      </w:pPr>
      <w:r>
        <w:rPr>
          <w:b/>
          <w:bCs/>
        </w:rPr>
        <w:t xml:space="preserve">Choix retenu : </w:t>
      </w:r>
      <w:r>
        <w:rPr>
          <w:b/>
          <w:bCs/>
          <w:color w:val="B36B00"/>
        </w:rPr>
        <w:t xml:space="preserve">AWS, région eu-west-3 (Paris).</w:t>
      </w:r>
    </w:p>
    <w:p>
      <w:pPr>
        <w:spacing w:after="120"/>
        <w:jc w:val="both"/>
      </w:pPr>
      <w:r>
        <w:rPr>
          <w:b/>
          <w:bCs/>
        </w:rPr>
        <w:t xml:space="preserve">Justification : </w:t>
      </w:r>
      <w:r>
        <w:t xml:space="preserve">Le cahier des charges cite EKS comme exemple de Kubernetes managé, ce qui oriente sans imposer. Deux raisons concrètes ont tranché : l'entreprise nous a fourni un accès à un compte AWS (contrainte pratique décisive), et la région Paris place les données dans l'Union européenne avec une latence minimale depuis le Maroc. L'analyse de coûts comparée confirme par ailleurs qu'AWS reste globalement moins cher sur notre profil, l'écart se jouant principalement sur la passerelle applicative.</w:t>
      </w:r>
    </w:p>
    <w:p>
      <w:pPr>
        <w:spacing w:after="120"/>
        <w:jc w:val="both"/>
      </w:pPr>
      <w:r>
        <w:rPr>
          <w:b/>
          <w:bCs/>
        </w:rPr>
        <w:t xml:space="preserve">Limite assumée / réponse si challengé : </w:t>
      </w:r>
      <w:r>
        <w:rPr>
          <w:i/>
          <w:iCs/>
        </w:rPr>
        <w:t xml:space="preserve">Azure a un avantage réel et honnête à reconnaître : le plan de contrôle d'AKS est gratuit en niveau Free, là où EKS facture environ 73 $ par mois. C'est le poste où Azure gagne nettement ; l'écart se rattrape sur la passerelle applicative (Application Gateway v2 est environ neuf fois plus cher que l'ALB).</w:t>
      </w:r>
    </w:p>
    <w:p>
      <w:pPr>
        <w:spacing w:after="70" w:before="200"/>
      </w:pPr>
      <w:r>
        <w:rPr>
          <w:b/>
          <w:bCs/>
          <w:color w:val="1F3A5F"/>
          <w:sz w:val="24"/>
          <w:szCs w:val="24"/>
        </w:rPr>
        <w:t xml:space="preserve">6.3 — Kubernetes : Minikube en développement, Amazon EKS en cible</w:t>
      </w:r>
    </w:p>
    <w:p>
      <w:pPr>
        <w:spacing w:after="120"/>
        <w:jc w:val="both"/>
      </w:pPr>
      <w:r>
        <w:rPr>
          <w:b/>
          <w:bCs/>
        </w:rPr>
        <w:t xml:space="preserve">Options offertes par le cahier des charges : </w:t>
      </w:r>
      <w:r>
        <w:t xml:space="preserve">Minikube ou service cloud managé de type EKS/AKS.</w:t>
      </w:r>
    </w:p>
    <w:p>
      <w:pPr>
        <w:spacing w:after="120"/>
        <w:jc w:val="both"/>
      </w:pPr>
      <w:r>
        <w:rPr>
          <w:b/>
          <w:bCs/>
        </w:rPr>
        <w:t xml:space="preserve">Choix retenu : </w:t>
      </w:r>
      <w:r>
        <w:rPr>
          <w:b/>
          <w:bCs/>
          <w:color w:val="B36B00"/>
        </w:rPr>
        <w:t xml:space="preserve">Les deux, à des étapes différentes : Minikube en local pour les sprints de développement, Amazon EKS pour le déploiement final.</w:t>
      </w:r>
    </w:p>
    <w:p>
      <w:pPr>
        <w:spacing w:after="120"/>
        <w:jc w:val="both"/>
      </w:pPr>
      <w:r>
        <w:rPr>
          <w:b/>
          <w:bCs/>
        </w:rPr>
        <w:t xml:space="preserve">Justification : </w:t>
      </w:r>
      <w:r>
        <w:t xml:space="preserve">Ce n'est pas une indécision, c'est la lecture correcte de la question. Développer directement sur EKS coûterait cher pour rien : les manifestes Kubernetes sont identiques dans les deux environnements, donc tout ce qui est validé en local fonctionne à l'identique sur EKS. Le cluster managé n'apporte de valeur qu'au moment où l'on a besoin de ce qu'il fournit réellement : haute disponibilité multi-zones, montée en charge automatique, intégration native avec les autres services AWS.</w:t>
      </w:r>
    </w:p>
    <w:p>
      <w:pPr>
        <w:spacing w:after="120"/>
        <w:jc w:val="both"/>
      </w:pPr>
      <w:r>
        <w:rPr>
          <w:b/>
          <w:bCs/>
        </w:rPr>
        <w:t xml:space="preserve">Limite assumée / réponse si challengé : </w:t>
      </w:r>
      <w:r>
        <w:rPr>
          <w:i/>
          <w:iCs/>
        </w:rPr>
        <w:t xml:space="preserve">Il subsiste des écarts entre local et cloud qu'il faut connaître : le stockage persistant (hostPath en local contre EBS via le pilote CSI sur AWS), l'exposition (NodePort contre ALB), et les identités (aucune contre les rôles IAM). Ces différences doivent être traitées dans les manifestes, pas découvertes le jour du déploiement.</w:t>
      </w:r>
    </w:p>
    <w:p>
      <w:pPr>
        <w:spacing w:after="70" w:before="200"/>
      </w:pPr>
      <w:r>
        <w:rPr>
          <w:b/>
          <w:bCs/>
          <w:color w:val="1F3A5F"/>
          <w:sz w:val="24"/>
          <w:szCs w:val="24"/>
        </w:rPr>
        <w:t xml:space="preserve">6.4 — Communication inter-services : REST synchrone ET RabbitMQ asynchrone</w:t>
      </w:r>
    </w:p>
    <w:p>
      <w:pPr>
        <w:spacing w:after="120"/>
        <w:jc w:val="both"/>
      </w:pPr>
      <w:r>
        <w:rPr>
          <w:b/>
          <w:bCs/>
        </w:rPr>
        <w:t xml:space="preserve">Options offertes par le cahier des charges : </w:t>
      </w:r>
      <w:r>
        <w:t xml:space="preserve">REST API, gRPC, ou messagerie asynchrone (RabbitMQ / Apache Kafka).</w:t>
      </w:r>
    </w:p>
    <w:p>
      <w:pPr>
        <w:spacing w:after="120"/>
        <w:jc w:val="both"/>
      </w:pPr>
      <w:r>
        <w:rPr>
          <w:b/>
          <w:bCs/>
        </w:rPr>
        <w:t xml:space="preserve">Choix retenu : </w:t>
      </w:r>
      <w:r>
        <w:rPr>
          <w:b/>
          <w:bCs/>
          <w:color w:val="B36B00"/>
        </w:rPr>
        <w:t xml:space="preserve">REST pour les appels synchrones, RabbitMQ pour l'événementiel. Ce n'est pas un compromis mou : chaque mode répond à un besoin distinct.</w:t>
      </w:r>
    </w:p>
    <w:p>
      <w:pPr>
        <w:spacing w:after="120"/>
        <w:jc w:val="both"/>
      </w:pPr>
      <w:r>
        <w:rPr>
          <w:b/>
          <w:bCs/>
        </w:rPr>
        <w:t xml:space="preserve">Justification : </w:t>
      </w:r>
      <w:r>
        <w:t xml:space="preserve">Le critère de choix est la nature de l'échange. Quand l'appelant a besoin de la réponse pour continuer et que l'utilisateur attend (le Panier qui vérifie un stock, les Commandes qui lisent le panier), le synchrone REST s'impose — protégé par Circuit Breaker. Quand l'appelant n'a pas besoin d'attendre et que le découplage prime (la décrémentation du stock après commande), l'asynchrone s'impose : c'est ce qui permet au client d'être libéré immédiatement et au Catalogue d'être momentanément indisponible sans bloquer les Commandes. Le cahier des charges impose d'ailleurs l'asynchrone pour ce cas précis (US 3.2). RabbitMQ plutôt que Kafka : notre besoin est un routage de messages métier à faible volume, ce pour quoi RabbitMQ est conçu ; Kafka est un journal d'événements distribué à très haut débit, surdimensionné ici et nettement plus lourd à exploiter. gRPC a été écarté car le cahier des charges demande des API testables via Swagger/Postman, ce qui convient mal à un protocole binaire.</w:t>
      </w:r>
    </w:p>
    <w:p>
      <w:pPr>
        <w:spacing w:after="120"/>
        <w:jc w:val="both"/>
      </w:pPr>
      <w:r>
        <w:rPr>
          <w:b/>
          <w:bCs/>
        </w:rPr>
        <w:t xml:space="preserve">Limite assumée / réponse si challengé : </w:t>
      </w:r>
      <w:r>
        <w:rPr>
          <w:i/>
          <w:iCs/>
        </w:rPr>
        <w:t xml:space="preserve">Faire coexister deux modes de communication augmente la complexité : il faut savoir justifier chaque choix au cas par cas, et l'asynchrone impose des contraintes propres (idempotence des consommateurs, propagation du contexte). Ces contraintes sont documentées et traitées.</w:t>
      </w:r>
    </w:p>
    <w:p>
      <w:pPr>
        <w:spacing w:after="70" w:before="200"/>
      </w:pPr>
      <w:r>
        <w:rPr>
          <w:b/>
          <w:bCs/>
          <w:color w:val="1F3A5F"/>
          <w:sz w:val="24"/>
          <w:szCs w:val="24"/>
        </w:rPr>
        <w:t xml:space="preserve">6.5 — API Gateway : Kong plutôt que Spring Cloud Gateway</w:t>
      </w:r>
    </w:p>
    <w:p>
      <w:pPr>
        <w:spacing w:after="120"/>
        <w:jc w:val="both"/>
      </w:pPr>
      <w:r>
        <w:rPr>
          <w:b/>
          <w:bCs/>
        </w:rPr>
        <w:t xml:space="preserve">Options offertes par le cahier des charges : </w:t>
      </w:r>
      <w:r>
        <w:t xml:space="preserve">Kong ou Spring Cloud Gateway.</w:t>
      </w:r>
    </w:p>
    <w:p>
      <w:pPr>
        <w:spacing w:after="120"/>
        <w:jc w:val="both"/>
      </w:pPr>
      <w:r>
        <w:rPr>
          <w:b/>
          <w:bCs/>
        </w:rPr>
        <w:t xml:space="preserve">Choix retenu : </w:t>
      </w:r>
      <w:r>
        <w:rPr>
          <w:b/>
          <w:bCs/>
          <w:color w:val="B36B00"/>
        </w:rPr>
        <w:t xml:space="preserve">Kong, avec le Kong Ingress Controller.</w:t>
      </w:r>
    </w:p>
    <w:p>
      <w:pPr>
        <w:spacing w:after="120"/>
        <w:jc w:val="both"/>
      </w:pPr>
      <w:r>
        <w:rPr>
          <w:b/>
          <w:bCs/>
        </w:rPr>
        <w:t xml:space="preserve">Justification : </w:t>
      </w:r>
      <w:r>
        <w:t xml:space="preserve">Spring Cloud Gateway est un composant de l'écosystème Spring : le retenir alors que nos services sont en NestJS aurait introduit une dépendance Java dans une architecture qui n'en a aucune. Kong est indépendant du langage, s'installe comme un composant d'infrastructure, et son contrôleur d'entrée s'intègre nativement à Kubernetes : la passerelle se configure alors avec les mêmes ressources que le reste du cluster. Il couvre en outre nativement les trois besoins exprimés par l'US 1.2 : routage, limitation de débit et validation de jetons.</w:t>
      </w:r>
    </w:p>
    <w:p>
      <w:pPr>
        <w:spacing w:after="120"/>
        <w:jc w:val="both"/>
      </w:pPr>
      <w:r>
        <w:rPr>
          <w:b/>
          <w:bCs/>
        </w:rPr>
        <w:t xml:space="preserve">Limite assumée / réponse si challengé : </w:t>
      </w:r>
      <w:r>
        <w:rPr>
          <w:i/>
          <w:iCs/>
        </w:rPr>
        <w:t xml:space="preserve">Kong est un composant supplémentaire à exploiter et à surveiller, là où une passerelle intégrée au framework aurait été plus simple à démarrer. Le gain d'indépendance technologique justifie ce coût.</w:t>
      </w:r>
    </w:p>
    <w:p>
      <w:pPr>
        <w:spacing w:after="70" w:before="200"/>
      </w:pPr>
      <w:r>
        <w:rPr>
          <w:b/>
          <w:bCs/>
          <w:color w:val="1F3A5F"/>
          <w:sz w:val="24"/>
          <w:szCs w:val="24"/>
        </w:rPr>
        <w:t xml:space="preserve">6.6 — Sécurité : JWT plutôt qu'OAuth2 complet</w:t>
      </w:r>
    </w:p>
    <w:p>
      <w:pPr>
        <w:spacing w:after="120"/>
        <w:jc w:val="both"/>
      </w:pPr>
      <w:r>
        <w:rPr>
          <w:b/>
          <w:bCs/>
        </w:rPr>
        <w:t xml:space="preserve">Options offertes par le cahier des charges : </w:t>
      </w:r>
      <w:r>
        <w:t xml:space="preserve">OAuth2 / JWT.</w:t>
      </w:r>
    </w:p>
    <w:p>
      <w:pPr>
        <w:spacing w:after="120"/>
        <w:jc w:val="both"/>
      </w:pPr>
      <w:r>
        <w:rPr>
          <w:b/>
          <w:bCs/>
        </w:rPr>
        <w:t xml:space="preserve">Choix retenu : </w:t>
      </w:r>
      <w:r>
        <w:rPr>
          <w:b/>
          <w:bCs/>
          <w:color w:val="B36B00"/>
        </w:rPr>
        <w:t xml:space="preserve">JWT signé, émis par le service IAM et validé par Kong.</w:t>
      </w:r>
    </w:p>
    <w:p>
      <w:pPr>
        <w:spacing w:after="120"/>
        <w:jc w:val="both"/>
      </w:pPr>
      <w:r>
        <w:rPr>
          <w:b/>
          <w:bCs/>
        </w:rPr>
        <w:t xml:space="preserve">Justification : </w:t>
      </w:r>
      <w:r>
        <w:t xml:space="preserve">OAuth2 est un protocole de délégation d'autorisation : il prend tout son sens quand une application tierce doit accéder aux ressources d'un utilisateur en son nom, ou quand on veut déléguer l'authentification à un fournisseur externe. Notre besoin est plus simple et parfaitement circonscrit : authentifier nos propres utilisateurs sur nos propres services. Le JWT y répond directement, et il apporte l'avantage décisif d'être vérifiable par signature — Kong valide chaque jeton sans avoir à rappeler le service IAM, ce qui évite d'en faire un goulot d'étranglement. Le cahier des charges le demande d'ailleurs explicitement en US 2.1.</w:t>
      </w:r>
    </w:p>
    <w:p>
      <w:pPr>
        <w:spacing w:after="120"/>
        <w:jc w:val="both"/>
      </w:pPr>
      <w:r>
        <w:rPr>
          <w:b/>
          <w:bCs/>
        </w:rPr>
        <w:t xml:space="preserve">Limite assumée / réponse si challengé : </w:t>
      </w:r>
      <w:r>
        <w:rPr>
          <w:i/>
          <w:iCs/>
        </w:rPr>
        <w:t xml:space="preserve">Un JWT ne peut pas être révoqué avant son expiration, contrairement à un jeton opaque vérifié à chaque appel. La parade standard est une durée de vie courte assortie d'un jeton de rafraîchissement — à traiter lors de l'implémentation de l'IAM.</w:t>
      </w:r>
    </w:p>
    <w:p>
      <w:pPr>
        <w:spacing w:after="70" w:before="200"/>
      </w:pPr>
      <w:r>
        <w:rPr>
          <w:b/>
          <w:bCs/>
          <w:color w:val="1F3A5F"/>
          <w:sz w:val="24"/>
          <w:szCs w:val="24"/>
        </w:rPr>
        <w:t xml:space="preserve">6.7 — CI/CD : GitHub Actions plutôt que GitLab CI</w:t>
      </w:r>
    </w:p>
    <w:p>
      <w:pPr>
        <w:spacing w:after="120"/>
        <w:jc w:val="both"/>
      </w:pPr>
      <w:r>
        <w:rPr>
          <w:b/>
          <w:bCs/>
        </w:rPr>
        <w:t xml:space="preserve">Options offertes par le cahier des charges : </w:t>
      </w:r>
      <w:r>
        <w:t xml:space="preserve">Git, GitHub Actions ou GitLab CI, Terraform.</w:t>
      </w:r>
    </w:p>
    <w:p>
      <w:pPr>
        <w:spacing w:after="120"/>
        <w:jc w:val="both"/>
      </w:pPr>
      <w:r>
        <w:rPr>
          <w:b/>
          <w:bCs/>
        </w:rPr>
        <w:t xml:space="preserve">Choix retenu : </w:t>
      </w:r>
      <w:r>
        <w:rPr>
          <w:b/>
          <w:bCs/>
          <w:color w:val="B36B00"/>
        </w:rPr>
        <w:t xml:space="preserve">GitHub Actions, dépôt GitHub en mono-repo, Terraform pour l'infrastructure.</w:t>
      </w:r>
    </w:p>
    <w:p>
      <w:pPr>
        <w:spacing w:after="120"/>
        <w:jc w:val="both"/>
      </w:pPr>
      <w:r>
        <w:rPr>
          <w:b/>
          <w:bCs/>
        </w:rPr>
        <w:t xml:space="preserve">Justification : </w:t>
      </w:r>
      <w:r>
        <w:t xml:space="preserve">Le choix suit le dépôt : le code étant hébergé sur GitHub, GitHub Actions évite d'introduire un outil et un compte supplémentaires. Le service est gratuit dans notre cadre d'usage, s'intègre nativement à l'authentification AWS pour pousser vers ECR, et sa configuration vit dans le dépôt lui-même — la chaîne de construction est donc versionnée avec le code qu'elle construit.</w:t>
      </w:r>
    </w:p>
    <w:p>
      <w:pPr>
        <w:spacing w:after="120"/>
        <w:jc w:val="both"/>
      </w:pPr>
      <w:r>
        <w:rPr>
          <w:b/>
          <w:bCs/>
        </w:rPr>
        <w:t xml:space="preserve">Limite assumée / réponse si challengé : </w:t>
      </w:r>
      <w:r>
        <w:rPr>
          <w:i/>
          <w:iCs/>
        </w:rPr>
        <w:t xml:space="preserve">GitLab CI offre un modèle de runners plus souple pour des besoins d'exécution particuliers. Ce n'est pas notre cas ici, où les tâches sont standards (construire, tester, analyser, publier une image).</w:t>
      </w:r>
    </w:p>
    <w:p>
      <w:pPr>
        <w:spacing w:after="70" w:before="200"/>
      </w:pPr>
      <w:r>
        <w:rPr>
          <w:b/>
          <w:bCs/>
          <w:color w:val="1F3A5F"/>
          <w:sz w:val="24"/>
          <w:szCs w:val="24"/>
        </w:rPr>
        <w:t xml:space="preserve">6.8 — Observabilité : les quatre outils plutôt qu'un sous-ensemble</w:t>
      </w:r>
    </w:p>
    <w:p>
      <w:pPr>
        <w:spacing w:after="120"/>
        <w:jc w:val="both"/>
      </w:pPr>
      <w:r>
        <w:rPr>
          <w:b/>
          <w:bCs/>
        </w:rPr>
        <w:t xml:space="preserve">Options offertes par le cahier des charges : </w:t>
      </w:r>
      <w:r>
        <w:t xml:space="preserve">Prometheus, Grafana, ELK Stack ou Jaeger pour le tracing distribué.</w:t>
      </w:r>
    </w:p>
    <w:p>
      <w:pPr>
        <w:spacing w:after="120"/>
        <w:jc w:val="both"/>
      </w:pPr>
      <w:r>
        <w:rPr>
          <w:b/>
          <w:bCs/>
        </w:rPr>
        <w:t xml:space="preserve">Choix retenu : </w:t>
      </w:r>
      <w:r>
        <w:rPr>
          <w:b/>
          <w:bCs/>
          <w:color w:val="B36B00"/>
        </w:rPr>
        <w:t xml:space="preserve">Les quatre : Prometheus, Grafana, ELK et Jaeger.</w:t>
      </w:r>
    </w:p>
    <w:p>
      <w:pPr>
        <w:spacing w:after="120"/>
        <w:jc w:val="both"/>
      </w:pPr>
      <w:r>
        <w:rPr>
          <w:b/>
          <w:bCs/>
        </w:rPr>
        <w:t xml:space="preserve">Justification : </w:t>
      </w:r>
      <w:r>
        <w:t xml:space="preserve">Le « ou » du cahier des charges pourrait laisser croire qu'un seul suffit, mais l'US 4.2 exige simultanément les métriques (Prometheus), un tableau de bord (Grafana), le traçage distribué avec un identifiant unique traversant les services (Jaeger ou Zipkin) et des logs centralisés consultables (ELK). Ce sont quatre besoins distincts, et aucun outil ne couvre les trois piliers à lui seul : les métriques disent QUE quelque chose ne va pas, les traces disent l'endroit précis dans la chaîne des services, les logs disent pourquoi. Dans une architecture distribuée où une requête traverse jusqu'à cinq services, se priver du traçage rendrait tout diagnostic impossible.</w:t>
      </w:r>
    </w:p>
    <w:p>
      <w:pPr>
        <w:spacing w:after="120"/>
        <w:jc w:val="both"/>
      </w:pPr>
      <w:r>
        <w:rPr>
          <w:b/>
          <w:bCs/>
        </w:rPr>
        <w:t xml:space="preserve">Limite assumée / réponse si challengé : </w:t>
      </w:r>
      <w:r>
        <w:rPr>
          <w:i/>
          <w:iCs/>
        </w:rPr>
        <w:t xml:space="preserve">C'est la pile la plus lourde en ressources de tout le cluster — Elasticsearch consomme à lui seul plusieurs gigaoctets de mémoire, et c'est la raison directe du dimensionnement des nœuds en t3.large. Un allègement est possible en environnement de développement (par exemple en désactivant ELK), à condition de l'assumer explicitement.</w:t>
      </w:r>
    </w:p>
    <w:p>
      <w:r>
        <w:br w:type="page"/>
      </w:r>
    </w:p>
    <w:p>
      <w:pPr>
        <w:pStyle w:val="Heading1"/>
        <w:spacing w:after="140" w:before="300"/>
      </w:pPr>
      <w:r>
        <w:t xml:space="preserve">7. Écarts identifiés et plan d'action</w:t>
      </w:r>
    </w:p>
    <w:p>
      <w:pPr>
        <w:spacing w:after="120"/>
        <w:jc w:val="both"/>
      </w:pPr>
      <w:r>
        <w:t xml:space="preserve">Cette section est le résultat le plus utile du travail de traçabilité : elle liste ce qui manque réellement, ce qui n'était pas visible tant que les exigences n'avaient pas été extraites une à une. Les écarts sont classés par priorité de traitement.</w:t>
      </w:r>
    </w:p>
    <w:p>
      <w:pPr>
        <w:pStyle w:val="Heading2"/>
        <w:spacing w:after="100" w:before="220"/>
      </w:pPr>
      <w:r>
        <w:t xml:space="preserve">Priorité 1 — Écarts bloquants pour la notation des livrables (Jour 2)</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tblGrid>
      <w:tr>
        <w:trPr>
          <w:tblHeader/>
        </w:trPr>
        <w:tc>
          <w:tcPr>
            <w:tcW w:type="pct" w:w="38%"/>
            <w:shd w:fill="1F3A5F" w:val="clear"/>
            <w:tcMar>
              <w:top w:type="dxa" w:w="60"/>
              <w:left w:type="dxa" w:w="90"/>
              <w:bottom w:type="dxa" w:w="60"/>
              <w:right w:type="dxa" w:w="90"/>
            </w:tcMar>
          </w:tcPr>
          <w:p>
            <w:pPr>
              <w:spacing w:after="0"/>
            </w:pPr>
            <w:r>
              <w:rPr>
                <w:b/>
                <w:bCs/>
                <w:color w:val="FFFFFF"/>
                <w:sz w:val="18"/>
                <w:szCs w:val="18"/>
              </w:rPr>
              <w:t xml:space="preserve">Écart</w:t>
            </w:r>
          </w:p>
        </w:tc>
        <w:tc>
          <w:tcPr>
            <w:tcW w:type="pct" w:w="28%"/>
            <w:shd w:fill="1F3A5F" w:val="clear"/>
            <w:tcMar>
              <w:top w:type="dxa" w:w="60"/>
              <w:left w:type="dxa" w:w="90"/>
              <w:bottom w:type="dxa" w:w="60"/>
              <w:right w:type="dxa" w:w="90"/>
            </w:tcMar>
          </w:tcPr>
          <w:p>
            <w:pPr>
              <w:spacing w:after="0"/>
            </w:pPr>
            <w:r>
              <w:rPr>
                <w:b/>
                <w:bCs/>
                <w:color w:val="FFFFFF"/>
                <w:sz w:val="18"/>
                <w:szCs w:val="18"/>
              </w:rPr>
              <w:t xml:space="preserve">Exigence concernée</w:t>
            </w:r>
          </w:p>
        </w:tc>
        <w:tc>
          <w:tcPr>
            <w:tcW w:type="pct" w:w="34%"/>
            <w:shd w:fill="1F3A5F" w:val="clear"/>
            <w:tcMar>
              <w:top w:type="dxa" w:w="60"/>
              <w:left w:type="dxa" w:w="90"/>
              <w:bottom w:type="dxa" w:w="60"/>
              <w:right w:type="dxa" w:w="90"/>
            </w:tcMar>
          </w:tcPr>
          <w:p>
            <w:pPr>
              <w:spacing w:after="0"/>
            </w:pPr>
            <w:r>
              <w:rPr>
                <w:b/>
                <w:bCs/>
                <w:color w:val="FFFFFF"/>
                <w:sz w:val="18"/>
                <w:szCs w:val="18"/>
              </w:rPr>
              <w:t xml:space="preserve">Action</w:t>
            </w:r>
          </w:p>
        </w:tc>
      </w:tr>
      <w:tr>
        <w:tc>
          <w:tcPr>
            <w:tcW w:type="pct" w:w="38%"/>
            <w:tcMar>
              <w:top w:type="dxa" w:w="60"/>
              <w:left w:type="dxa" w:w="90"/>
              <w:bottom w:type="dxa" w:w="60"/>
              <w:right w:type="dxa" w:w="90"/>
            </w:tcMar>
          </w:tcPr>
          <w:p>
            <w:pPr>
              <w:spacing w:after="0"/>
            </w:pPr>
            <w:r>
              <w:rPr>
                <w:b w:val="false"/>
                <w:bCs w:val="false"/>
                <w:color w:val="16191F"/>
                <w:sz w:val="17"/>
                <w:szCs w:val="17"/>
              </w:rPr>
              <w:t xml:space="preserve">Le comportement du Circuit Breaker à l'ouverture (fallback ou erreur immédiate) n'est ni nommé ni modélisé</w:t>
            </w:r>
          </w:p>
        </w:tc>
        <w:tc>
          <w:tcPr>
            <w:tcW w:type="pct" w:w="28%"/>
            <w:tcMar>
              <w:top w:type="dxa" w:w="60"/>
              <w:left w:type="dxa" w:w="90"/>
              <w:bottom w:type="dxa" w:w="60"/>
              <w:right w:type="dxa" w:w="90"/>
            </w:tcMar>
          </w:tcPr>
          <w:p>
            <w:pPr>
              <w:spacing w:after="0"/>
            </w:pPr>
            <w:r>
              <w:rPr>
                <w:b w:val="false"/>
                <w:bCs w:val="false"/>
                <w:color w:val="16191F"/>
                <w:sz w:val="17"/>
                <w:szCs w:val="17"/>
              </w:rPr>
              <w:t xml:space="preserve">B-02 (cahier des charges) + grille Workflow (résilience)</w:t>
            </w:r>
          </w:p>
        </w:tc>
        <w:tc>
          <w:tcPr>
            <w:tcW w:type="pct" w:w="34%"/>
            <w:tcMar>
              <w:top w:type="dxa" w:w="60"/>
              <w:left w:type="dxa" w:w="90"/>
              <w:bottom w:type="dxa" w:w="60"/>
              <w:right w:type="dxa" w:w="90"/>
            </w:tcMar>
          </w:tcPr>
          <w:p>
            <w:pPr>
              <w:spacing w:after="0"/>
            </w:pPr>
            <w:r>
              <w:rPr>
                <w:b w:val="false"/>
                <w:bCs w:val="false"/>
                <w:color w:val="16191F"/>
                <w:sz w:val="17"/>
                <w:szCs w:val="17"/>
              </w:rPr>
              <w:t xml:space="preserve">Définir la stratégie de repli service par service et la faire apparaître dans le Workflow</w:t>
            </w:r>
          </w:p>
        </w:tc>
      </w:tr>
      <w:tr>
        <w:tc>
          <w:tcPr>
            <w:tcW w:type="pct" w:w="38%"/>
            <w:tcMar>
              <w:top w:type="dxa" w:w="60"/>
              <w:left w:type="dxa" w:w="90"/>
              <w:bottom w:type="dxa" w:w="60"/>
              <w:right w:type="dxa" w:w="90"/>
            </w:tcMar>
          </w:tcPr>
          <w:p>
            <w:pPr>
              <w:spacing w:after="0"/>
            </w:pPr>
            <w:r>
              <w:rPr>
                <w:b w:val="false"/>
                <w:bCs w:val="false"/>
                <w:color w:val="16191F"/>
                <w:sz w:val="17"/>
                <w:szCs w:val="17"/>
              </w:rPr>
              <w:t xml:space="preserve">Aucun mécanisme de retry ni d'alerte n'apparaît dans les diagrammes</w:t>
            </w:r>
          </w:p>
        </w:tc>
        <w:tc>
          <w:tcPr>
            <w:tcW w:type="pct" w:w="28%"/>
            <w:tcMar>
              <w:top w:type="dxa" w:w="60"/>
              <w:left w:type="dxa" w:w="90"/>
              <w:bottom w:type="dxa" w:w="60"/>
              <w:right w:type="dxa" w:w="90"/>
            </w:tcMar>
          </w:tcPr>
          <w:p>
            <w:pPr>
              <w:spacing w:after="0"/>
            </w:pPr>
            <w:r>
              <w:rPr>
                <w:b w:val="false"/>
                <w:bCs w:val="false"/>
                <w:color w:val="16191F"/>
                <w:sz w:val="17"/>
                <w:szCs w:val="17"/>
              </w:rPr>
              <w:t xml:space="preserve">Grille Workflow : « retry, fallback, alerte » (5 points)</w:t>
            </w:r>
          </w:p>
        </w:tc>
        <w:tc>
          <w:tcPr>
            <w:tcW w:type="pct" w:w="34%"/>
            <w:tcMar>
              <w:top w:type="dxa" w:w="60"/>
              <w:left w:type="dxa" w:w="90"/>
              <w:bottom w:type="dxa" w:w="60"/>
              <w:right w:type="dxa" w:w="90"/>
            </w:tcMar>
          </w:tcPr>
          <w:p>
            <w:pPr>
              <w:spacing w:after="0"/>
            </w:pPr>
            <w:r>
              <w:rPr>
                <w:b w:val="false"/>
                <w:bCs w:val="false"/>
                <w:color w:val="16191F"/>
                <w:sz w:val="17"/>
                <w:szCs w:val="17"/>
              </w:rPr>
              <w:t xml:space="preserve">Ajouter la politique de reprise sur les messages AMQP et l'alerte sur échec persistant</w:t>
            </w:r>
          </w:p>
        </w:tc>
      </w:tr>
      <w:tr>
        <w:tc>
          <w:tcPr>
            <w:tcW w:type="pct" w:w="38%"/>
            <w:tcMar>
              <w:top w:type="dxa" w:w="60"/>
              <w:left w:type="dxa" w:w="90"/>
              <w:bottom w:type="dxa" w:w="60"/>
              <w:right w:type="dxa" w:w="90"/>
            </w:tcMar>
          </w:tcPr>
          <w:p>
            <w:pPr>
              <w:spacing w:after="0"/>
            </w:pPr>
            <w:r>
              <w:rPr>
                <w:b w:val="false"/>
                <w:bCs w:val="false"/>
                <w:color w:val="16191F"/>
                <w:sz w:val="17"/>
                <w:szCs w:val="17"/>
              </w:rPr>
              <w:t xml:space="preserve">Les temps de réponse ne sont annotés que partiellement</w:t>
            </w:r>
          </w:p>
        </w:tc>
        <w:tc>
          <w:tcPr>
            <w:tcW w:type="pct" w:w="28%"/>
            <w:tcMar>
              <w:top w:type="dxa" w:w="60"/>
              <w:left w:type="dxa" w:w="90"/>
              <w:bottom w:type="dxa" w:w="60"/>
              <w:right w:type="dxa" w:w="90"/>
            </w:tcMar>
          </w:tcPr>
          <w:p>
            <w:pPr>
              <w:spacing w:after="0"/>
            </w:pPr>
            <w:r>
              <w:rPr>
                <w:b w:val="false"/>
                <w:bCs w:val="false"/>
                <w:color w:val="16191F"/>
                <w:sz w:val="17"/>
                <w:szCs w:val="17"/>
              </w:rPr>
              <w:t xml:space="preserve">Grille Workflow : temps de réponse annotés (5 points)</w:t>
            </w:r>
          </w:p>
        </w:tc>
        <w:tc>
          <w:tcPr>
            <w:tcW w:type="pct" w:w="34%"/>
            <w:tcMar>
              <w:top w:type="dxa" w:w="60"/>
              <w:left w:type="dxa" w:w="90"/>
              <w:bottom w:type="dxa" w:w="60"/>
              <w:right w:type="dxa" w:w="90"/>
            </w:tcMar>
          </w:tcPr>
          <w:p>
            <w:pPr>
              <w:spacing w:after="0"/>
            </w:pPr>
            <w:r>
              <w:rPr>
                <w:b w:val="false"/>
                <w:bCs w:val="false"/>
                <w:color w:val="16191F"/>
                <w:sz w:val="17"/>
                <w:szCs w:val="17"/>
              </w:rPr>
              <w:t xml:space="preserve">Annoter systématiquement chaque étape du Workflow</w:t>
            </w:r>
          </w:p>
        </w:tc>
      </w:tr>
      <w:tr>
        <w:tc>
          <w:tcPr>
            <w:tcW w:type="pct" w:w="38%"/>
            <w:tcMar>
              <w:top w:type="dxa" w:w="60"/>
              <w:left w:type="dxa" w:w="90"/>
              <w:bottom w:type="dxa" w:w="60"/>
              <w:right w:type="dxa" w:w="90"/>
            </w:tcMar>
          </w:tcPr>
          <w:p>
            <w:pPr>
              <w:spacing w:after="0"/>
            </w:pPr>
            <w:r>
              <w:rPr>
                <w:b w:val="false"/>
                <w:bCs w:val="false"/>
                <w:color w:val="16191F"/>
                <w:sz w:val="17"/>
                <w:szCs w:val="17"/>
              </w:rPr>
              <w:t xml:space="preserve">Le préfixe de routage /api/v1* n'apparaît nulle part</w:t>
            </w:r>
          </w:p>
        </w:tc>
        <w:tc>
          <w:tcPr>
            <w:tcW w:type="pct" w:w="28%"/>
            <w:tcMar>
              <w:top w:type="dxa" w:w="60"/>
              <w:left w:type="dxa" w:w="90"/>
              <w:bottom w:type="dxa" w:w="60"/>
              <w:right w:type="dxa" w:w="90"/>
            </w:tcMar>
          </w:tcPr>
          <w:p>
            <w:pPr>
              <w:spacing w:after="0"/>
            </w:pPr>
            <w:r>
              <w:rPr>
                <w:b w:val="false"/>
                <w:bCs w:val="false"/>
                <w:color w:val="16191F"/>
                <w:sz w:val="17"/>
                <w:szCs w:val="17"/>
              </w:rPr>
              <w:t xml:space="preserve">F-1.2.c</w:t>
            </w:r>
          </w:p>
        </w:tc>
        <w:tc>
          <w:tcPr>
            <w:tcW w:type="pct" w:w="34%"/>
            <w:tcMar>
              <w:top w:type="dxa" w:w="60"/>
              <w:left w:type="dxa" w:w="90"/>
              <w:bottom w:type="dxa" w:w="60"/>
              <w:right w:type="dxa" w:w="90"/>
            </w:tcMar>
          </w:tcPr>
          <w:p>
            <w:pPr>
              <w:spacing w:after="0"/>
            </w:pPr>
            <w:r>
              <w:rPr>
                <w:b w:val="false"/>
                <w:bCs w:val="false"/>
                <w:color w:val="16191F"/>
                <w:sz w:val="17"/>
                <w:szCs w:val="17"/>
              </w:rPr>
              <w:t xml:space="preserve">Formaliser la convention de nommage des routes et l'inscrire dans les livrables</w:t>
            </w:r>
          </w:p>
        </w:tc>
      </w:tr>
    </w:tbl>
    <w:p>
      <w:pPr>
        <w:spacing w:after="140"/>
      </w:pPr>
    </w:p>
    <w:p>
      <w:pPr>
        <w:pStyle w:val="Heading2"/>
        <w:spacing w:after="100" w:before="220"/>
      </w:pPr>
      <w:r>
        <w:t xml:space="preserve">Priorité 2 — Écarts de conception à combler avant l'implémentation</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tblGrid>
      <w:tr>
        <w:trPr>
          <w:tblHeader/>
        </w:trPr>
        <w:tc>
          <w:tcPr>
            <w:tcW w:type="pct" w:w="38%"/>
            <w:shd w:fill="1F3A5F" w:val="clear"/>
            <w:tcMar>
              <w:top w:type="dxa" w:w="60"/>
              <w:left w:type="dxa" w:w="90"/>
              <w:bottom w:type="dxa" w:w="60"/>
              <w:right w:type="dxa" w:w="90"/>
            </w:tcMar>
          </w:tcPr>
          <w:p>
            <w:pPr>
              <w:spacing w:after="0"/>
            </w:pPr>
            <w:r>
              <w:rPr>
                <w:b/>
                <w:bCs/>
                <w:color w:val="FFFFFF"/>
                <w:sz w:val="18"/>
                <w:szCs w:val="18"/>
              </w:rPr>
              <w:t xml:space="preserve">Écart</w:t>
            </w:r>
          </w:p>
        </w:tc>
        <w:tc>
          <w:tcPr>
            <w:tcW w:type="pct" w:w="28%"/>
            <w:shd w:fill="1F3A5F" w:val="clear"/>
            <w:tcMar>
              <w:top w:type="dxa" w:w="60"/>
              <w:left w:type="dxa" w:w="90"/>
              <w:bottom w:type="dxa" w:w="60"/>
              <w:right w:type="dxa" w:w="90"/>
            </w:tcMar>
          </w:tcPr>
          <w:p>
            <w:pPr>
              <w:spacing w:after="0"/>
            </w:pPr>
            <w:r>
              <w:rPr>
                <w:b/>
                <w:bCs/>
                <w:color w:val="FFFFFF"/>
                <w:sz w:val="18"/>
                <w:szCs w:val="18"/>
              </w:rPr>
              <w:t xml:space="preserve">Exigence concernée</w:t>
            </w:r>
          </w:p>
        </w:tc>
        <w:tc>
          <w:tcPr>
            <w:tcW w:type="pct" w:w="34%"/>
            <w:shd w:fill="1F3A5F" w:val="clear"/>
            <w:tcMar>
              <w:top w:type="dxa" w:w="60"/>
              <w:left w:type="dxa" w:w="90"/>
              <w:bottom w:type="dxa" w:w="60"/>
              <w:right w:type="dxa" w:w="90"/>
            </w:tcMar>
          </w:tcPr>
          <w:p>
            <w:pPr>
              <w:spacing w:after="0"/>
            </w:pPr>
            <w:r>
              <w:rPr>
                <w:b/>
                <w:bCs/>
                <w:color w:val="FFFFFF"/>
                <w:sz w:val="18"/>
                <w:szCs w:val="18"/>
              </w:rPr>
              <w:t xml:space="preserve">Action</w:t>
            </w:r>
          </w:p>
        </w:tc>
      </w:tr>
      <w:tr>
        <w:tc>
          <w:tcPr>
            <w:tcW w:type="pct" w:w="38%"/>
            <w:tcMar>
              <w:top w:type="dxa" w:w="60"/>
              <w:left w:type="dxa" w:w="90"/>
              <w:bottom w:type="dxa" w:w="60"/>
              <w:right w:type="dxa" w:w="90"/>
            </w:tcMar>
          </w:tcPr>
          <w:p>
            <w:pPr>
              <w:spacing w:after="0"/>
            </w:pPr>
            <w:r>
              <w:rPr>
                <w:b w:val="false"/>
                <w:bCs w:val="false"/>
                <w:color w:val="16191F"/>
                <w:sz w:val="17"/>
                <w:szCs w:val="17"/>
              </w:rPr>
              <w:t xml:space="preserve">La pagination de la liste des produits n'est pas conçue</w:t>
            </w:r>
          </w:p>
        </w:tc>
        <w:tc>
          <w:tcPr>
            <w:tcW w:type="pct" w:w="28%"/>
            <w:tcMar>
              <w:top w:type="dxa" w:w="60"/>
              <w:left w:type="dxa" w:w="90"/>
              <w:bottom w:type="dxa" w:w="60"/>
              <w:right w:type="dxa" w:w="90"/>
            </w:tcMar>
          </w:tcPr>
          <w:p>
            <w:pPr>
              <w:spacing w:after="0"/>
            </w:pPr>
            <w:r>
              <w:rPr>
                <w:b w:val="false"/>
                <w:bCs w:val="false"/>
                <w:color w:val="16191F"/>
                <w:sz w:val="17"/>
                <w:szCs w:val="17"/>
              </w:rPr>
              <w:t xml:space="preserve">F-2.2.a</w:t>
            </w:r>
          </w:p>
        </w:tc>
        <w:tc>
          <w:tcPr>
            <w:tcW w:type="pct" w:w="34%"/>
            <w:tcMar>
              <w:top w:type="dxa" w:w="60"/>
              <w:left w:type="dxa" w:w="90"/>
              <w:bottom w:type="dxa" w:w="60"/>
              <w:right w:type="dxa" w:w="90"/>
            </w:tcMar>
          </w:tcPr>
          <w:p>
            <w:pPr>
              <w:spacing w:after="0"/>
            </w:pPr>
            <w:r>
              <w:rPr>
                <w:b w:val="false"/>
                <w:bCs w:val="false"/>
                <w:color w:val="16191F"/>
                <w:sz w:val="17"/>
                <w:szCs w:val="17"/>
              </w:rPr>
              <w:t xml:space="preserve">Définir la stratégie de pagination et l'ajouter au contrat d'API</w:t>
            </w:r>
          </w:p>
        </w:tc>
      </w:tr>
      <w:tr>
        <w:tc>
          <w:tcPr>
            <w:tcW w:type="pct" w:w="38%"/>
            <w:tcMar>
              <w:top w:type="dxa" w:w="60"/>
              <w:left w:type="dxa" w:w="90"/>
              <w:bottom w:type="dxa" w:w="60"/>
              <w:right w:type="dxa" w:w="90"/>
            </w:tcMar>
          </w:tcPr>
          <w:p>
            <w:pPr>
              <w:spacing w:after="0"/>
            </w:pPr>
            <w:r>
              <w:rPr>
                <w:b w:val="false"/>
                <w:bCs w:val="false"/>
                <w:color w:val="16191F"/>
                <w:sz w:val="17"/>
                <w:szCs w:val="17"/>
              </w:rPr>
              <w:t xml:space="preserve">Les sondes Liveness et Readiness ne sont ni décidées ni documentées</w:t>
            </w:r>
          </w:p>
        </w:tc>
        <w:tc>
          <w:tcPr>
            <w:tcW w:type="pct" w:w="28%"/>
            <w:tcMar>
              <w:top w:type="dxa" w:w="60"/>
              <w:left w:type="dxa" w:w="90"/>
              <w:bottom w:type="dxa" w:w="60"/>
              <w:right w:type="dxa" w:w="90"/>
            </w:tcMar>
          </w:tcPr>
          <w:p>
            <w:pPr>
              <w:spacing w:after="0"/>
            </w:pPr>
            <w:r>
              <w:rPr>
                <w:b w:val="false"/>
                <w:bCs w:val="false"/>
                <w:color w:val="16191F"/>
                <w:sz w:val="17"/>
                <w:szCs w:val="17"/>
              </w:rPr>
              <w:t xml:space="preserve">F-4.1.d</w:t>
            </w:r>
          </w:p>
        </w:tc>
        <w:tc>
          <w:tcPr>
            <w:tcW w:type="pct" w:w="34%"/>
            <w:tcMar>
              <w:top w:type="dxa" w:w="60"/>
              <w:left w:type="dxa" w:w="90"/>
              <w:bottom w:type="dxa" w:w="60"/>
              <w:right w:type="dxa" w:w="90"/>
            </w:tcMar>
          </w:tcPr>
          <w:p>
            <w:pPr>
              <w:spacing w:after="0"/>
            </w:pPr>
            <w:r>
              <w:rPr>
                <w:b w:val="false"/>
                <w:bCs w:val="false"/>
                <w:color w:val="16191F"/>
                <w:sz w:val="17"/>
                <w:szCs w:val="17"/>
              </w:rPr>
              <w:t xml:space="preserve">Décider des points de contrôle de santé par service</w:t>
            </w:r>
          </w:p>
        </w:tc>
      </w:tr>
      <w:tr>
        <w:tc>
          <w:tcPr>
            <w:tcW w:type="pct" w:w="38%"/>
            <w:tcMar>
              <w:top w:type="dxa" w:w="60"/>
              <w:left w:type="dxa" w:w="90"/>
              <w:bottom w:type="dxa" w:w="60"/>
              <w:right w:type="dxa" w:w="90"/>
            </w:tcMar>
          </w:tcPr>
          <w:p>
            <w:pPr>
              <w:spacing w:after="0"/>
            </w:pPr>
            <w:r>
              <w:rPr>
                <w:b w:val="false"/>
                <w:bCs w:val="false"/>
                <w:color w:val="16191F"/>
                <w:sz w:val="17"/>
                <w:szCs w:val="17"/>
              </w:rPr>
              <w:t xml:space="preserve">La gestion des secrets n'est pas tranchée (ConfigMaps/Secrets exigés)</w:t>
            </w:r>
          </w:p>
        </w:tc>
        <w:tc>
          <w:tcPr>
            <w:tcW w:type="pct" w:w="28%"/>
            <w:tcMar>
              <w:top w:type="dxa" w:w="60"/>
              <w:left w:type="dxa" w:w="90"/>
              <w:bottom w:type="dxa" w:w="60"/>
              <w:right w:type="dxa" w:w="90"/>
            </w:tcMar>
          </w:tcPr>
          <w:p>
            <w:pPr>
              <w:spacing w:after="0"/>
            </w:pPr>
            <w:r>
              <w:rPr>
                <w:b w:val="false"/>
                <w:bCs w:val="false"/>
                <w:color w:val="16191F"/>
                <w:sz w:val="17"/>
                <w:szCs w:val="17"/>
              </w:rPr>
              <w:t xml:space="preserve">F-4.1.a</w:t>
            </w:r>
          </w:p>
        </w:tc>
        <w:tc>
          <w:tcPr>
            <w:tcW w:type="pct" w:w="34%"/>
            <w:tcMar>
              <w:top w:type="dxa" w:w="60"/>
              <w:left w:type="dxa" w:w="90"/>
              <w:bottom w:type="dxa" w:w="60"/>
              <w:right w:type="dxa" w:w="90"/>
            </w:tcMar>
          </w:tcPr>
          <w:p>
            <w:pPr>
              <w:spacing w:after="0"/>
            </w:pPr>
            <w:r>
              <w:rPr>
                <w:b w:val="false"/>
                <w:bCs w:val="false"/>
                <w:color w:val="16191F"/>
                <w:sz w:val="17"/>
                <w:szCs w:val="17"/>
              </w:rPr>
              <w:t xml:space="preserve">Trancher entre Secrets Kubernetes et AWS Secrets Manager — décision attendue</w:t>
            </w:r>
          </w:p>
        </w:tc>
      </w:tr>
      <w:tr>
        <w:tc>
          <w:tcPr>
            <w:tcW w:type="pct" w:w="38%"/>
            <w:tcMar>
              <w:top w:type="dxa" w:w="60"/>
              <w:left w:type="dxa" w:w="90"/>
              <w:bottom w:type="dxa" w:w="60"/>
              <w:right w:type="dxa" w:w="90"/>
            </w:tcMar>
          </w:tcPr>
          <w:p>
            <w:pPr>
              <w:spacing w:after="0"/>
            </w:pPr>
            <w:r>
              <w:rPr>
                <w:b w:val="false"/>
                <w:bCs w:val="false"/>
                <w:color w:val="16191F"/>
                <w:sz w:val="17"/>
                <w:szCs w:val="17"/>
              </w:rPr>
              <w:t xml:space="preserve">Le linter et l'analyse de code ne sont ni choisis ni intégrés</w:t>
            </w:r>
          </w:p>
        </w:tc>
        <w:tc>
          <w:tcPr>
            <w:tcW w:type="pct" w:w="28%"/>
            <w:tcMar>
              <w:top w:type="dxa" w:w="60"/>
              <w:left w:type="dxa" w:w="90"/>
              <w:bottom w:type="dxa" w:w="60"/>
              <w:right w:type="dxa" w:w="90"/>
            </w:tcMar>
          </w:tcPr>
          <w:p>
            <w:pPr>
              <w:spacing w:after="0"/>
            </w:pPr>
            <w:r>
              <w:rPr>
                <w:b w:val="false"/>
                <w:bCs w:val="false"/>
                <w:color w:val="16191F"/>
                <w:sz w:val="17"/>
                <w:szCs w:val="17"/>
              </w:rPr>
              <w:t xml:space="preserve">F-1.1.d</w:t>
            </w:r>
          </w:p>
        </w:tc>
        <w:tc>
          <w:tcPr>
            <w:tcW w:type="pct" w:w="34%"/>
            <w:tcMar>
              <w:top w:type="dxa" w:w="60"/>
              <w:left w:type="dxa" w:w="90"/>
              <w:bottom w:type="dxa" w:w="60"/>
              <w:right w:type="dxa" w:w="90"/>
            </w:tcMar>
          </w:tcPr>
          <w:p>
            <w:pPr>
              <w:spacing w:after="0"/>
            </w:pPr>
            <w:r>
              <w:rPr>
                <w:b w:val="false"/>
                <w:bCs w:val="false"/>
                <w:color w:val="16191F"/>
                <w:sz w:val="17"/>
                <w:szCs w:val="17"/>
              </w:rPr>
              <w:t xml:space="preserve">Retenir ESLint et SonarQube Community, les inscrire dans la pipeline</w:t>
            </w:r>
          </w:p>
        </w:tc>
      </w:tr>
    </w:tbl>
    <w:p>
      <w:pPr>
        <w:spacing w:after="140"/>
      </w:pPr>
    </w:p>
    <w:p>
      <w:pPr>
        <w:pStyle w:val="Heading2"/>
        <w:spacing w:after="100" w:before="220"/>
      </w:pPr>
      <w:r>
        <w:t xml:space="preserve">Priorité 3 — Chantiers d'implémentation (Sprints à venir)</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tblGrid>
      <w:tr>
        <w:trPr>
          <w:tblHeader/>
        </w:trPr>
        <w:tc>
          <w:tcPr>
            <w:tcW w:type="pct" w:w="36%"/>
            <w:shd w:fill="1F3A5F" w:val="clear"/>
            <w:tcMar>
              <w:top w:type="dxa" w:w="60"/>
              <w:left w:type="dxa" w:w="90"/>
              <w:bottom w:type="dxa" w:w="60"/>
              <w:right w:type="dxa" w:w="90"/>
            </w:tcMar>
          </w:tcPr>
          <w:p>
            <w:pPr>
              <w:spacing w:after="0"/>
            </w:pPr>
            <w:r>
              <w:rPr>
                <w:b/>
                <w:bCs/>
                <w:color w:val="FFFFFF"/>
                <w:sz w:val="18"/>
                <w:szCs w:val="18"/>
              </w:rPr>
              <w:t xml:space="preserve">Chantier</w:t>
            </w:r>
          </w:p>
        </w:tc>
        <w:tc>
          <w:tcPr>
            <w:tcW w:type="pct" w:w="34%"/>
            <w:shd w:fill="1F3A5F" w:val="clear"/>
            <w:tcMar>
              <w:top w:type="dxa" w:w="60"/>
              <w:left w:type="dxa" w:w="90"/>
              <w:bottom w:type="dxa" w:w="60"/>
              <w:right w:type="dxa" w:w="90"/>
            </w:tcMar>
          </w:tcPr>
          <w:p>
            <w:pPr>
              <w:spacing w:after="0"/>
            </w:pPr>
            <w:r>
              <w:rPr>
                <w:b/>
                <w:bCs/>
                <w:color w:val="FFFFFF"/>
                <w:sz w:val="18"/>
                <w:szCs w:val="18"/>
              </w:rPr>
              <w:t xml:space="preserve">Exigences concernées</w:t>
            </w:r>
          </w:p>
        </w:tc>
        <w:tc>
          <w:tcPr>
            <w:tcW w:type="pct" w:w="30%"/>
            <w:shd w:fill="1F3A5F" w:val="clear"/>
            <w:tcMar>
              <w:top w:type="dxa" w:w="60"/>
              <w:left w:type="dxa" w:w="90"/>
              <w:bottom w:type="dxa" w:w="60"/>
              <w:right w:type="dxa" w:w="90"/>
            </w:tcMar>
          </w:tcPr>
          <w:p>
            <w:pPr>
              <w:spacing w:after="0"/>
            </w:pPr>
            <w:r>
              <w:rPr>
                <w:b/>
                <w:bCs/>
                <w:color w:val="FFFFFF"/>
                <w:sz w:val="18"/>
                <w:szCs w:val="18"/>
              </w:rPr>
              <w:t xml:space="preserve">Échéance</w:t>
            </w:r>
          </w:p>
        </w:tc>
      </w:tr>
      <w:tr>
        <w:tc>
          <w:tcPr>
            <w:tcW w:type="pct" w:w="36%"/>
            <w:tcMar>
              <w:top w:type="dxa" w:w="60"/>
              <w:left w:type="dxa" w:w="90"/>
              <w:bottom w:type="dxa" w:w="60"/>
              <w:right w:type="dxa" w:w="90"/>
            </w:tcMar>
          </w:tcPr>
          <w:p>
            <w:pPr>
              <w:spacing w:after="0"/>
            </w:pPr>
            <w:r>
              <w:rPr>
                <w:b w:val="false"/>
                <w:bCs w:val="false"/>
                <w:color w:val="16191F"/>
                <w:sz w:val="17"/>
                <w:szCs w:val="17"/>
              </w:rPr>
              <w:t xml:space="preserve">Initialiser le mono-repo et la pipeline CI/CD</w:t>
            </w:r>
          </w:p>
        </w:tc>
        <w:tc>
          <w:tcPr>
            <w:tcW w:type="pct" w:w="34%"/>
            <w:tcMar>
              <w:top w:type="dxa" w:w="60"/>
              <w:left w:type="dxa" w:w="90"/>
              <w:bottom w:type="dxa" w:w="60"/>
              <w:right w:type="dxa" w:w="90"/>
            </w:tcMar>
          </w:tcPr>
          <w:p>
            <w:pPr>
              <w:spacing w:after="0"/>
            </w:pPr>
            <w:r>
              <w:rPr>
                <w:b w:val="false"/>
                <w:bCs w:val="false"/>
                <w:color w:val="16191F"/>
                <w:sz w:val="17"/>
                <w:szCs w:val="17"/>
              </w:rPr>
              <w:t xml:space="preserve">F-1.1.a à F-1.1.d, L-02, L-03</w:t>
            </w:r>
          </w:p>
        </w:tc>
        <w:tc>
          <w:tcPr>
            <w:tcW w:type="pct" w:w="30%"/>
            <w:tcMar>
              <w:top w:type="dxa" w:w="60"/>
              <w:left w:type="dxa" w:w="90"/>
              <w:bottom w:type="dxa" w:w="60"/>
              <w:right w:type="dxa" w:w="90"/>
            </w:tcMar>
          </w:tcPr>
          <w:p>
            <w:pPr>
              <w:spacing w:after="0"/>
            </w:pPr>
            <w:r>
              <w:rPr>
                <w:b w:val="false"/>
                <w:bCs w:val="false"/>
                <w:color w:val="16191F"/>
                <w:sz w:val="17"/>
                <w:szCs w:val="17"/>
              </w:rPr>
              <w:t xml:space="preserve">Jour 3 puis Sprint en cours</w:t>
            </w:r>
          </w:p>
        </w:tc>
      </w:tr>
      <w:tr>
        <w:tc>
          <w:tcPr>
            <w:tcW w:type="pct" w:w="36%"/>
            <w:tcMar>
              <w:top w:type="dxa" w:w="60"/>
              <w:left w:type="dxa" w:w="90"/>
              <w:bottom w:type="dxa" w:w="60"/>
              <w:right w:type="dxa" w:w="90"/>
            </w:tcMar>
          </w:tcPr>
          <w:p>
            <w:pPr>
              <w:spacing w:after="0"/>
            </w:pPr>
            <w:r>
              <w:rPr>
                <w:b w:val="false"/>
                <w:bCs w:val="false"/>
                <w:color w:val="16191F"/>
                <w:sz w:val="17"/>
                <w:szCs w:val="17"/>
              </w:rPr>
              <w:t xml:space="preserve">Développer les services IAM et Catalogue</w:t>
            </w:r>
          </w:p>
        </w:tc>
        <w:tc>
          <w:tcPr>
            <w:tcW w:type="pct" w:w="34%"/>
            <w:tcMar>
              <w:top w:type="dxa" w:w="60"/>
              <w:left w:type="dxa" w:w="90"/>
              <w:bottom w:type="dxa" w:w="60"/>
              <w:right w:type="dxa" w:w="90"/>
            </w:tcMar>
          </w:tcPr>
          <w:p>
            <w:pPr>
              <w:spacing w:after="0"/>
            </w:pPr>
            <w:r>
              <w:rPr>
                <w:b w:val="false"/>
                <w:bCs w:val="false"/>
                <w:color w:val="16191F"/>
                <w:sz w:val="17"/>
                <w:szCs w:val="17"/>
              </w:rPr>
              <w:t xml:space="preserve">F-2.1.*, F-2.2.*</w:t>
            </w:r>
          </w:p>
        </w:tc>
        <w:tc>
          <w:tcPr>
            <w:tcW w:type="pct" w:w="30%"/>
            <w:tcMar>
              <w:top w:type="dxa" w:w="60"/>
              <w:left w:type="dxa" w:w="90"/>
              <w:bottom w:type="dxa" w:w="60"/>
              <w:right w:type="dxa" w:w="90"/>
            </w:tcMar>
          </w:tcPr>
          <w:p>
            <w:pPr>
              <w:spacing w:after="0"/>
            </w:pPr>
            <w:r>
              <w:rPr>
                <w:b w:val="false"/>
                <w:bCs w:val="false"/>
                <w:color w:val="16191F"/>
                <w:sz w:val="17"/>
                <w:szCs w:val="17"/>
              </w:rPr>
              <w:t xml:space="preserve">Sprint recalé — priorité immédiate</w:t>
            </w:r>
          </w:p>
        </w:tc>
      </w:tr>
      <w:tr>
        <w:tc>
          <w:tcPr>
            <w:tcW w:type="pct" w:w="36%"/>
            <w:tcMar>
              <w:top w:type="dxa" w:w="60"/>
              <w:left w:type="dxa" w:w="90"/>
              <w:bottom w:type="dxa" w:w="60"/>
              <w:right w:type="dxa" w:w="90"/>
            </w:tcMar>
          </w:tcPr>
          <w:p>
            <w:pPr>
              <w:spacing w:after="0"/>
            </w:pPr>
            <w:r>
              <w:rPr>
                <w:b w:val="false"/>
                <w:bCs w:val="false"/>
                <w:color w:val="16191F"/>
                <w:sz w:val="17"/>
                <w:szCs w:val="17"/>
              </w:rPr>
              <w:t xml:space="preserve">Développer les services Panier et Commandes</w:t>
            </w:r>
          </w:p>
        </w:tc>
        <w:tc>
          <w:tcPr>
            <w:tcW w:type="pct" w:w="34%"/>
            <w:tcMar>
              <w:top w:type="dxa" w:w="60"/>
              <w:left w:type="dxa" w:w="90"/>
              <w:bottom w:type="dxa" w:w="60"/>
              <w:right w:type="dxa" w:w="90"/>
            </w:tcMar>
          </w:tcPr>
          <w:p>
            <w:pPr>
              <w:spacing w:after="0"/>
            </w:pPr>
            <w:r>
              <w:rPr>
                <w:b w:val="false"/>
                <w:bCs w:val="false"/>
                <w:color w:val="16191F"/>
                <w:sz w:val="17"/>
                <w:szCs w:val="17"/>
              </w:rPr>
              <w:t xml:space="preserve">F-3.1.*, F-3.2.*</w:t>
            </w:r>
          </w:p>
        </w:tc>
        <w:tc>
          <w:tcPr>
            <w:tcW w:type="pct" w:w="30%"/>
            <w:tcMar>
              <w:top w:type="dxa" w:w="60"/>
              <w:left w:type="dxa" w:w="90"/>
              <w:bottom w:type="dxa" w:w="60"/>
              <w:right w:type="dxa" w:w="90"/>
            </w:tcMar>
          </w:tcPr>
          <w:p>
            <w:pPr>
              <w:spacing w:after="0"/>
            </w:pPr>
            <w:r>
              <w:rPr>
                <w:b w:val="false"/>
                <w:bCs w:val="false"/>
                <w:color w:val="16191F"/>
                <w:sz w:val="17"/>
                <w:szCs w:val="17"/>
              </w:rPr>
              <w:t xml:space="preserve">Sprint suivant</w:t>
            </w:r>
          </w:p>
        </w:tc>
      </w:tr>
      <w:tr>
        <w:tc>
          <w:tcPr>
            <w:tcW w:type="pct" w:w="36%"/>
            <w:tcMar>
              <w:top w:type="dxa" w:w="60"/>
              <w:left w:type="dxa" w:w="90"/>
              <w:bottom w:type="dxa" w:w="60"/>
              <w:right w:type="dxa" w:w="90"/>
            </w:tcMar>
          </w:tcPr>
          <w:p>
            <w:pPr>
              <w:spacing w:after="0"/>
            </w:pPr>
            <w:r>
              <w:rPr>
                <w:b w:val="false"/>
                <w:bCs w:val="false"/>
                <w:color w:val="16191F"/>
                <w:sz w:val="17"/>
                <w:szCs w:val="17"/>
              </w:rPr>
              <w:t xml:space="preserve">Déployer sur Kubernetes et brancher l'observabilité</w:t>
            </w:r>
          </w:p>
        </w:tc>
        <w:tc>
          <w:tcPr>
            <w:tcW w:type="pct" w:w="34%"/>
            <w:tcMar>
              <w:top w:type="dxa" w:w="60"/>
              <w:left w:type="dxa" w:w="90"/>
              <w:bottom w:type="dxa" w:w="60"/>
              <w:right w:type="dxa" w:w="90"/>
            </w:tcMar>
          </w:tcPr>
          <w:p>
            <w:pPr>
              <w:spacing w:after="0"/>
            </w:pPr>
            <w:r>
              <w:rPr>
                <w:b w:val="false"/>
                <w:bCs w:val="false"/>
                <w:color w:val="16191F"/>
                <w:sz w:val="17"/>
                <w:szCs w:val="17"/>
              </w:rPr>
              <w:t xml:space="preserve">F-4.1.*, F-4.2.*, L-05</w:t>
            </w:r>
          </w:p>
        </w:tc>
        <w:tc>
          <w:tcPr>
            <w:tcW w:type="pct" w:w="30%"/>
            <w:tcMar>
              <w:top w:type="dxa" w:w="60"/>
              <w:left w:type="dxa" w:w="90"/>
              <w:bottom w:type="dxa" w:w="60"/>
              <w:right w:type="dxa" w:w="90"/>
            </w:tcMar>
          </w:tcPr>
          <w:p>
            <w:pPr>
              <w:spacing w:after="0"/>
            </w:pPr>
            <w:r>
              <w:rPr>
                <w:b w:val="false"/>
                <w:bCs w:val="false"/>
                <w:color w:val="16191F"/>
                <w:sz w:val="17"/>
                <w:szCs w:val="17"/>
              </w:rPr>
              <w:t xml:space="preserve">Sprint final</w:t>
            </w:r>
          </w:p>
        </w:tc>
      </w:tr>
      <w:tr>
        <w:tc>
          <w:tcPr>
            <w:tcW w:type="pct" w:w="36%"/>
            <w:tcMar>
              <w:top w:type="dxa" w:w="60"/>
              <w:left w:type="dxa" w:w="90"/>
              <w:bottom w:type="dxa" w:w="60"/>
              <w:right w:type="dxa" w:w="90"/>
            </w:tcMar>
          </w:tcPr>
          <w:p>
            <w:pPr>
              <w:spacing w:after="0"/>
            </w:pPr>
            <w:r>
              <w:rPr>
                <w:b w:val="false"/>
                <w:bCs w:val="false"/>
                <w:color w:val="16191F"/>
                <w:sz w:val="17"/>
                <w:szCs w:val="17"/>
              </w:rPr>
              <w:t xml:space="preserve">Produire la documentation Swagger / collection Postman</w:t>
            </w:r>
          </w:p>
        </w:tc>
        <w:tc>
          <w:tcPr>
            <w:tcW w:type="pct" w:w="34%"/>
            <w:tcMar>
              <w:top w:type="dxa" w:w="60"/>
              <w:left w:type="dxa" w:w="90"/>
              <w:bottom w:type="dxa" w:w="60"/>
              <w:right w:type="dxa" w:w="90"/>
            </w:tcMar>
          </w:tcPr>
          <w:p>
            <w:pPr>
              <w:spacing w:after="0"/>
            </w:pPr>
            <w:r>
              <w:rPr>
                <w:b w:val="false"/>
                <w:bCs w:val="false"/>
                <w:color w:val="16191F"/>
                <w:sz w:val="17"/>
                <w:szCs w:val="17"/>
              </w:rPr>
              <w:t xml:space="preserve">L-04</w:t>
            </w:r>
          </w:p>
        </w:tc>
        <w:tc>
          <w:tcPr>
            <w:tcW w:type="pct" w:w="30%"/>
            <w:tcMar>
              <w:top w:type="dxa" w:w="60"/>
              <w:left w:type="dxa" w:w="90"/>
              <w:bottom w:type="dxa" w:w="60"/>
              <w:right w:type="dxa" w:w="90"/>
            </w:tcMar>
          </w:tcPr>
          <w:p>
            <w:pPr>
              <w:spacing w:after="0"/>
            </w:pPr>
            <w:r>
              <w:rPr>
                <w:b w:val="false"/>
                <w:bCs w:val="false"/>
                <w:color w:val="16191F"/>
                <w:sz w:val="17"/>
                <w:szCs w:val="17"/>
              </w:rPr>
              <w:t xml:space="preserve">Au fil du développement de chaque service</w:t>
            </w:r>
          </w:p>
        </w:tc>
      </w:tr>
    </w:tbl>
    <w:p>
      <w:pPr>
        <w:spacing w:after="140"/>
      </w:pPr>
    </w:p>
    <w:p>
      <w:pPr>
        <w:pStyle w:val="Heading2"/>
        <w:spacing w:after="100" w:before="220"/>
      </w:pPr>
      <w:r>
        <w:t xml:space="preserve">Constat sur le planning</w:t>
      </w:r>
    </w:p>
    <w:p>
      <w:pPr>
        <w:spacing w:after="120"/>
        <w:jc w:val="both"/>
      </w:pPr>
      <w:r>
        <w:rPr>
          <w:b/>
          <w:bCs/>
        </w:rPr>
        <w:t xml:space="preserve">Fait à énoncer sans détour : </w:t>
      </w:r>
      <w:r>
        <w:t xml:space="preserve">le cahier des charges place le Sprint 2 (développement d'IAM et du Catalogue) du 15 au 28 juillet. Nous sommes le 24 juillet et aucune ligne de code n'est écrite. L'écart est réel et il ne sert à rien de le masquer.</w:t>
      </w:r>
    </w:p>
    <w:p>
      <w:pPr>
        <w:spacing w:after="120"/>
        <w:jc w:val="both"/>
      </w:pPr>
      <w:r>
        <w:t xml:space="preserve">La réponse professionnelle n'est pas d'ignorer le planning ni de prétendre le rattraper intégralement, mais de produire un planning révisé, justifié et tenable, et de l'assumer devant l'encadrement. Deux éléments plaident en ce sens : la phase de conception a été menée plus loin que ce que le cahier des charges exigeait au Sprint 1 (neuf livrables de modélisation, journal de décisions, analyse de coûts comparée), et cette avance de conception réduit mécaniquement le risque en phase de développement. Le planning révisé sera produit au Jour 3, avec l'organisation Jira.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1F3A5F"/>
      <w:sz w:val="30"/>
      <w:szCs w:val="30"/>
    </w:rPr>
  </w:style>
  <w:style w:type="paragraph" w:styleId="Heading2">
    <w:name w:val="Heading 2"/>
    <w:basedOn w:val="Normal"/>
    <w:next w:val="Normal"/>
    <w:qFormat/>
    <w:pPr>
      <w:spacing w:after="100" w:before="220"/>
    </w:pPr>
    <w:rPr>
      <w:b/>
      <w:bCs/>
      <w:color w:val="B36B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2026-07-24T12:05:06.180Z</dcterms:created>
  <dcterms:modified xsi:type="dcterms:W3CDTF">2026-07-24T12:05:06.193Z</dcterms:modified>
</cp:coreProperties>
</file>

<file path=docProps/custom.xml><?xml version="1.0" encoding="utf-8"?>
<Properties xmlns="http://schemas.openxmlformats.org/officeDocument/2006/custom-properties" xmlns:vt="http://schemas.openxmlformats.org/officeDocument/2006/docPropsVTypes"/>
</file>