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6218" w14:textId="07D074F0" w:rsidR="1B6275FF" w:rsidRDefault="75977EB0" w:rsidP="45EC30A4">
      <w:pPr>
        <w:jc w:val="center"/>
        <w:rPr>
          <w:rFonts w:ascii="Times New Roman" w:eastAsia="Times New Roman" w:hAnsi="Times New Roman" w:cs="Times New Roman"/>
          <w:sz w:val="32"/>
          <w:szCs w:val="32"/>
          <w:lang w:val="fr-FR"/>
        </w:rPr>
      </w:pPr>
      <w:r w:rsidRPr="45EC30A4">
        <w:rPr>
          <w:rFonts w:ascii="Times New Roman" w:eastAsia="Times New Roman" w:hAnsi="Times New Roman" w:cs="Times New Roman"/>
          <w:sz w:val="32"/>
          <w:szCs w:val="32"/>
          <w:lang w:val="fr-FR"/>
        </w:rPr>
        <w:t>Projet SAS</w:t>
      </w:r>
    </w:p>
    <w:p w14:paraId="2CE48072" w14:textId="69A5B720" w:rsidR="1B6275FF" w:rsidRDefault="4E3DC310" w:rsidP="45EC30A4">
      <w:pPr>
        <w:pStyle w:val="Overskrift1"/>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8"/>
          <w:szCs w:val="28"/>
          <w:lang w:val="fr-CA"/>
        </w:rPr>
        <w:t xml:space="preserve">Partie 1 : </w:t>
      </w:r>
      <w:r w:rsidRPr="45EC30A4">
        <w:rPr>
          <w:rFonts w:ascii="Times New Roman" w:eastAsia="Times New Roman" w:hAnsi="Times New Roman" w:cs="Times New Roman"/>
          <w:sz w:val="24"/>
          <w:szCs w:val="24"/>
          <w:lang w:val="fr-CA"/>
        </w:rPr>
        <w:t>IMPORT ET TRAITEMENT DES DONNÉES</w:t>
      </w:r>
    </w:p>
    <w:p w14:paraId="156F4089" w14:textId="77777777" w:rsidR="00077768" w:rsidRPr="00077768" w:rsidRDefault="00077768" w:rsidP="00077768">
      <w:pPr>
        <w:rPr>
          <w:lang w:val="fr-CA"/>
        </w:rPr>
      </w:pPr>
    </w:p>
    <w:p w14:paraId="7DA691C7" w14:textId="0F82EC96" w:rsidR="1B6275FF" w:rsidRDefault="4E3DC310" w:rsidP="45EC30A4">
      <w:pPr>
        <w:spacing w:line="276" w:lineRule="auto"/>
        <w:jc w:val="both"/>
        <w:rPr>
          <w:rFonts w:eastAsiaTheme="minorEastAsia"/>
          <w:sz w:val="24"/>
          <w:szCs w:val="24"/>
          <w:lang w:val="fr-CA"/>
        </w:rPr>
      </w:pPr>
      <w:r w:rsidRPr="45EC30A4">
        <w:rPr>
          <w:rFonts w:eastAsiaTheme="minorEastAsia"/>
          <w:sz w:val="24"/>
          <w:szCs w:val="24"/>
          <w:lang w:val="fr-CA"/>
        </w:rPr>
        <w:t xml:space="preserve">Tout d’abord nous avons importé le fichier </w:t>
      </w:r>
      <w:r w:rsidRPr="45EC30A4">
        <w:rPr>
          <w:rFonts w:eastAsiaTheme="minorEastAsia"/>
          <w:i/>
          <w:iCs/>
          <w:sz w:val="24"/>
          <w:szCs w:val="24"/>
          <w:lang w:val="fr-CA"/>
        </w:rPr>
        <w:t>Sashelp.Demographics</w:t>
      </w:r>
      <w:r w:rsidRPr="45EC30A4">
        <w:rPr>
          <w:rFonts w:eastAsiaTheme="minorEastAsia"/>
          <w:sz w:val="24"/>
          <w:szCs w:val="24"/>
          <w:lang w:val="fr-CA"/>
        </w:rPr>
        <w:t xml:space="preserve"> dans notre propre bibliothèque afin d’y appliquer des modifications dans le nom de certains pays. Ces modifications ont été appliqués afin de pouvoir fusionner les données de la table </w:t>
      </w:r>
      <w:r w:rsidRPr="45EC30A4">
        <w:rPr>
          <w:rFonts w:eastAsiaTheme="minorEastAsia"/>
          <w:i/>
          <w:iCs/>
          <w:sz w:val="24"/>
          <w:szCs w:val="24"/>
          <w:lang w:val="fr-CA"/>
        </w:rPr>
        <w:t>Demographics</w:t>
      </w:r>
      <w:r w:rsidRPr="45EC30A4">
        <w:rPr>
          <w:rFonts w:eastAsiaTheme="minorEastAsia"/>
          <w:sz w:val="24"/>
          <w:szCs w:val="24"/>
          <w:lang w:val="fr-CA"/>
        </w:rPr>
        <w:t xml:space="preserve"> et </w:t>
      </w:r>
      <w:r w:rsidRPr="45EC30A4">
        <w:rPr>
          <w:rFonts w:eastAsiaTheme="minorEastAsia"/>
          <w:i/>
          <w:iCs/>
          <w:sz w:val="24"/>
          <w:szCs w:val="24"/>
          <w:lang w:val="fr-CA"/>
        </w:rPr>
        <w:t>Pays_covid_hebdo_1</w:t>
      </w:r>
      <w:r w:rsidRPr="45EC30A4">
        <w:rPr>
          <w:rFonts w:eastAsiaTheme="minorEastAsia"/>
          <w:sz w:val="24"/>
          <w:szCs w:val="24"/>
          <w:lang w:val="fr-CA"/>
        </w:rPr>
        <w:t xml:space="preserve">, selon la colonne </w:t>
      </w:r>
      <w:r w:rsidRPr="45EC30A4">
        <w:rPr>
          <w:rFonts w:eastAsiaTheme="minorEastAsia"/>
          <w:i/>
          <w:iCs/>
          <w:sz w:val="24"/>
          <w:szCs w:val="24"/>
          <w:lang w:val="fr-CA"/>
        </w:rPr>
        <w:t>Pays</w:t>
      </w:r>
      <w:r w:rsidRPr="45EC30A4">
        <w:rPr>
          <w:rFonts w:eastAsiaTheme="minorEastAsia"/>
          <w:sz w:val="24"/>
          <w:szCs w:val="24"/>
          <w:lang w:val="fr-CA"/>
        </w:rPr>
        <w:t xml:space="preserve"> d’où la nécessité de devoir modifier les noms de certains pays dans </w:t>
      </w:r>
      <w:r w:rsidRPr="45EC30A4">
        <w:rPr>
          <w:rFonts w:eastAsiaTheme="minorEastAsia"/>
          <w:i/>
          <w:iCs/>
          <w:sz w:val="24"/>
          <w:szCs w:val="24"/>
          <w:lang w:val="fr-CA"/>
        </w:rPr>
        <w:t>Demographics</w:t>
      </w:r>
      <w:r w:rsidRPr="45EC30A4">
        <w:rPr>
          <w:rFonts w:eastAsiaTheme="minorEastAsia"/>
          <w:sz w:val="24"/>
          <w:szCs w:val="24"/>
          <w:lang w:val="fr-CA"/>
        </w:rPr>
        <w:t xml:space="preserve"> pour que la fusion soit bien appliqué.</w:t>
      </w:r>
    </w:p>
    <w:p w14:paraId="08B070BD" w14:textId="37491BF0" w:rsidR="1B6275FF" w:rsidRDefault="4E3DC310" w:rsidP="45EC30A4">
      <w:pPr>
        <w:spacing w:line="276" w:lineRule="auto"/>
        <w:jc w:val="both"/>
        <w:rPr>
          <w:rFonts w:eastAsiaTheme="minorEastAsia"/>
          <w:sz w:val="24"/>
          <w:szCs w:val="24"/>
          <w:lang w:val="fr-CA"/>
        </w:rPr>
      </w:pPr>
      <w:r w:rsidRPr="45EC30A4">
        <w:rPr>
          <w:rFonts w:eastAsiaTheme="minorEastAsia"/>
          <w:sz w:val="24"/>
          <w:szCs w:val="24"/>
          <w:lang w:val="fr-CA"/>
        </w:rPr>
        <w:t xml:space="preserve">Après quelques manipulations sur SAS, nous nous retrouvons avec les deux tables sur lesquelles vont se poser notre analyse; </w:t>
      </w:r>
      <w:r w:rsidRPr="45EC30A4">
        <w:rPr>
          <w:rFonts w:eastAsiaTheme="minorEastAsia"/>
          <w:i/>
          <w:iCs/>
          <w:sz w:val="24"/>
          <w:szCs w:val="24"/>
          <w:lang w:val="fr-CA"/>
        </w:rPr>
        <w:t>PAYS_covid_act</w:t>
      </w:r>
      <w:r w:rsidRPr="45EC30A4">
        <w:rPr>
          <w:rFonts w:eastAsiaTheme="minorEastAsia"/>
          <w:sz w:val="24"/>
          <w:szCs w:val="24"/>
          <w:lang w:val="fr-CA"/>
        </w:rPr>
        <w:t xml:space="preserve"> et </w:t>
      </w:r>
      <w:r w:rsidRPr="45EC30A4">
        <w:rPr>
          <w:rFonts w:eastAsiaTheme="minorEastAsia"/>
          <w:i/>
          <w:iCs/>
          <w:sz w:val="24"/>
          <w:szCs w:val="24"/>
          <w:lang w:val="fr-CA"/>
        </w:rPr>
        <w:t>IDX_covid_hebdo</w:t>
      </w:r>
      <w:r w:rsidRPr="45EC30A4">
        <w:rPr>
          <w:rFonts w:eastAsiaTheme="minorEastAsia"/>
          <w:sz w:val="24"/>
          <w:szCs w:val="24"/>
          <w:lang w:val="fr-CA"/>
        </w:rPr>
        <w:t>.</w:t>
      </w:r>
    </w:p>
    <w:p w14:paraId="2A7B0E25" w14:textId="10C621DF" w:rsidR="1B6275FF" w:rsidRDefault="4E3DC310" w:rsidP="45EC30A4">
      <w:pPr>
        <w:pStyle w:val="Overskrift1"/>
        <w:rPr>
          <w:rFonts w:ascii="Times New Roman" w:eastAsia="Times New Roman" w:hAnsi="Times New Roman" w:cs="Times New Roman"/>
          <w:sz w:val="28"/>
          <w:szCs w:val="28"/>
          <w:lang w:val="fr-CA"/>
        </w:rPr>
      </w:pPr>
      <w:r w:rsidRPr="45EC30A4">
        <w:rPr>
          <w:rFonts w:ascii="Times New Roman" w:eastAsia="Times New Roman" w:hAnsi="Times New Roman" w:cs="Times New Roman"/>
          <w:sz w:val="28"/>
          <w:szCs w:val="28"/>
          <w:lang w:val="fr-CA"/>
        </w:rPr>
        <w:t xml:space="preserve">Partie 2 : </w:t>
      </w:r>
      <w:r w:rsidRPr="45EC30A4">
        <w:rPr>
          <w:rFonts w:ascii="Times New Roman" w:eastAsia="Times New Roman" w:hAnsi="Times New Roman" w:cs="Times New Roman"/>
          <w:sz w:val="24"/>
          <w:szCs w:val="24"/>
          <w:lang w:val="fr-CA"/>
        </w:rPr>
        <w:t>ÉLABORATION DE DONNÉES STATISTIQUES</w:t>
      </w:r>
    </w:p>
    <w:p w14:paraId="2F95D0D4" w14:textId="0DF259B1" w:rsidR="1B6275FF" w:rsidRDefault="4E3DC310" w:rsidP="45EC30A4">
      <w:pPr>
        <w:spacing w:line="276" w:lineRule="auto"/>
        <w:jc w:val="both"/>
        <w:rPr>
          <w:rFonts w:eastAsiaTheme="minorEastAsia"/>
          <w:sz w:val="24"/>
          <w:szCs w:val="24"/>
          <w:lang w:val="fr-CA"/>
        </w:rPr>
      </w:pPr>
      <w:r w:rsidRPr="45EC30A4">
        <w:rPr>
          <w:rFonts w:eastAsiaTheme="minorEastAsia"/>
          <w:sz w:val="24"/>
          <w:szCs w:val="24"/>
          <w:lang w:val="fr-CA"/>
        </w:rPr>
        <w:t>a)</w:t>
      </w:r>
    </w:p>
    <w:p w14:paraId="18AFD7A6" w14:textId="031681D8" w:rsidR="1B6275FF" w:rsidRDefault="4E3DC310" w:rsidP="45EC30A4">
      <w:pPr>
        <w:spacing w:line="276" w:lineRule="auto"/>
        <w:jc w:val="both"/>
        <w:rPr>
          <w:rFonts w:eastAsiaTheme="minorEastAsia"/>
          <w:sz w:val="24"/>
          <w:szCs w:val="24"/>
          <w:lang w:val="fr-CA"/>
        </w:rPr>
      </w:pPr>
      <w:r w:rsidRPr="45EC30A4">
        <w:rPr>
          <w:rFonts w:eastAsiaTheme="minorEastAsia"/>
          <w:sz w:val="24"/>
          <w:szCs w:val="24"/>
          <w:lang w:val="fr-CA"/>
        </w:rPr>
        <w:t xml:space="preserve">Afin de proposer des analyses des pays les plus touchés en termes de nombre d’infections et de décès, on a décidé de diviser ces données par la population totale de chaque pays, puis de multiplier par 100 000 afin d’obtenir un ratio sur 100 000 habitants. Les colonnes nouvellement créées sont nommées taux_deces et taux_cas. </w:t>
      </w:r>
    </w:p>
    <w:p w14:paraId="2035A9AD" w14:textId="5BE71D48" w:rsidR="1B6275FF" w:rsidRDefault="4E3DC310" w:rsidP="45EC30A4">
      <w:pPr>
        <w:spacing w:line="276" w:lineRule="auto"/>
        <w:jc w:val="both"/>
        <w:rPr>
          <w:rFonts w:eastAsiaTheme="minorEastAsia"/>
          <w:sz w:val="24"/>
          <w:szCs w:val="24"/>
          <w:lang w:val="fr-CA"/>
        </w:rPr>
      </w:pPr>
      <w:r w:rsidRPr="45EC30A4">
        <w:rPr>
          <w:rFonts w:eastAsiaTheme="minorEastAsia"/>
          <w:sz w:val="24"/>
          <w:szCs w:val="24"/>
          <w:lang w:val="fr-CA"/>
        </w:rPr>
        <w:t>La manière dont nous nous sommes pris pour déterminer les pays les plus touchés en termes d’infections et de décès a été d’abord d’obtenir le troisième quartile des deux taux puis de sélectionner les observations ayant un taux plus élevé que le troisième quartile obtenu. À partir des données obtenues, on a déterminé la fréquence des régions ayant un pays avec un taux de cas et de décès supérieur au 3</w:t>
      </w:r>
      <w:r w:rsidRPr="45EC30A4">
        <w:rPr>
          <w:rFonts w:eastAsiaTheme="minorEastAsia"/>
          <w:sz w:val="24"/>
          <w:szCs w:val="24"/>
          <w:vertAlign w:val="superscript"/>
          <w:lang w:val="fr-CA"/>
        </w:rPr>
        <w:t>ème</w:t>
      </w:r>
      <w:r w:rsidRPr="45EC30A4">
        <w:rPr>
          <w:rFonts w:eastAsiaTheme="minorEastAsia"/>
          <w:sz w:val="24"/>
          <w:szCs w:val="24"/>
          <w:lang w:val="fr-CA"/>
        </w:rPr>
        <w:t xml:space="preserve"> quartile ainsi que des statistiques descriptives.</w:t>
      </w:r>
    </w:p>
    <w:p w14:paraId="38634865" w14:textId="0D14AB06" w:rsidR="1B6275FF"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 Fréquence des régions présentant des pays avec un taux d'incidence élevé</w:t>
      </w:r>
    </w:p>
    <w:p w14:paraId="65C9BEC6" w14:textId="11488E2C" w:rsidR="1B6275FF" w:rsidRDefault="4D4AC844" w:rsidP="45EC30A4">
      <w:pPr>
        <w:jc w:val="center"/>
        <w:rPr>
          <w:rFonts w:ascii="Times New Roman" w:eastAsia="Times New Roman" w:hAnsi="Times New Roman" w:cs="Times New Roman"/>
        </w:rPr>
      </w:pPr>
      <w:r>
        <w:rPr>
          <w:noProof/>
        </w:rPr>
        <w:drawing>
          <wp:inline distT="0" distB="0" distL="0" distR="0" wp14:anchorId="59104223" wp14:editId="1CB0AD68">
            <wp:extent cx="1329844" cy="855377"/>
            <wp:effectExtent l="0" t="0" r="0" b="0"/>
            <wp:docPr id="65274548" name="Bilde 6527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29844" cy="855377"/>
                    </a:xfrm>
                    <a:prstGeom prst="rect">
                      <a:avLst/>
                    </a:prstGeom>
                  </pic:spPr>
                </pic:pic>
              </a:graphicData>
            </a:graphic>
          </wp:inline>
        </w:drawing>
      </w:r>
    </w:p>
    <w:p w14:paraId="4A458FA8" w14:textId="51492740"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2: Statistiques descriptives des pays présentant un taux d'incidence élevée</w:t>
      </w:r>
    </w:p>
    <w:p w14:paraId="45183064" w14:textId="164E3734" w:rsidR="4D4AC844" w:rsidRDefault="4D4AC844" w:rsidP="45EC30A4">
      <w:pPr>
        <w:jc w:val="center"/>
        <w:rPr>
          <w:rFonts w:ascii="Times New Roman" w:eastAsia="Times New Roman" w:hAnsi="Times New Roman" w:cs="Times New Roman"/>
        </w:rPr>
      </w:pPr>
      <w:r>
        <w:rPr>
          <w:noProof/>
        </w:rPr>
        <w:drawing>
          <wp:inline distT="0" distB="0" distL="0" distR="0" wp14:anchorId="6E461615" wp14:editId="0162165A">
            <wp:extent cx="5055476" cy="704850"/>
            <wp:effectExtent l="0" t="0" r="0" b="0"/>
            <wp:docPr id="476430124" name="Bilde 47643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55476" cy="704850"/>
                    </a:xfrm>
                    <a:prstGeom prst="rect">
                      <a:avLst/>
                    </a:prstGeom>
                  </pic:spPr>
                </pic:pic>
              </a:graphicData>
            </a:graphic>
          </wp:inline>
        </w:drawing>
      </w:r>
    </w:p>
    <w:p w14:paraId="09093ACB" w14:textId="6801FB5B" w:rsidR="4D4AC844" w:rsidRDefault="4D4AC844" w:rsidP="45EC30A4">
      <w:pPr>
        <w:spacing w:line="276" w:lineRule="auto"/>
        <w:jc w:val="both"/>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4"/>
          <w:szCs w:val="24"/>
          <w:lang w:val="fr-CA"/>
        </w:rPr>
        <w:t xml:space="preserve">On observe que les pays présentant un taux d’incidence élevée se trouve en grande majorité en Europe. Ensuite, on a sorti les statistiques descriptives de ces pays selon le GNI le taux de décès et le ration cas/décès. Au tableau 2, on remarque que les pays plus touchés sont relativement riches </w:t>
      </w:r>
      <w:r w:rsidRPr="45EC30A4">
        <w:rPr>
          <w:rFonts w:ascii="Times New Roman" w:eastAsia="Times New Roman" w:hAnsi="Times New Roman" w:cs="Times New Roman"/>
          <w:sz w:val="24"/>
          <w:szCs w:val="24"/>
          <w:lang w:val="fr-CA"/>
        </w:rPr>
        <w:lastRenderedPageBreak/>
        <w:t>en général et présente un taux de décès tout aussi élevé. En effet, le 3</w:t>
      </w:r>
      <w:r w:rsidRPr="45EC30A4">
        <w:rPr>
          <w:rFonts w:ascii="Times New Roman" w:eastAsia="Times New Roman" w:hAnsi="Times New Roman" w:cs="Times New Roman"/>
          <w:sz w:val="24"/>
          <w:szCs w:val="24"/>
          <w:vertAlign w:val="superscript"/>
          <w:lang w:val="fr-CA"/>
        </w:rPr>
        <w:t>ème</w:t>
      </w:r>
      <w:r w:rsidRPr="45EC30A4">
        <w:rPr>
          <w:rFonts w:ascii="Times New Roman" w:eastAsia="Times New Roman" w:hAnsi="Times New Roman" w:cs="Times New Roman"/>
          <w:sz w:val="24"/>
          <w:szCs w:val="24"/>
          <w:lang w:val="fr-CA"/>
        </w:rPr>
        <w:t xml:space="preserve"> quartile des taux de décès est de 72.706663, alors que le quartile inférieur des pays les plus touché est de 73.9577085, démontrant une certaine corrélation entre cas et décès et cela malgré la richesse et ressources en possessions d’un pays.</w:t>
      </w:r>
    </w:p>
    <w:p w14:paraId="685519F5" w14:textId="4EDF58AD"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3: Fréquence des régions démontrant le plus pays avec un taux de décès supérieur au 3ème quartile</w:t>
      </w:r>
    </w:p>
    <w:p w14:paraId="6B497A28" w14:textId="5DC0B116" w:rsidR="4D4AC844" w:rsidRDefault="4D4AC844" w:rsidP="45EC30A4">
      <w:pPr>
        <w:jc w:val="center"/>
        <w:rPr>
          <w:rFonts w:ascii="Times New Roman" w:eastAsia="Times New Roman" w:hAnsi="Times New Roman" w:cs="Times New Roman"/>
        </w:rPr>
      </w:pPr>
      <w:r>
        <w:rPr>
          <w:noProof/>
        </w:rPr>
        <w:drawing>
          <wp:inline distT="0" distB="0" distL="0" distR="0" wp14:anchorId="5E10D892" wp14:editId="437509BA">
            <wp:extent cx="1056032" cy="959402"/>
            <wp:effectExtent l="0" t="0" r="0" b="0"/>
            <wp:docPr id="1383733322" name="Bilde 138373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56032" cy="959402"/>
                    </a:xfrm>
                    <a:prstGeom prst="rect">
                      <a:avLst/>
                    </a:prstGeom>
                  </pic:spPr>
                </pic:pic>
              </a:graphicData>
            </a:graphic>
          </wp:inline>
        </w:drawing>
      </w:r>
    </w:p>
    <w:p w14:paraId="63BCD95C" w14:textId="0CF63AE1"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4: Statistiques desccriptives des pays présentant un taux de décès élevé</w:t>
      </w:r>
    </w:p>
    <w:p w14:paraId="78991AFF" w14:textId="39C15706" w:rsidR="4D4AC844" w:rsidRDefault="4D4AC844" w:rsidP="45EC30A4">
      <w:pPr>
        <w:jc w:val="center"/>
        <w:rPr>
          <w:rFonts w:ascii="Times New Roman" w:eastAsia="Times New Roman" w:hAnsi="Times New Roman" w:cs="Times New Roman"/>
        </w:rPr>
      </w:pPr>
      <w:r>
        <w:rPr>
          <w:noProof/>
        </w:rPr>
        <w:drawing>
          <wp:inline distT="0" distB="0" distL="0" distR="0" wp14:anchorId="2F62F500" wp14:editId="77A547DB">
            <wp:extent cx="5334000" cy="803519"/>
            <wp:effectExtent l="0" t="0" r="0" b="0"/>
            <wp:docPr id="895547385" name="Bilde 89554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803519"/>
                    </a:xfrm>
                    <a:prstGeom prst="rect">
                      <a:avLst/>
                    </a:prstGeom>
                  </pic:spPr>
                </pic:pic>
              </a:graphicData>
            </a:graphic>
          </wp:inline>
        </w:drawing>
      </w:r>
    </w:p>
    <w:p w14:paraId="3C0E2657" w14:textId="3F7B4432" w:rsidR="4D4AC844" w:rsidRDefault="4D4AC844" w:rsidP="45EC30A4">
      <w:pPr>
        <w:spacing w:line="276" w:lineRule="auto"/>
        <w:jc w:val="both"/>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4"/>
          <w:szCs w:val="24"/>
          <w:lang w:val="fr-CA"/>
        </w:rPr>
        <w:t>Comme pour les pays démontrant un haut taux d’infection, les pays avec un taux de décès élevé se trouve majoritairement en Europe. Le tableau 4 confirme les remarques apportées pour le taux d’incidence.</w:t>
      </w:r>
    </w:p>
    <w:p w14:paraId="3037BA90" w14:textId="30C59E5C"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5: Indicateur de position et de dispersion pour la variable décès</w:t>
      </w:r>
    </w:p>
    <w:p w14:paraId="0B6378B4" w14:textId="1AD85AC4" w:rsidR="4D4AC844" w:rsidRDefault="4D4AC844" w:rsidP="45EC30A4">
      <w:pPr>
        <w:jc w:val="center"/>
        <w:rPr>
          <w:rFonts w:ascii="Times New Roman" w:eastAsia="Times New Roman" w:hAnsi="Times New Roman" w:cs="Times New Roman"/>
        </w:rPr>
      </w:pPr>
      <w:r>
        <w:rPr>
          <w:noProof/>
        </w:rPr>
        <w:drawing>
          <wp:inline distT="0" distB="0" distL="0" distR="0" wp14:anchorId="4ED5CC1A" wp14:editId="42291789">
            <wp:extent cx="2396722" cy="999130"/>
            <wp:effectExtent l="0" t="0" r="0" b="0"/>
            <wp:docPr id="208647211" name="Bilde 20864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96722" cy="999130"/>
                    </a:xfrm>
                    <a:prstGeom prst="rect">
                      <a:avLst/>
                    </a:prstGeom>
                  </pic:spPr>
                </pic:pic>
              </a:graphicData>
            </a:graphic>
          </wp:inline>
        </w:drawing>
      </w:r>
    </w:p>
    <w:p w14:paraId="25767FB8" w14:textId="0B4594E9" w:rsidR="4D4AC844" w:rsidRDefault="4D4AC844" w:rsidP="45EC30A4">
      <w:pPr>
        <w:jc w:val="center"/>
        <w:rPr>
          <w:rFonts w:ascii="Times New Roman" w:eastAsia="Times New Roman" w:hAnsi="Times New Roman" w:cs="Times New Roman"/>
        </w:rPr>
      </w:pPr>
      <w:r>
        <w:rPr>
          <w:noProof/>
        </w:rPr>
        <w:drawing>
          <wp:inline distT="0" distB="0" distL="0" distR="0" wp14:anchorId="7D1A1D91" wp14:editId="5F904942">
            <wp:extent cx="3614775" cy="2693703"/>
            <wp:effectExtent l="0" t="0" r="0" b="0"/>
            <wp:docPr id="205621177" name="Bilde 20562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14775" cy="2693703"/>
                    </a:xfrm>
                    <a:prstGeom prst="rect">
                      <a:avLst/>
                    </a:prstGeom>
                  </pic:spPr>
                </pic:pic>
              </a:graphicData>
            </a:graphic>
          </wp:inline>
        </w:drawing>
      </w:r>
    </w:p>
    <w:p w14:paraId="34F2D12D" w14:textId="4339381C"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lastRenderedPageBreak/>
        <w:t>Figure 1: Boxplot de la variable décès</w:t>
      </w:r>
    </w:p>
    <w:p w14:paraId="0DF5CC46" w14:textId="09968A3C" w:rsidR="45EC30A4" w:rsidRPr="00420C28" w:rsidRDefault="45EC30A4" w:rsidP="45EC30A4">
      <w:pPr>
        <w:jc w:val="center"/>
        <w:rPr>
          <w:rFonts w:ascii="Times New Roman" w:eastAsia="Times New Roman" w:hAnsi="Times New Roman" w:cs="Times New Roman"/>
          <w:lang w:val="fr-FR"/>
        </w:rPr>
      </w:pPr>
    </w:p>
    <w:p w14:paraId="164063C4" w14:textId="65318A88"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6: Indicateur de position et de dispersion pour la variable guérison</w:t>
      </w:r>
    </w:p>
    <w:p w14:paraId="44FC8610" w14:textId="500071D2" w:rsidR="4D4AC844" w:rsidRDefault="4D4AC844" w:rsidP="45EC30A4">
      <w:pPr>
        <w:jc w:val="center"/>
        <w:rPr>
          <w:rFonts w:ascii="Times New Roman" w:eastAsia="Times New Roman" w:hAnsi="Times New Roman" w:cs="Times New Roman"/>
        </w:rPr>
      </w:pPr>
      <w:r>
        <w:rPr>
          <w:noProof/>
        </w:rPr>
        <w:drawing>
          <wp:inline distT="0" distB="0" distL="0" distR="0" wp14:anchorId="3009B72C" wp14:editId="00503589">
            <wp:extent cx="2362200" cy="1001036"/>
            <wp:effectExtent l="0" t="0" r="0" b="0"/>
            <wp:docPr id="905170812" name="Bilde 90517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62200" cy="1001036"/>
                    </a:xfrm>
                    <a:prstGeom prst="rect">
                      <a:avLst/>
                    </a:prstGeom>
                  </pic:spPr>
                </pic:pic>
              </a:graphicData>
            </a:graphic>
          </wp:inline>
        </w:drawing>
      </w:r>
    </w:p>
    <w:p w14:paraId="5DFB4325" w14:textId="4FD881CC" w:rsidR="4D4AC844" w:rsidRDefault="4D4AC844" w:rsidP="45EC30A4">
      <w:pPr>
        <w:jc w:val="center"/>
      </w:pPr>
      <w:r>
        <w:rPr>
          <w:noProof/>
        </w:rPr>
        <w:drawing>
          <wp:inline distT="0" distB="0" distL="0" distR="0" wp14:anchorId="164D5FB5" wp14:editId="5D797A66">
            <wp:extent cx="3679128" cy="2759346"/>
            <wp:effectExtent l="0" t="0" r="0" b="0"/>
            <wp:docPr id="1829968561" name="Bilde 182996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79128" cy="2759346"/>
                    </a:xfrm>
                    <a:prstGeom prst="rect">
                      <a:avLst/>
                    </a:prstGeom>
                  </pic:spPr>
                </pic:pic>
              </a:graphicData>
            </a:graphic>
          </wp:inline>
        </w:drawing>
      </w:r>
    </w:p>
    <w:p w14:paraId="760671B4" w14:textId="3E9BA9EE"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Figure 2: Boxplot de la variable guérison</w:t>
      </w:r>
    </w:p>
    <w:p w14:paraId="4BE3F82F" w14:textId="722DAF56" w:rsidR="4D4AC844" w:rsidRDefault="4D4AC844" w:rsidP="45EC30A4">
      <w:pPr>
        <w:jc w:val="center"/>
        <w:rPr>
          <w:rFonts w:ascii="Times New Roman" w:eastAsia="Times New Roman" w:hAnsi="Times New Roman" w:cs="Times New Roman"/>
        </w:rPr>
      </w:pPr>
      <w:r>
        <w:rPr>
          <w:noProof/>
        </w:rPr>
        <w:drawing>
          <wp:inline distT="0" distB="0" distL="0" distR="0" wp14:anchorId="2EA8CA6E" wp14:editId="08E87758">
            <wp:extent cx="3605506" cy="2692573"/>
            <wp:effectExtent l="0" t="0" r="0" b="0"/>
            <wp:docPr id="910561227" name="Bilde 91056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05506" cy="2692573"/>
                    </a:xfrm>
                    <a:prstGeom prst="rect">
                      <a:avLst/>
                    </a:prstGeom>
                  </pic:spPr>
                </pic:pic>
              </a:graphicData>
            </a:graphic>
          </wp:inline>
        </w:drawing>
      </w:r>
    </w:p>
    <w:p w14:paraId="477CD9D4" w14:textId="53D9B38F"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Figure 3: Nuage de points du nombre de décès et de guérisons par pays</w:t>
      </w:r>
    </w:p>
    <w:p w14:paraId="29A02989" w14:textId="287FB1D5" w:rsidR="4D4AC844" w:rsidRDefault="4D4AC844" w:rsidP="45EC30A4">
      <w:pPr>
        <w:rPr>
          <w:rFonts w:eastAsiaTheme="minorEastAsia"/>
          <w:sz w:val="24"/>
          <w:szCs w:val="24"/>
          <w:lang w:val="fr-CA"/>
        </w:rPr>
      </w:pPr>
      <w:r w:rsidRPr="45EC30A4">
        <w:rPr>
          <w:rFonts w:eastAsiaTheme="minorEastAsia"/>
          <w:sz w:val="24"/>
          <w:szCs w:val="24"/>
          <w:lang w:val="fr-CA"/>
        </w:rPr>
        <w:lastRenderedPageBreak/>
        <w:t xml:space="preserve">À partir des tableaux et figures présentés ci-dessus, les variables </w:t>
      </w:r>
      <w:r w:rsidRPr="45EC30A4">
        <w:rPr>
          <w:rFonts w:eastAsiaTheme="minorEastAsia"/>
          <w:i/>
          <w:iCs/>
          <w:sz w:val="24"/>
          <w:szCs w:val="24"/>
          <w:lang w:val="fr-CA"/>
        </w:rPr>
        <w:t>décès</w:t>
      </w:r>
      <w:r w:rsidRPr="45EC30A4">
        <w:rPr>
          <w:rFonts w:eastAsiaTheme="minorEastAsia"/>
          <w:sz w:val="24"/>
          <w:szCs w:val="24"/>
          <w:lang w:val="fr-CA"/>
        </w:rPr>
        <w:t xml:space="preserve"> et </w:t>
      </w:r>
      <w:r w:rsidRPr="45EC30A4">
        <w:rPr>
          <w:rFonts w:eastAsiaTheme="minorEastAsia"/>
          <w:i/>
          <w:iCs/>
          <w:sz w:val="24"/>
          <w:szCs w:val="24"/>
          <w:lang w:val="fr-CA"/>
        </w:rPr>
        <w:t>guérisons</w:t>
      </w:r>
      <w:r w:rsidRPr="45EC30A4">
        <w:rPr>
          <w:rFonts w:eastAsiaTheme="minorEastAsia"/>
          <w:sz w:val="24"/>
          <w:szCs w:val="24"/>
          <w:lang w:val="fr-CA"/>
        </w:rPr>
        <w:t xml:space="preserve"> sont très variables. Cela est surtout dû aux observations, quelques peu nombreuses, aux extremums supérieurs. Ceci est clairement identifiables dans la figure 3, démontrant la majorité des observations avec un nombre de décès et de cas relativement faible aux quelques dizaines démontrant des valeurs importantes.</w:t>
      </w:r>
    </w:p>
    <w:p w14:paraId="5B7C330E" w14:textId="47B4F518" w:rsidR="4D4AC844" w:rsidRDefault="4D4AC844" w:rsidP="45EC30A4">
      <w:pPr>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4"/>
          <w:szCs w:val="24"/>
          <w:lang w:val="fr-CA"/>
        </w:rPr>
        <w:t xml:space="preserve">c) </w:t>
      </w:r>
    </w:p>
    <w:p w14:paraId="53F62263" w14:textId="3BAF2D37" w:rsidR="4D4AC844" w:rsidRDefault="4D4AC844" w:rsidP="45EC30A4">
      <w:pPr>
        <w:rPr>
          <w:rFonts w:eastAsiaTheme="minorEastAsia"/>
          <w:sz w:val="24"/>
          <w:szCs w:val="24"/>
          <w:lang w:val="fr-CA"/>
        </w:rPr>
      </w:pPr>
      <w:r w:rsidRPr="45EC30A4">
        <w:rPr>
          <w:rFonts w:eastAsiaTheme="minorEastAsia"/>
          <w:sz w:val="24"/>
          <w:szCs w:val="24"/>
          <w:lang w:val="fr-CA"/>
        </w:rPr>
        <w:t xml:space="preserve"> Avant de tester la normalité des variables taux décès et taux d’infection, nous avons standardiser ces derniers afin que les données puissent être comparable entre elles. Pour cela, nous avons décidé d’utiliser la médiane comme valeur de référence et l'intervalle interquartile (divisé par deux) comme paramètre de dispersion. En effet, étant donné qu’on teste la normalité d’un échantillon et que nous ne connaissons pas sa distribution, standardiser selon la moyenne et l’écart-type n’est pleinement valable que lorsqu’elle appliqué à des distributions unimodales et symétriques. Ainsi, comme la distribution ne se montre pas symétrique et unimodale, il est préférable de standardiser selon la médiane et l’intervalle interquartile.</w:t>
      </w:r>
    </w:p>
    <w:p w14:paraId="3F2CA048" w14:textId="24FEF662" w:rsidR="45EC30A4" w:rsidRDefault="45EC30A4" w:rsidP="45EC30A4">
      <w:pPr>
        <w:jc w:val="both"/>
        <w:rPr>
          <w:rFonts w:ascii="Times New Roman" w:eastAsia="Times New Roman" w:hAnsi="Times New Roman" w:cs="Times New Roman"/>
          <w:sz w:val="24"/>
          <w:szCs w:val="24"/>
          <w:lang w:val="fr-CA"/>
        </w:rPr>
      </w:pPr>
    </w:p>
    <w:p w14:paraId="55E9A478" w14:textId="26416FA4"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7: Test de Normalité pour le taux de cas standardisé</w:t>
      </w:r>
    </w:p>
    <w:p w14:paraId="6817E90A" w14:textId="5C98A426" w:rsidR="4D4AC844" w:rsidRDefault="4D4AC844" w:rsidP="45EC30A4">
      <w:pPr>
        <w:jc w:val="center"/>
        <w:rPr>
          <w:rFonts w:ascii="Times New Roman" w:eastAsia="Times New Roman" w:hAnsi="Times New Roman" w:cs="Times New Roman"/>
        </w:rPr>
      </w:pPr>
      <w:r>
        <w:rPr>
          <w:noProof/>
        </w:rPr>
        <w:drawing>
          <wp:inline distT="0" distB="0" distL="0" distR="0" wp14:anchorId="321889EC" wp14:editId="5E3A0E00">
            <wp:extent cx="3028950" cy="1165983"/>
            <wp:effectExtent l="0" t="0" r="0" b="0"/>
            <wp:docPr id="548330954" name="Bilde 54833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28950" cy="1165983"/>
                    </a:xfrm>
                    <a:prstGeom prst="rect">
                      <a:avLst/>
                    </a:prstGeom>
                  </pic:spPr>
                </pic:pic>
              </a:graphicData>
            </a:graphic>
          </wp:inline>
        </w:drawing>
      </w:r>
    </w:p>
    <w:p w14:paraId="26C6D439" w14:textId="5FC592A6" w:rsidR="45EC30A4" w:rsidRDefault="45EC30A4" w:rsidP="45EC30A4">
      <w:pPr>
        <w:jc w:val="center"/>
        <w:rPr>
          <w:rFonts w:ascii="Times New Roman" w:eastAsia="Times New Roman" w:hAnsi="Times New Roman" w:cs="Times New Roman"/>
          <w:i/>
          <w:iCs/>
          <w:color w:val="44546A" w:themeColor="text2"/>
          <w:sz w:val="18"/>
          <w:szCs w:val="18"/>
          <w:lang w:val="fr-CA"/>
        </w:rPr>
      </w:pPr>
    </w:p>
    <w:p w14:paraId="1DC78ED1" w14:textId="1BB06FCA" w:rsidR="4D4AC844" w:rsidRDefault="4D4AC844"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8: Test de Normalité pour le taux de décès standardiser</w:t>
      </w:r>
    </w:p>
    <w:p w14:paraId="1159B45A" w14:textId="39E24A49" w:rsidR="4D4AC844" w:rsidRDefault="4D4AC844" w:rsidP="45EC30A4">
      <w:pPr>
        <w:jc w:val="center"/>
        <w:rPr>
          <w:rFonts w:ascii="Times New Roman" w:eastAsia="Times New Roman" w:hAnsi="Times New Roman" w:cs="Times New Roman"/>
        </w:rPr>
      </w:pPr>
      <w:r>
        <w:rPr>
          <w:noProof/>
        </w:rPr>
        <w:drawing>
          <wp:inline distT="0" distB="0" distL="0" distR="0" wp14:anchorId="013D05EC" wp14:editId="63FAA108">
            <wp:extent cx="2859103" cy="994202"/>
            <wp:effectExtent l="0" t="0" r="0" b="0"/>
            <wp:docPr id="1047049846" name="Bilde 1047049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59103" cy="994202"/>
                    </a:xfrm>
                    <a:prstGeom prst="rect">
                      <a:avLst/>
                    </a:prstGeom>
                  </pic:spPr>
                </pic:pic>
              </a:graphicData>
            </a:graphic>
          </wp:inline>
        </w:drawing>
      </w:r>
    </w:p>
    <w:p w14:paraId="086A51F0" w14:textId="268AD0CD" w:rsidR="4D4AC844" w:rsidRDefault="4D4AC844" w:rsidP="45EC30A4">
      <w:pPr>
        <w:jc w:val="both"/>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4"/>
          <w:szCs w:val="24"/>
          <w:lang w:val="fr-CA"/>
        </w:rPr>
        <w:t>À partir des tableaux 7 et 8, nous pouvons rejeter l’hypothèse nulle selon laquelle les variables analysées suivent une distribution normale.</w:t>
      </w:r>
    </w:p>
    <w:p w14:paraId="32F47A1A" w14:textId="2DFACCE3" w:rsidR="45EC30A4" w:rsidRDefault="45EC30A4" w:rsidP="45EC30A4">
      <w:pPr>
        <w:jc w:val="both"/>
        <w:rPr>
          <w:rFonts w:ascii="Times New Roman" w:eastAsia="Times New Roman" w:hAnsi="Times New Roman" w:cs="Times New Roman"/>
          <w:sz w:val="24"/>
          <w:szCs w:val="24"/>
          <w:lang w:val="fr-CA"/>
        </w:rPr>
      </w:pPr>
    </w:p>
    <w:p w14:paraId="40E05D3A" w14:textId="24B8CE42" w:rsidR="45EC30A4" w:rsidRPr="00420C28" w:rsidRDefault="45EC30A4" w:rsidP="45EC30A4">
      <w:pPr>
        <w:jc w:val="center"/>
        <w:rPr>
          <w:rFonts w:ascii="Times New Roman" w:eastAsia="Times New Roman" w:hAnsi="Times New Roman" w:cs="Times New Roman"/>
          <w:lang w:val="fr-FR"/>
        </w:rPr>
      </w:pPr>
    </w:p>
    <w:p w14:paraId="332E54C5" w14:textId="11879E1B" w:rsidR="45EC30A4" w:rsidRPr="00420C28" w:rsidRDefault="45EC30A4" w:rsidP="45EC30A4">
      <w:pPr>
        <w:jc w:val="center"/>
        <w:rPr>
          <w:rFonts w:ascii="Times New Roman" w:eastAsia="Times New Roman" w:hAnsi="Times New Roman" w:cs="Times New Roman"/>
          <w:lang w:val="fr-FR"/>
        </w:rPr>
      </w:pPr>
    </w:p>
    <w:p w14:paraId="63D2694D" w14:textId="216C66BB" w:rsidR="45EC30A4" w:rsidRDefault="45EC30A4" w:rsidP="45EC30A4">
      <w:pPr>
        <w:rPr>
          <w:rFonts w:ascii="Times New Roman" w:eastAsia="Times New Roman" w:hAnsi="Times New Roman" w:cs="Times New Roman"/>
          <w:lang w:val="fr-FR"/>
        </w:rPr>
      </w:pPr>
    </w:p>
    <w:p w14:paraId="6C372214" w14:textId="680B8F8C" w:rsidR="3DEBFE60" w:rsidRDefault="3DEBFE60" w:rsidP="45EC30A4">
      <w:pPr>
        <w:pStyle w:val="Overskrift1"/>
        <w:rPr>
          <w:rFonts w:ascii="Times New Roman" w:eastAsia="Times New Roman" w:hAnsi="Times New Roman" w:cs="Times New Roman"/>
          <w:sz w:val="24"/>
          <w:szCs w:val="24"/>
          <w:lang w:val="fr-CA"/>
        </w:rPr>
      </w:pPr>
      <w:r w:rsidRPr="45EC30A4">
        <w:rPr>
          <w:rFonts w:ascii="Times New Roman" w:eastAsia="Times New Roman" w:hAnsi="Times New Roman" w:cs="Times New Roman"/>
          <w:sz w:val="28"/>
          <w:szCs w:val="28"/>
          <w:lang w:val="fr-CA"/>
        </w:rPr>
        <w:lastRenderedPageBreak/>
        <w:t xml:space="preserve">Partie 3 : </w:t>
      </w:r>
      <w:r w:rsidRPr="45EC30A4">
        <w:rPr>
          <w:rFonts w:ascii="Times New Roman" w:eastAsia="Times New Roman" w:hAnsi="Times New Roman" w:cs="Times New Roman"/>
          <w:sz w:val="24"/>
          <w:szCs w:val="24"/>
          <w:lang w:val="fr-CA"/>
        </w:rPr>
        <w:t>ÉLABORATION DE MO</w:t>
      </w:r>
      <w:r w:rsidR="68EE57BB" w:rsidRPr="45EC30A4">
        <w:rPr>
          <w:rFonts w:ascii="Times New Roman" w:eastAsia="Times New Roman" w:hAnsi="Times New Roman" w:cs="Times New Roman"/>
          <w:sz w:val="24"/>
          <w:szCs w:val="24"/>
          <w:lang w:val="fr-CA"/>
        </w:rPr>
        <w:t>DÈ</w:t>
      </w:r>
      <w:r w:rsidRPr="45EC30A4">
        <w:rPr>
          <w:rFonts w:ascii="Times New Roman" w:eastAsia="Times New Roman" w:hAnsi="Times New Roman" w:cs="Times New Roman"/>
          <w:sz w:val="24"/>
          <w:szCs w:val="24"/>
          <w:lang w:val="fr-CA"/>
        </w:rPr>
        <w:t>LE</w:t>
      </w:r>
      <w:r w:rsidR="09DE7AE9" w:rsidRPr="45EC30A4">
        <w:rPr>
          <w:rFonts w:ascii="Times New Roman" w:eastAsia="Times New Roman" w:hAnsi="Times New Roman" w:cs="Times New Roman"/>
          <w:sz w:val="24"/>
          <w:szCs w:val="24"/>
          <w:lang w:val="fr-CA"/>
        </w:rPr>
        <w:t>S</w:t>
      </w:r>
      <w:r w:rsidRPr="45EC30A4">
        <w:rPr>
          <w:rFonts w:ascii="Times New Roman" w:eastAsia="Times New Roman" w:hAnsi="Times New Roman" w:cs="Times New Roman"/>
          <w:sz w:val="24"/>
          <w:szCs w:val="24"/>
          <w:lang w:val="fr-CA"/>
        </w:rPr>
        <w:t xml:space="preserve"> LINEAIRE</w:t>
      </w:r>
      <w:r w:rsidR="2CA22573" w:rsidRPr="45EC30A4">
        <w:rPr>
          <w:rFonts w:ascii="Times New Roman" w:eastAsia="Times New Roman" w:hAnsi="Times New Roman" w:cs="Times New Roman"/>
          <w:sz w:val="24"/>
          <w:szCs w:val="24"/>
          <w:lang w:val="fr-CA"/>
        </w:rPr>
        <w:t>S</w:t>
      </w:r>
      <w:r w:rsidRPr="45EC30A4">
        <w:rPr>
          <w:rFonts w:ascii="Times New Roman" w:eastAsia="Times New Roman" w:hAnsi="Times New Roman" w:cs="Times New Roman"/>
          <w:sz w:val="24"/>
          <w:szCs w:val="24"/>
          <w:lang w:val="fr-CA"/>
        </w:rPr>
        <w:t xml:space="preserve"> AVEC LA TABLE COVID.IDX.HEBDO:</w:t>
      </w:r>
    </w:p>
    <w:p w14:paraId="1E8EEE83" w14:textId="77777777" w:rsidR="00077768" w:rsidRPr="00077768" w:rsidRDefault="00077768" w:rsidP="00077768">
      <w:pPr>
        <w:rPr>
          <w:lang w:val="fr-CA"/>
        </w:rPr>
      </w:pPr>
    </w:p>
    <w:p w14:paraId="2ABAB0E2" w14:textId="4E302FF3" w:rsidR="1B6275FF" w:rsidRDefault="31F62713" w:rsidP="45EC30A4">
      <w:pPr>
        <w:rPr>
          <w:rFonts w:ascii="Times New Roman" w:eastAsia="Times New Roman" w:hAnsi="Times New Roman" w:cs="Times New Roman"/>
          <w:lang w:val="fr-FR"/>
        </w:rPr>
      </w:pPr>
      <w:r w:rsidRPr="45EC30A4">
        <w:rPr>
          <w:rFonts w:ascii="Times New Roman" w:eastAsia="Times New Roman" w:hAnsi="Times New Roman" w:cs="Times New Roman"/>
          <w:lang w:val="fr-FR"/>
        </w:rPr>
        <w:t xml:space="preserve">4) Matrices de </w:t>
      </w:r>
      <w:r w:rsidR="51DC5C7D" w:rsidRPr="45EC30A4">
        <w:rPr>
          <w:rFonts w:ascii="Times New Roman" w:eastAsia="Times New Roman" w:hAnsi="Times New Roman" w:cs="Times New Roman"/>
          <w:lang w:val="fr-FR"/>
        </w:rPr>
        <w:t>corrélation</w:t>
      </w:r>
    </w:p>
    <w:p w14:paraId="1B189462" w14:textId="5076C4CC" w:rsidR="0723D379" w:rsidRDefault="04BD515A" w:rsidP="45EC30A4">
      <w:pPr>
        <w:jc w:val="center"/>
      </w:pPr>
      <w:r>
        <w:rPr>
          <w:noProof/>
        </w:rPr>
        <w:drawing>
          <wp:inline distT="0" distB="0" distL="0" distR="0" wp14:anchorId="20D288A5" wp14:editId="4D591253">
            <wp:extent cx="3590925" cy="3105196"/>
            <wp:effectExtent l="0" t="0" r="0" b="0"/>
            <wp:docPr id="1955542391" name="Bilde 195554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3105196"/>
                    </a:xfrm>
                    <a:prstGeom prst="rect">
                      <a:avLst/>
                    </a:prstGeom>
                  </pic:spPr>
                </pic:pic>
              </a:graphicData>
            </a:graphic>
          </wp:inline>
        </w:drawing>
      </w:r>
    </w:p>
    <w:p w14:paraId="2235435A" w14:textId="7053B6CC" w:rsidR="04BD515A" w:rsidRDefault="04BD515A"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t xml:space="preserve">Figure 4: </w:t>
      </w:r>
      <w:r w:rsidR="24670E48" w:rsidRPr="45EC30A4">
        <w:rPr>
          <w:rFonts w:ascii="Times New Roman" w:eastAsia="Times New Roman" w:hAnsi="Times New Roman" w:cs="Times New Roman"/>
          <w:i/>
          <w:iCs/>
          <w:sz w:val="18"/>
          <w:szCs w:val="18"/>
          <w:lang w:val="fr-FR"/>
        </w:rPr>
        <w:t>M</w:t>
      </w:r>
      <w:r w:rsidRPr="45EC30A4">
        <w:rPr>
          <w:rFonts w:ascii="Times New Roman" w:eastAsia="Times New Roman" w:hAnsi="Times New Roman" w:cs="Times New Roman"/>
          <w:i/>
          <w:iCs/>
          <w:sz w:val="18"/>
          <w:szCs w:val="18"/>
          <w:lang w:val="fr-FR"/>
        </w:rPr>
        <w:t>atrices de corrélation, coefficients</w:t>
      </w:r>
    </w:p>
    <w:p w14:paraId="60187D5B" w14:textId="073B23BC" w:rsidR="1B6275FF" w:rsidRDefault="006F9140" w:rsidP="45EC30A4">
      <w:pPr>
        <w:rPr>
          <w:rFonts w:eastAsiaTheme="minorEastAsia"/>
          <w:sz w:val="24"/>
          <w:szCs w:val="24"/>
          <w:lang w:val="fr-FR"/>
        </w:rPr>
      </w:pPr>
      <w:r w:rsidRPr="45EC30A4">
        <w:rPr>
          <w:rFonts w:eastAsiaTheme="minorEastAsia"/>
          <w:sz w:val="24"/>
          <w:szCs w:val="24"/>
          <w:lang w:val="fr-FR"/>
        </w:rPr>
        <w:t xml:space="preserve">L’indice </w:t>
      </w:r>
      <w:r w:rsidR="1AE446BD" w:rsidRPr="45EC30A4">
        <w:rPr>
          <w:rFonts w:eastAsiaTheme="minorEastAsia"/>
          <w:sz w:val="24"/>
          <w:szCs w:val="24"/>
          <w:lang w:val="fr-FR"/>
        </w:rPr>
        <w:t>Netflix</w:t>
      </w:r>
      <w:r w:rsidRPr="45EC30A4">
        <w:rPr>
          <w:rFonts w:eastAsiaTheme="minorEastAsia"/>
          <w:sz w:val="24"/>
          <w:szCs w:val="24"/>
          <w:lang w:val="fr-FR"/>
        </w:rPr>
        <w:t xml:space="preserve"> </w:t>
      </w:r>
      <w:r w:rsidR="1F11A948" w:rsidRPr="45EC30A4">
        <w:rPr>
          <w:rFonts w:eastAsiaTheme="minorEastAsia"/>
          <w:sz w:val="24"/>
          <w:szCs w:val="24"/>
          <w:lang w:val="fr-FR"/>
        </w:rPr>
        <w:t xml:space="preserve">a une corrélation fortement positive </w:t>
      </w:r>
      <w:r w:rsidRPr="45EC30A4">
        <w:rPr>
          <w:rFonts w:eastAsiaTheme="minorEastAsia"/>
          <w:sz w:val="24"/>
          <w:szCs w:val="24"/>
          <w:lang w:val="fr-FR"/>
        </w:rPr>
        <w:t xml:space="preserve">avec le nombre de </w:t>
      </w:r>
      <w:r w:rsidR="2244C293" w:rsidRPr="45EC30A4">
        <w:rPr>
          <w:rFonts w:eastAsiaTheme="minorEastAsia"/>
          <w:sz w:val="24"/>
          <w:szCs w:val="24"/>
          <w:lang w:val="fr-FR"/>
        </w:rPr>
        <w:t>décès</w:t>
      </w:r>
      <w:r w:rsidRPr="45EC30A4">
        <w:rPr>
          <w:rFonts w:eastAsiaTheme="minorEastAsia"/>
          <w:sz w:val="24"/>
          <w:szCs w:val="24"/>
          <w:lang w:val="fr-FR"/>
        </w:rPr>
        <w:t xml:space="preserve"> et de cas</w:t>
      </w:r>
      <w:r w:rsidR="1E107562" w:rsidRPr="45EC30A4">
        <w:rPr>
          <w:rFonts w:eastAsiaTheme="minorEastAsia"/>
          <w:sz w:val="24"/>
          <w:szCs w:val="24"/>
          <w:lang w:val="fr-FR"/>
        </w:rPr>
        <w:t xml:space="preserve"> et une corrélation négative modeste avec l’indice de la société générale. </w:t>
      </w:r>
      <w:r w:rsidR="75872067" w:rsidRPr="45EC30A4">
        <w:rPr>
          <w:rFonts w:eastAsiaTheme="minorEastAsia"/>
          <w:sz w:val="24"/>
          <w:szCs w:val="24"/>
          <w:lang w:val="fr-FR"/>
        </w:rPr>
        <w:t xml:space="preserve">Il est possible </w:t>
      </w:r>
      <w:r w:rsidR="53EDC892" w:rsidRPr="45EC30A4">
        <w:rPr>
          <w:rFonts w:eastAsiaTheme="minorEastAsia"/>
          <w:sz w:val="24"/>
          <w:szCs w:val="24"/>
          <w:lang w:val="fr-FR"/>
        </w:rPr>
        <w:t>qu'avec</w:t>
      </w:r>
      <w:r w:rsidR="2A1C3ECC" w:rsidRPr="45EC30A4">
        <w:rPr>
          <w:rFonts w:eastAsiaTheme="minorEastAsia"/>
          <w:sz w:val="24"/>
          <w:szCs w:val="24"/>
          <w:lang w:val="fr-FR"/>
        </w:rPr>
        <w:t xml:space="preserve"> la progression de </w:t>
      </w:r>
      <w:r w:rsidR="75872067" w:rsidRPr="45EC30A4">
        <w:rPr>
          <w:rFonts w:eastAsiaTheme="minorEastAsia"/>
          <w:sz w:val="24"/>
          <w:szCs w:val="24"/>
          <w:lang w:val="fr-FR"/>
        </w:rPr>
        <w:t xml:space="preserve">la </w:t>
      </w:r>
      <w:r w:rsidR="6AB79635" w:rsidRPr="45EC30A4">
        <w:rPr>
          <w:rFonts w:eastAsiaTheme="minorEastAsia"/>
          <w:sz w:val="24"/>
          <w:szCs w:val="24"/>
          <w:lang w:val="fr-FR"/>
        </w:rPr>
        <w:t>pandémie</w:t>
      </w:r>
      <w:r w:rsidR="75872067" w:rsidRPr="45EC30A4">
        <w:rPr>
          <w:rFonts w:eastAsiaTheme="minorEastAsia"/>
          <w:sz w:val="24"/>
          <w:szCs w:val="24"/>
          <w:lang w:val="fr-FR"/>
        </w:rPr>
        <w:t xml:space="preserve"> les gens sont </w:t>
      </w:r>
      <w:r w:rsidR="3B4AE95D" w:rsidRPr="45EC30A4">
        <w:rPr>
          <w:rFonts w:eastAsiaTheme="minorEastAsia"/>
          <w:sz w:val="24"/>
          <w:szCs w:val="24"/>
          <w:lang w:val="fr-FR"/>
        </w:rPr>
        <w:t>restées</w:t>
      </w:r>
      <w:r w:rsidR="75872067" w:rsidRPr="45EC30A4">
        <w:rPr>
          <w:rFonts w:eastAsiaTheme="minorEastAsia"/>
          <w:sz w:val="24"/>
          <w:szCs w:val="24"/>
          <w:lang w:val="fr-FR"/>
        </w:rPr>
        <w:t xml:space="preserve"> plus chez eux et du coup</w:t>
      </w:r>
      <w:r w:rsidR="4D87322E" w:rsidRPr="45EC30A4">
        <w:rPr>
          <w:rFonts w:eastAsiaTheme="minorEastAsia"/>
          <w:sz w:val="24"/>
          <w:szCs w:val="24"/>
          <w:lang w:val="fr-FR"/>
        </w:rPr>
        <w:t xml:space="preserve"> </w:t>
      </w:r>
      <w:r w:rsidR="2B14E8A6" w:rsidRPr="45EC30A4">
        <w:rPr>
          <w:rFonts w:eastAsiaTheme="minorEastAsia"/>
          <w:sz w:val="24"/>
          <w:szCs w:val="24"/>
          <w:lang w:val="fr-FR"/>
        </w:rPr>
        <w:t xml:space="preserve">ils ont eu </w:t>
      </w:r>
      <w:r w:rsidR="4D87322E" w:rsidRPr="45EC30A4">
        <w:rPr>
          <w:rFonts w:eastAsiaTheme="minorEastAsia"/>
          <w:sz w:val="24"/>
          <w:szCs w:val="24"/>
          <w:lang w:val="fr-FR"/>
        </w:rPr>
        <w:t>plus de temps pour regarder des séries</w:t>
      </w:r>
      <w:r w:rsidR="0B6194C1" w:rsidRPr="45EC30A4">
        <w:rPr>
          <w:rFonts w:eastAsiaTheme="minorEastAsia"/>
          <w:sz w:val="24"/>
          <w:szCs w:val="24"/>
          <w:lang w:val="fr-FR"/>
        </w:rPr>
        <w:t>,</w:t>
      </w:r>
      <w:r w:rsidR="4D87322E" w:rsidRPr="45EC30A4">
        <w:rPr>
          <w:rFonts w:eastAsiaTheme="minorEastAsia"/>
          <w:sz w:val="24"/>
          <w:szCs w:val="24"/>
          <w:lang w:val="fr-FR"/>
        </w:rPr>
        <w:t xml:space="preserve"> surtout avec la fermeture des cinémas</w:t>
      </w:r>
      <w:r w:rsidR="741723D7" w:rsidRPr="45EC30A4">
        <w:rPr>
          <w:rFonts w:eastAsiaTheme="minorEastAsia"/>
          <w:sz w:val="24"/>
          <w:szCs w:val="24"/>
          <w:lang w:val="fr-FR"/>
        </w:rPr>
        <w:t xml:space="preserve">. </w:t>
      </w:r>
      <w:r w:rsidR="5A545EF6" w:rsidRPr="45EC30A4">
        <w:rPr>
          <w:rFonts w:eastAsiaTheme="minorEastAsia"/>
          <w:sz w:val="24"/>
          <w:szCs w:val="24"/>
          <w:lang w:val="fr-FR"/>
        </w:rPr>
        <w:t xml:space="preserve">L’indice GLE de la société générale </w:t>
      </w:r>
      <w:r w:rsidR="26173A40" w:rsidRPr="45EC30A4">
        <w:rPr>
          <w:rFonts w:eastAsiaTheme="minorEastAsia"/>
          <w:sz w:val="24"/>
          <w:szCs w:val="24"/>
          <w:lang w:val="fr-FR"/>
        </w:rPr>
        <w:t xml:space="preserve">fait </w:t>
      </w:r>
      <w:r w:rsidR="5528A0B5" w:rsidRPr="45EC30A4">
        <w:rPr>
          <w:rFonts w:eastAsiaTheme="minorEastAsia"/>
          <w:sz w:val="24"/>
          <w:szCs w:val="24"/>
          <w:lang w:val="fr-FR"/>
        </w:rPr>
        <w:t>partie</w:t>
      </w:r>
      <w:r w:rsidR="26173A40" w:rsidRPr="45EC30A4">
        <w:rPr>
          <w:rFonts w:eastAsiaTheme="minorEastAsia"/>
          <w:sz w:val="24"/>
          <w:szCs w:val="24"/>
          <w:lang w:val="fr-FR"/>
        </w:rPr>
        <w:t xml:space="preserve"> du CAC40 est peut reflète l’optimisme du </w:t>
      </w:r>
      <w:r w:rsidR="7920B232" w:rsidRPr="45EC30A4">
        <w:rPr>
          <w:rFonts w:eastAsiaTheme="minorEastAsia"/>
          <w:sz w:val="24"/>
          <w:szCs w:val="24"/>
          <w:lang w:val="fr-FR"/>
        </w:rPr>
        <w:t>marché</w:t>
      </w:r>
      <w:r w:rsidR="26173A40" w:rsidRPr="45EC30A4">
        <w:rPr>
          <w:rFonts w:eastAsiaTheme="minorEastAsia"/>
          <w:sz w:val="24"/>
          <w:szCs w:val="24"/>
          <w:lang w:val="fr-FR"/>
        </w:rPr>
        <w:t xml:space="preserve"> </w:t>
      </w:r>
      <w:r w:rsidR="2F25CD27" w:rsidRPr="45EC30A4">
        <w:rPr>
          <w:rFonts w:eastAsiaTheme="minorEastAsia"/>
          <w:sz w:val="24"/>
          <w:szCs w:val="24"/>
          <w:lang w:val="fr-FR"/>
        </w:rPr>
        <w:t xml:space="preserve">alors </w:t>
      </w:r>
      <w:r w:rsidR="26173A40" w:rsidRPr="45EC30A4">
        <w:rPr>
          <w:rFonts w:eastAsiaTheme="minorEastAsia"/>
          <w:sz w:val="24"/>
          <w:szCs w:val="24"/>
          <w:lang w:val="fr-FR"/>
        </w:rPr>
        <w:t xml:space="preserve">que l’indice Netflix a plus </w:t>
      </w:r>
      <w:r w:rsidR="6DEBEA69" w:rsidRPr="45EC30A4">
        <w:rPr>
          <w:rFonts w:eastAsiaTheme="minorEastAsia"/>
          <w:sz w:val="24"/>
          <w:szCs w:val="24"/>
          <w:lang w:val="fr-FR"/>
        </w:rPr>
        <w:t>tendance</w:t>
      </w:r>
      <w:r w:rsidR="7B9A3A57" w:rsidRPr="45EC30A4">
        <w:rPr>
          <w:rFonts w:eastAsiaTheme="minorEastAsia"/>
          <w:sz w:val="24"/>
          <w:szCs w:val="24"/>
          <w:lang w:val="fr-FR"/>
        </w:rPr>
        <w:t xml:space="preserve"> </w:t>
      </w:r>
      <w:r w:rsidR="5880D10D" w:rsidRPr="45EC30A4">
        <w:rPr>
          <w:rFonts w:eastAsiaTheme="minorEastAsia"/>
          <w:sz w:val="24"/>
          <w:szCs w:val="24"/>
          <w:lang w:val="fr-FR"/>
        </w:rPr>
        <w:t>à</w:t>
      </w:r>
      <w:r w:rsidR="7B9A3A57" w:rsidRPr="45EC30A4">
        <w:rPr>
          <w:rFonts w:eastAsiaTheme="minorEastAsia"/>
          <w:sz w:val="24"/>
          <w:szCs w:val="24"/>
          <w:lang w:val="fr-FR"/>
        </w:rPr>
        <w:t xml:space="preserve"> augmenter</w:t>
      </w:r>
      <w:r w:rsidR="2AC4D5B9" w:rsidRPr="45EC30A4">
        <w:rPr>
          <w:rFonts w:eastAsiaTheme="minorEastAsia"/>
          <w:sz w:val="24"/>
          <w:szCs w:val="24"/>
          <w:lang w:val="fr-FR"/>
        </w:rPr>
        <w:t xml:space="preserve"> avec les vagues plus fortes de l’épidémie.</w:t>
      </w:r>
      <w:r w:rsidR="6EE2A117" w:rsidRPr="45EC30A4">
        <w:rPr>
          <w:rFonts w:eastAsiaTheme="minorEastAsia"/>
          <w:sz w:val="24"/>
          <w:szCs w:val="24"/>
          <w:lang w:val="fr-FR"/>
        </w:rPr>
        <w:t xml:space="preserve"> A notez aussi que l’indice Pfizer a des taux de corrélation avec</w:t>
      </w:r>
      <w:r w:rsidR="38DD8623" w:rsidRPr="45EC30A4">
        <w:rPr>
          <w:rFonts w:eastAsiaTheme="minorEastAsia"/>
          <w:sz w:val="24"/>
          <w:szCs w:val="24"/>
          <w:lang w:val="fr-FR"/>
        </w:rPr>
        <w:t xml:space="preserve"> le taux de cas et décès qui est</w:t>
      </w:r>
      <w:r w:rsidR="6EE2A117" w:rsidRPr="45EC30A4">
        <w:rPr>
          <w:rFonts w:eastAsiaTheme="minorEastAsia"/>
          <w:sz w:val="24"/>
          <w:szCs w:val="24"/>
          <w:lang w:val="fr-FR"/>
        </w:rPr>
        <w:t xml:space="preserve"> plus bas que l’indice Netflix.</w:t>
      </w:r>
    </w:p>
    <w:p w14:paraId="2119C31E" w14:textId="6AD44938" w:rsidR="236B6985" w:rsidRDefault="236B6985" w:rsidP="45EC30A4">
      <w:pPr>
        <w:rPr>
          <w:rFonts w:ascii="Times New Roman" w:eastAsia="Times New Roman" w:hAnsi="Times New Roman" w:cs="Times New Roman"/>
          <w:b/>
          <w:bCs/>
          <w:lang w:val="fr-FR"/>
        </w:rPr>
      </w:pPr>
      <w:r w:rsidRPr="45EC30A4">
        <w:rPr>
          <w:rFonts w:ascii="Times New Roman" w:eastAsia="Times New Roman" w:hAnsi="Times New Roman" w:cs="Times New Roman"/>
          <w:b/>
          <w:bCs/>
          <w:lang w:val="fr-FR"/>
        </w:rPr>
        <w:t>5)</w:t>
      </w:r>
    </w:p>
    <w:p w14:paraId="362655FA" w14:textId="0F3605C8" w:rsidR="236B6985" w:rsidRDefault="236B6985" w:rsidP="45EC30A4">
      <w:pPr>
        <w:jc w:val="center"/>
        <w:rPr>
          <w:rFonts w:ascii="Times New Roman" w:eastAsia="Times New Roman" w:hAnsi="Times New Roman" w:cs="Times New Roman"/>
          <w:lang w:val="fr-FR"/>
        </w:rPr>
      </w:pPr>
      <w:r w:rsidRPr="45EC30A4">
        <w:rPr>
          <w:rFonts w:ascii="Times New Roman" w:eastAsia="Times New Roman" w:hAnsi="Times New Roman" w:cs="Times New Roman"/>
          <w:b/>
          <w:bCs/>
          <w:lang w:val="fr-FR"/>
        </w:rPr>
        <w:t>Model 1:</w:t>
      </w:r>
      <w:r w:rsidRPr="45EC30A4">
        <w:rPr>
          <w:rFonts w:ascii="Times New Roman" w:eastAsia="Times New Roman" w:hAnsi="Times New Roman" w:cs="Times New Roman"/>
          <w:lang w:val="fr-FR"/>
        </w:rPr>
        <w:t xml:space="preserve"> PFE =  </w:t>
      </w:r>
      <w:r w:rsidR="45CDF8A3" w:rsidRPr="45EC30A4">
        <w:rPr>
          <w:rFonts w:ascii="Times New Roman" w:eastAsia="Times New Roman" w:hAnsi="Times New Roman" w:cs="Times New Roman"/>
          <w:lang w:val="fr-FR"/>
        </w:rPr>
        <w:t xml:space="preserve">β0 </w:t>
      </w:r>
      <w:r w:rsidRPr="45EC30A4">
        <w:rPr>
          <w:rFonts w:ascii="Times New Roman" w:eastAsia="Times New Roman" w:hAnsi="Times New Roman" w:cs="Times New Roman"/>
          <w:lang w:val="fr-FR"/>
        </w:rPr>
        <w:t>+ β</w:t>
      </w:r>
      <w:r w:rsidR="67E3A8F4" w:rsidRPr="45EC30A4">
        <w:rPr>
          <w:rFonts w:ascii="Times New Roman" w:eastAsia="Times New Roman" w:hAnsi="Times New Roman" w:cs="Times New Roman"/>
          <w:lang w:val="fr-FR"/>
        </w:rPr>
        <w:t>1*</w:t>
      </w:r>
      <w:r w:rsidRPr="45EC30A4">
        <w:rPr>
          <w:rFonts w:ascii="Times New Roman" w:eastAsia="Times New Roman" w:hAnsi="Times New Roman" w:cs="Times New Roman"/>
          <w:lang w:val="fr-FR"/>
        </w:rPr>
        <w:t xml:space="preserve">deces + </w:t>
      </w:r>
      <w:r w:rsidR="5AB6BD86" w:rsidRPr="45EC30A4">
        <w:rPr>
          <w:rFonts w:ascii="Times New Roman" w:eastAsia="Times New Roman" w:hAnsi="Times New Roman" w:cs="Times New Roman"/>
          <w:lang w:val="fr-FR"/>
        </w:rPr>
        <w:t>β</w:t>
      </w:r>
      <w:r w:rsidR="71C82C17" w:rsidRPr="45EC30A4">
        <w:rPr>
          <w:rFonts w:ascii="Times New Roman" w:eastAsia="Times New Roman" w:hAnsi="Times New Roman" w:cs="Times New Roman"/>
          <w:lang w:val="fr-FR"/>
        </w:rPr>
        <w:t>2*</w:t>
      </w:r>
      <w:r w:rsidR="23BB80E8" w:rsidRPr="45EC30A4">
        <w:rPr>
          <w:rFonts w:ascii="Times New Roman" w:eastAsia="Times New Roman" w:hAnsi="Times New Roman" w:cs="Times New Roman"/>
          <w:lang w:val="fr-FR"/>
        </w:rPr>
        <w:t>GLE</w:t>
      </w:r>
      <w:r w:rsidRPr="45EC30A4">
        <w:rPr>
          <w:rFonts w:ascii="Times New Roman" w:eastAsia="Times New Roman" w:hAnsi="Times New Roman" w:cs="Times New Roman"/>
          <w:lang w:val="fr-FR"/>
        </w:rPr>
        <w:t xml:space="preserve">+ </w:t>
      </w:r>
      <w:r w:rsidR="3DF6C74B" w:rsidRPr="45EC30A4">
        <w:rPr>
          <w:rFonts w:ascii="Times New Roman" w:eastAsia="Times New Roman" w:hAnsi="Times New Roman" w:cs="Times New Roman"/>
          <w:lang w:val="fr-FR"/>
        </w:rPr>
        <w:t>β</w:t>
      </w:r>
      <w:r w:rsidR="1E3CE736" w:rsidRPr="45EC30A4">
        <w:rPr>
          <w:rFonts w:ascii="Times New Roman" w:eastAsia="Times New Roman" w:hAnsi="Times New Roman" w:cs="Times New Roman"/>
          <w:lang w:val="fr-FR"/>
        </w:rPr>
        <w:t>3</w:t>
      </w:r>
      <w:r w:rsidR="6CA477B6" w:rsidRPr="45EC30A4">
        <w:rPr>
          <w:rFonts w:ascii="Times New Roman" w:eastAsia="Times New Roman" w:hAnsi="Times New Roman" w:cs="Times New Roman"/>
          <w:lang w:val="fr-FR"/>
        </w:rPr>
        <w:t>*</w:t>
      </w:r>
      <w:r w:rsidRPr="45EC30A4">
        <w:rPr>
          <w:rFonts w:ascii="Times New Roman" w:eastAsia="Times New Roman" w:hAnsi="Times New Roman" w:cs="Times New Roman"/>
          <w:lang w:val="fr-FR"/>
        </w:rPr>
        <w:t xml:space="preserve">IXIC + </w:t>
      </w:r>
      <w:r w:rsidR="139BF2C8" w:rsidRPr="45EC30A4">
        <w:rPr>
          <w:rFonts w:ascii="Times New Roman" w:eastAsia="Times New Roman" w:hAnsi="Times New Roman" w:cs="Times New Roman"/>
          <w:lang w:val="fr-FR"/>
        </w:rPr>
        <w:t>β</w:t>
      </w:r>
      <w:r w:rsidR="377850E5" w:rsidRPr="45EC30A4">
        <w:rPr>
          <w:rFonts w:ascii="Times New Roman" w:eastAsia="Times New Roman" w:hAnsi="Times New Roman" w:cs="Times New Roman"/>
          <w:lang w:val="fr-FR"/>
        </w:rPr>
        <w:t>4</w:t>
      </w:r>
      <w:r w:rsidR="1F43BDCD" w:rsidRPr="45EC30A4">
        <w:rPr>
          <w:rFonts w:ascii="Times New Roman" w:eastAsia="Times New Roman" w:hAnsi="Times New Roman" w:cs="Times New Roman"/>
          <w:lang w:val="fr-FR"/>
        </w:rPr>
        <w:t>*</w:t>
      </w:r>
      <w:r w:rsidRPr="45EC30A4">
        <w:rPr>
          <w:rFonts w:ascii="Times New Roman" w:eastAsia="Times New Roman" w:hAnsi="Times New Roman" w:cs="Times New Roman"/>
          <w:lang w:val="fr-FR"/>
        </w:rPr>
        <w:t>cas</w:t>
      </w:r>
      <w:r w:rsidR="26EDF7CF" w:rsidRPr="45EC30A4">
        <w:rPr>
          <w:rFonts w:ascii="Times New Roman" w:eastAsia="Times New Roman" w:hAnsi="Times New Roman" w:cs="Times New Roman"/>
          <w:lang w:val="fr-FR"/>
        </w:rPr>
        <w:t xml:space="preserve"> + µ</w:t>
      </w:r>
    </w:p>
    <w:p w14:paraId="6C45A956" w14:textId="00E326B5" w:rsidR="1B6275FF" w:rsidRDefault="5CA8947B"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9: Coefficients de la régression</w:t>
      </w:r>
    </w:p>
    <w:p w14:paraId="45A52804" w14:textId="60DCDFE3" w:rsidR="1B6275FF" w:rsidRDefault="1DE6B63E" w:rsidP="45EC30A4">
      <w:pPr>
        <w:jc w:val="center"/>
      </w:pPr>
      <w:r>
        <w:rPr>
          <w:noProof/>
        </w:rPr>
        <w:drawing>
          <wp:inline distT="0" distB="0" distL="0" distR="0" wp14:anchorId="0F5D2AD5" wp14:editId="11B4740E">
            <wp:extent cx="2569008" cy="1198128"/>
            <wp:effectExtent l="0" t="0" r="0" b="0"/>
            <wp:docPr id="306960968" name="Bilde 30696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69008" cy="1198128"/>
                    </a:xfrm>
                    <a:prstGeom prst="rect">
                      <a:avLst/>
                    </a:prstGeom>
                  </pic:spPr>
                </pic:pic>
              </a:graphicData>
            </a:graphic>
          </wp:inline>
        </w:drawing>
      </w:r>
    </w:p>
    <w:p w14:paraId="4B740E7D" w14:textId="79CA250E" w:rsidR="1B6275FF" w:rsidRDefault="1DE6B63E" w:rsidP="45EC30A4">
      <w:pPr>
        <w:jc w:val="center"/>
      </w:pPr>
      <w:r>
        <w:rPr>
          <w:noProof/>
        </w:rPr>
        <w:lastRenderedPageBreak/>
        <w:drawing>
          <wp:inline distT="0" distB="0" distL="0" distR="0" wp14:anchorId="7E678EA6" wp14:editId="4661457E">
            <wp:extent cx="2352675" cy="337820"/>
            <wp:effectExtent l="0" t="0" r="0" b="0"/>
            <wp:docPr id="1319283257" name="Bilde 131928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337820"/>
                    </a:xfrm>
                    <a:prstGeom prst="rect">
                      <a:avLst/>
                    </a:prstGeom>
                  </pic:spPr>
                </pic:pic>
              </a:graphicData>
            </a:graphic>
          </wp:inline>
        </w:drawing>
      </w:r>
    </w:p>
    <w:p w14:paraId="427B896D" w14:textId="468448E8" w:rsidR="1B6275FF" w:rsidRDefault="066FF96C" w:rsidP="45EC30A4">
      <w:pPr>
        <w:rPr>
          <w:rFonts w:eastAsiaTheme="minorEastAsia"/>
          <w:sz w:val="24"/>
          <w:szCs w:val="24"/>
          <w:lang w:val="fr-CA"/>
        </w:rPr>
      </w:pPr>
      <w:r w:rsidRPr="45EC30A4">
        <w:rPr>
          <w:rFonts w:eastAsiaTheme="minorEastAsia"/>
          <w:sz w:val="24"/>
          <w:szCs w:val="24"/>
          <w:lang w:val="fr-CA"/>
        </w:rPr>
        <w:t xml:space="preserve">La </w:t>
      </w:r>
      <w:r w:rsidR="3F5D4023" w:rsidRPr="45EC30A4">
        <w:rPr>
          <w:rFonts w:eastAsiaTheme="minorEastAsia"/>
          <w:sz w:val="24"/>
          <w:szCs w:val="24"/>
          <w:lang w:val="fr-CA"/>
        </w:rPr>
        <w:t>régression</w:t>
      </w:r>
      <w:r w:rsidR="2722BAF4" w:rsidRPr="45EC30A4">
        <w:rPr>
          <w:rFonts w:eastAsiaTheme="minorEastAsia"/>
          <w:sz w:val="24"/>
          <w:szCs w:val="24"/>
          <w:lang w:val="fr-CA"/>
        </w:rPr>
        <w:t xml:space="preserve"> du tableau 9</w:t>
      </w:r>
      <w:r w:rsidRPr="45EC30A4">
        <w:rPr>
          <w:rFonts w:eastAsiaTheme="minorEastAsia"/>
          <w:sz w:val="24"/>
          <w:szCs w:val="24"/>
          <w:lang w:val="fr-CA"/>
        </w:rPr>
        <w:t xml:space="preserve"> montre </w:t>
      </w:r>
      <w:r w:rsidR="6E189027" w:rsidRPr="45EC30A4">
        <w:rPr>
          <w:rFonts w:eastAsiaTheme="minorEastAsia"/>
          <w:sz w:val="24"/>
          <w:szCs w:val="24"/>
          <w:lang w:val="fr-CA"/>
        </w:rPr>
        <w:t>qu'une</w:t>
      </w:r>
      <w:r w:rsidRPr="45EC30A4">
        <w:rPr>
          <w:rFonts w:eastAsiaTheme="minorEastAsia"/>
          <w:sz w:val="24"/>
          <w:szCs w:val="24"/>
          <w:lang w:val="fr-CA"/>
        </w:rPr>
        <w:t xml:space="preserve"> augmentation </w:t>
      </w:r>
      <w:r w:rsidR="4FF39455" w:rsidRPr="45EC30A4">
        <w:rPr>
          <w:rFonts w:eastAsiaTheme="minorEastAsia"/>
          <w:sz w:val="24"/>
          <w:szCs w:val="24"/>
          <w:lang w:val="fr-CA"/>
        </w:rPr>
        <w:t>d</w:t>
      </w:r>
      <w:r w:rsidR="6DCE4B85" w:rsidRPr="45EC30A4">
        <w:rPr>
          <w:rFonts w:eastAsiaTheme="minorEastAsia"/>
          <w:sz w:val="24"/>
          <w:szCs w:val="24"/>
          <w:lang w:val="fr-CA"/>
        </w:rPr>
        <w:t xml:space="preserve">u taux de </w:t>
      </w:r>
      <w:r w:rsidR="20628CE1" w:rsidRPr="45EC30A4">
        <w:rPr>
          <w:rFonts w:eastAsiaTheme="minorEastAsia"/>
          <w:sz w:val="24"/>
          <w:szCs w:val="24"/>
          <w:lang w:val="fr-CA"/>
        </w:rPr>
        <w:t>décès</w:t>
      </w:r>
      <w:r w:rsidR="587590F4" w:rsidRPr="45EC30A4">
        <w:rPr>
          <w:rFonts w:eastAsiaTheme="minorEastAsia"/>
          <w:sz w:val="24"/>
          <w:szCs w:val="24"/>
          <w:lang w:val="fr-CA"/>
        </w:rPr>
        <w:t xml:space="preserve"> moyen</w:t>
      </w:r>
      <w:r w:rsidR="14AFB22F" w:rsidRPr="45EC30A4">
        <w:rPr>
          <w:rFonts w:eastAsiaTheme="minorEastAsia"/>
          <w:sz w:val="24"/>
          <w:szCs w:val="24"/>
          <w:lang w:val="fr-CA"/>
        </w:rPr>
        <w:t xml:space="preserve"> </w:t>
      </w:r>
      <w:r w:rsidR="23A94978" w:rsidRPr="45EC30A4">
        <w:rPr>
          <w:rFonts w:eastAsiaTheme="minorEastAsia"/>
          <w:sz w:val="24"/>
          <w:szCs w:val="24"/>
          <w:lang w:val="fr-CA"/>
        </w:rPr>
        <w:t>mondial</w:t>
      </w:r>
      <w:r w:rsidR="75359912" w:rsidRPr="45EC30A4">
        <w:rPr>
          <w:rFonts w:eastAsiaTheme="minorEastAsia"/>
          <w:sz w:val="24"/>
          <w:szCs w:val="24"/>
          <w:lang w:val="fr-CA"/>
        </w:rPr>
        <w:t xml:space="preserve"> par semaine</w:t>
      </w:r>
      <w:r w:rsidR="23A94978" w:rsidRPr="45EC30A4">
        <w:rPr>
          <w:rFonts w:eastAsiaTheme="minorEastAsia"/>
          <w:sz w:val="24"/>
          <w:szCs w:val="24"/>
          <w:lang w:val="fr-CA"/>
        </w:rPr>
        <w:t xml:space="preserve"> </w:t>
      </w:r>
      <w:r w:rsidR="32766D7F" w:rsidRPr="45EC30A4">
        <w:rPr>
          <w:rFonts w:eastAsiaTheme="minorEastAsia"/>
          <w:sz w:val="24"/>
          <w:szCs w:val="24"/>
          <w:lang w:val="fr-CA"/>
        </w:rPr>
        <w:t>de</w:t>
      </w:r>
      <w:r w:rsidR="23A94978" w:rsidRPr="45EC30A4">
        <w:rPr>
          <w:rFonts w:eastAsiaTheme="minorEastAsia"/>
          <w:sz w:val="24"/>
          <w:szCs w:val="24"/>
          <w:lang w:val="fr-CA"/>
        </w:rPr>
        <w:t xml:space="preserve"> un </w:t>
      </w:r>
      <w:r w:rsidR="2068A9D9" w:rsidRPr="45EC30A4">
        <w:rPr>
          <w:rFonts w:eastAsiaTheme="minorEastAsia"/>
          <w:sz w:val="24"/>
          <w:szCs w:val="24"/>
          <w:lang w:val="fr-CA"/>
        </w:rPr>
        <w:t>réduit</w:t>
      </w:r>
      <w:r w:rsidR="730FD779" w:rsidRPr="45EC30A4">
        <w:rPr>
          <w:rFonts w:eastAsiaTheme="minorEastAsia"/>
          <w:sz w:val="24"/>
          <w:szCs w:val="24"/>
          <w:lang w:val="fr-CA"/>
        </w:rPr>
        <w:t xml:space="preserve"> en moyenne</w:t>
      </w:r>
      <w:r w:rsidR="14AFB22F" w:rsidRPr="45EC30A4">
        <w:rPr>
          <w:rFonts w:eastAsiaTheme="minorEastAsia"/>
          <w:sz w:val="24"/>
          <w:szCs w:val="24"/>
          <w:lang w:val="fr-CA"/>
        </w:rPr>
        <w:t xml:space="preserve"> l’indice de Pfizer </w:t>
      </w:r>
      <w:r w:rsidR="5A304FA9" w:rsidRPr="45EC30A4">
        <w:rPr>
          <w:rFonts w:eastAsiaTheme="minorEastAsia"/>
          <w:sz w:val="24"/>
          <w:szCs w:val="24"/>
          <w:lang w:val="fr-CA"/>
        </w:rPr>
        <w:t>de</w:t>
      </w:r>
      <w:r w:rsidR="14AFB22F" w:rsidRPr="45EC30A4">
        <w:rPr>
          <w:rFonts w:eastAsiaTheme="minorEastAsia"/>
          <w:sz w:val="24"/>
          <w:szCs w:val="24"/>
          <w:lang w:val="fr-CA"/>
        </w:rPr>
        <w:t xml:space="preserve"> 0.45 </w:t>
      </w:r>
      <w:r w:rsidR="1E50B052" w:rsidRPr="45EC30A4">
        <w:rPr>
          <w:rFonts w:eastAsiaTheme="minorEastAsia"/>
          <w:sz w:val="24"/>
          <w:szCs w:val="24"/>
          <w:lang w:val="fr-CA"/>
        </w:rPr>
        <w:t xml:space="preserve">% </w:t>
      </w:r>
      <w:r w:rsidR="1AA04F8B" w:rsidRPr="45EC30A4">
        <w:rPr>
          <w:rFonts w:eastAsiaTheme="minorEastAsia"/>
          <w:sz w:val="24"/>
          <w:szCs w:val="24"/>
          <w:lang w:val="fr-CA"/>
        </w:rPr>
        <w:t xml:space="preserve">. </w:t>
      </w:r>
      <w:r w:rsidR="1E50B052" w:rsidRPr="45EC30A4">
        <w:rPr>
          <w:rFonts w:eastAsiaTheme="minorEastAsia"/>
          <w:sz w:val="24"/>
          <w:szCs w:val="24"/>
          <w:lang w:val="fr-CA"/>
        </w:rPr>
        <w:t xml:space="preserve">L’indice IXIC a </w:t>
      </w:r>
      <w:r w:rsidR="49143295" w:rsidRPr="45EC30A4">
        <w:rPr>
          <w:rFonts w:eastAsiaTheme="minorEastAsia"/>
          <w:sz w:val="24"/>
          <w:szCs w:val="24"/>
          <w:lang w:val="fr-CA"/>
        </w:rPr>
        <w:t>un effet positif</w:t>
      </w:r>
      <w:r w:rsidR="59B3FD66" w:rsidRPr="45EC30A4">
        <w:rPr>
          <w:rFonts w:eastAsiaTheme="minorEastAsia"/>
          <w:sz w:val="24"/>
          <w:szCs w:val="24"/>
          <w:lang w:val="fr-CA"/>
        </w:rPr>
        <w:t xml:space="preserve">, montrent que l’indice Pfizer suit le </w:t>
      </w:r>
      <w:r w:rsidR="344A28AB" w:rsidRPr="45EC30A4">
        <w:rPr>
          <w:rFonts w:eastAsiaTheme="minorEastAsia"/>
          <w:sz w:val="24"/>
          <w:szCs w:val="24"/>
          <w:lang w:val="fr-CA"/>
        </w:rPr>
        <w:t>marché</w:t>
      </w:r>
      <w:r w:rsidR="59B3FD66" w:rsidRPr="45EC30A4">
        <w:rPr>
          <w:rFonts w:eastAsiaTheme="minorEastAsia"/>
          <w:sz w:val="24"/>
          <w:szCs w:val="24"/>
          <w:lang w:val="fr-CA"/>
        </w:rPr>
        <w:t xml:space="preserve">. </w:t>
      </w:r>
      <w:r w:rsidR="0A996882" w:rsidRPr="45EC30A4">
        <w:rPr>
          <w:rFonts w:eastAsiaTheme="minorEastAsia"/>
          <w:sz w:val="24"/>
          <w:szCs w:val="24"/>
          <w:lang w:val="fr-CA"/>
        </w:rPr>
        <w:t>Lorsque</w:t>
      </w:r>
      <w:r w:rsidR="03EB19DF" w:rsidRPr="45EC30A4">
        <w:rPr>
          <w:rFonts w:eastAsiaTheme="minorEastAsia"/>
          <w:sz w:val="24"/>
          <w:szCs w:val="24"/>
          <w:lang w:val="fr-CA"/>
        </w:rPr>
        <w:t xml:space="preserve"> la situation de Covid s’aggrave dans le monde les marches </w:t>
      </w:r>
      <w:r w:rsidR="6D2642D9" w:rsidRPr="45EC30A4">
        <w:rPr>
          <w:rFonts w:eastAsiaTheme="minorEastAsia"/>
          <w:sz w:val="24"/>
          <w:szCs w:val="24"/>
          <w:lang w:val="fr-CA"/>
        </w:rPr>
        <w:t>ont</w:t>
      </w:r>
      <w:r w:rsidR="16FD42CC" w:rsidRPr="45EC30A4">
        <w:rPr>
          <w:rFonts w:eastAsiaTheme="minorEastAsia"/>
          <w:sz w:val="24"/>
          <w:szCs w:val="24"/>
          <w:lang w:val="fr-CA"/>
        </w:rPr>
        <w:t xml:space="preserve"> </w:t>
      </w:r>
      <w:r w:rsidR="6D2642D9" w:rsidRPr="45EC30A4">
        <w:rPr>
          <w:rFonts w:eastAsiaTheme="minorEastAsia"/>
          <w:sz w:val="24"/>
          <w:szCs w:val="24"/>
          <w:lang w:val="fr-CA"/>
        </w:rPr>
        <w:t>une</w:t>
      </w:r>
      <w:r w:rsidR="16FD42CC" w:rsidRPr="45EC30A4">
        <w:rPr>
          <w:rFonts w:eastAsiaTheme="minorEastAsia"/>
          <w:sz w:val="24"/>
          <w:szCs w:val="24"/>
          <w:lang w:val="fr-CA"/>
        </w:rPr>
        <w:t xml:space="preserve"> tendance</w:t>
      </w:r>
      <w:r w:rsidR="03EB19DF" w:rsidRPr="45EC30A4">
        <w:rPr>
          <w:rFonts w:eastAsiaTheme="minorEastAsia"/>
          <w:sz w:val="24"/>
          <w:szCs w:val="24"/>
          <w:lang w:val="fr-CA"/>
        </w:rPr>
        <w:t xml:space="preserve"> de baisse</w:t>
      </w:r>
      <w:r w:rsidR="24FD9B94" w:rsidRPr="45EC30A4">
        <w:rPr>
          <w:rFonts w:eastAsiaTheme="minorEastAsia"/>
          <w:sz w:val="24"/>
          <w:szCs w:val="24"/>
          <w:lang w:val="fr-CA"/>
        </w:rPr>
        <w:t>r</w:t>
      </w:r>
      <w:r w:rsidR="0D56CE7D" w:rsidRPr="45EC30A4">
        <w:rPr>
          <w:rFonts w:eastAsiaTheme="minorEastAsia"/>
          <w:sz w:val="24"/>
          <w:szCs w:val="24"/>
          <w:lang w:val="fr-CA"/>
        </w:rPr>
        <w:t>.</w:t>
      </w:r>
      <w:r w:rsidR="65238B6C" w:rsidRPr="45EC30A4">
        <w:rPr>
          <w:rFonts w:eastAsiaTheme="minorEastAsia"/>
          <w:sz w:val="24"/>
          <w:szCs w:val="24"/>
          <w:lang w:val="fr-CA"/>
        </w:rPr>
        <w:t xml:space="preserve"> Il est possible que </w:t>
      </w:r>
      <w:r w:rsidR="0D56CE7D" w:rsidRPr="45EC30A4">
        <w:rPr>
          <w:rFonts w:eastAsiaTheme="minorEastAsia"/>
          <w:sz w:val="24"/>
          <w:szCs w:val="24"/>
          <w:lang w:val="fr-CA"/>
        </w:rPr>
        <w:t xml:space="preserve">le </w:t>
      </w:r>
      <w:r w:rsidR="14BC2AA6" w:rsidRPr="45EC30A4">
        <w:rPr>
          <w:rFonts w:eastAsiaTheme="minorEastAsia"/>
          <w:sz w:val="24"/>
          <w:szCs w:val="24"/>
          <w:lang w:val="fr-CA"/>
        </w:rPr>
        <w:t>développement</w:t>
      </w:r>
      <w:r w:rsidR="0D56CE7D" w:rsidRPr="45EC30A4">
        <w:rPr>
          <w:rFonts w:eastAsiaTheme="minorEastAsia"/>
          <w:sz w:val="24"/>
          <w:szCs w:val="24"/>
          <w:lang w:val="fr-CA"/>
        </w:rPr>
        <w:t xml:space="preserve"> d’un vaccin </w:t>
      </w:r>
      <w:r w:rsidR="503BD5F6" w:rsidRPr="45EC30A4">
        <w:rPr>
          <w:rFonts w:eastAsiaTheme="minorEastAsia"/>
          <w:sz w:val="24"/>
          <w:szCs w:val="24"/>
          <w:lang w:val="fr-CA"/>
        </w:rPr>
        <w:t>puisse</w:t>
      </w:r>
      <w:r w:rsidR="0D56CE7D" w:rsidRPr="45EC30A4">
        <w:rPr>
          <w:rFonts w:eastAsiaTheme="minorEastAsia"/>
          <w:sz w:val="24"/>
          <w:szCs w:val="24"/>
          <w:lang w:val="fr-CA"/>
        </w:rPr>
        <w:t xml:space="preserve"> </w:t>
      </w:r>
      <w:r w:rsidR="0FFB75C0" w:rsidRPr="45EC30A4">
        <w:rPr>
          <w:rFonts w:eastAsiaTheme="minorEastAsia"/>
          <w:sz w:val="24"/>
          <w:szCs w:val="24"/>
          <w:lang w:val="fr-CA"/>
        </w:rPr>
        <w:t>être</w:t>
      </w:r>
      <w:r w:rsidR="0D56CE7D" w:rsidRPr="45EC30A4">
        <w:rPr>
          <w:rFonts w:eastAsiaTheme="minorEastAsia"/>
          <w:sz w:val="24"/>
          <w:szCs w:val="24"/>
          <w:lang w:val="fr-CA"/>
        </w:rPr>
        <w:t xml:space="preserve"> un de ses facteur</w:t>
      </w:r>
      <w:r w:rsidR="074FF911" w:rsidRPr="45EC30A4">
        <w:rPr>
          <w:rFonts w:eastAsiaTheme="minorEastAsia"/>
          <w:sz w:val="24"/>
          <w:szCs w:val="24"/>
          <w:lang w:val="fr-CA"/>
        </w:rPr>
        <w:t xml:space="preserve"> qui influence le </w:t>
      </w:r>
      <w:r w:rsidR="46569F46" w:rsidRPr="45EC30A4">
        <w:rPr>
          <w:rFonts w:eastAsiaTheme="minorEastAsia"/>
          <w:sz w:val="24"/>
          <w:szCs w:val="24"/>
          <w:lang w:val="fr-CA"/>
        </w:rPr>
        <w:t>marché</w:t>
      </w:r>
      <w:r w:rsidR="074FF911" w:rsidRPr="45EC30A4">
        <w:rPr>
          <w:rFonts w:eastAsiaTheme="minorEastAsia"/>
          <w:sz w:val="24"/>
          <w:szCs w:val="24"/>
          <w:lang w:val="fr-CA"/>
        </w:rPr>
        <w:t xml:space="preserve"> positivement</w:t>
      </w:r>
      <w:r w:rsidR="0D56CE7D" w:rsidRPr="45EC30A4">
        <w:rPr>
          <w:rFonts w:eastAsiaTheme="minorEastAsia"/>
          <w:sz w:val="24"/>
          <w:szCs w:val="24"/>
          <w:lang w:val="fr-CA"/>
        </w:rPr>
        <w:t>.</w:t>
      </w:r>
      <w:r w:rsidR="24F76761" w:rsidRPr="45EC30A4">
        <w:rPr>
          <w:rFonts w:eastAsiaTheme="minorEastAsia"/>
          <w:sz w:val="24"/>
          <w:szCs w:val="24"/>
          <w:lang w:val="fr-CA"/>
        </w:rPr>
        <w:t xml:space="preserve"> </w:t>
      </w:r>
      <w:r w:rsidR="2D82159C" w:rsidRPr="45EC30A4">
        <w:rPr>
          <w:rFonts w:eastAsiaTheme="minorEastAsia"/>
          <w:sz w:val="24"/>
          <w:szCs w:val="24"/>
          <w:lang w:val="fr-CA"/>
        </w:rPr>
        <w:t>Par contre, i</w:t>
      </w:r>
      <w:r w:rsidR="24F76761" w:rsidRPr="45EC30A4">
        <w:rPr>
          <w:rFonts w:eastAsiaTheme="minorEastAsia"/>
          <w:sz w:val="24"/>
          <w:szCs w:val="24"/>
          <w:lang w:val="fr-CA"/>
        </w:rPr>
        <w:t>l faut interpréter ces coefficients avec prudence car on n'a pas vérifié les hypothèses du modèle linéaire</w:t>
      </w:r>
    </w:p>
    <w:p w14:paraId="242AC1EB" w14:textId="313F27DC" w:rsidR="1B6275FF" w:rsidRDefault="305D29E3" w:rsidP="45EC30A4">
      <w:pPr>
        <w:jc w:val="center"/>
        <w:rPr>
          <w:rFonts w:ascii="Times New Roman" w:eastAsia="Times New Roman" w:hAnsi="Times New Roman" w:cs="Times New Roman"/>
          <w:i/>
          <w:iCs/>
          <w:color w:val="44546A" w:themeColor="text2"/>
          <w:sz w:val="16"/>
          <w:szCs w:val="16"/>
          <w:lang w:val="fr-CA"/>
        </w:rPr>
      </w:pPr>
      <w:r w:rsidRPr="45EC30A4">
        <w:rPr>
          <w:rFonts w:ascii="Times New Roman" w:eastAsia="Times New Roman" w:hAnsi="Times New Roman" w:cs="Times New Roman"/>
          <w:i/>
          <w:iCs/>
          <w:color w:val="44546A" w:themeColor="text2"/>
          <w:sz w:val="18"/>
          <w:szCs w:val="18"/>
          <w:lang w:val="fr-CA"/>
        </w:rPr>
        <w:t xml:space="preserve">Tableau 10: Test de normalité pour les </w:t>
      </w:r>
      <w:r w:rsidRPr="45EC30A4">
        <w:rPr>
          <w:rFonts w:ascii="Times New Roman" w:eastAsia="Times New Roman" w:hAnsi="Times New Roman" w:cs="Times New Roman"/>
          <w:i/>
          <w:iCs/>
          <w:color w:val="44546A" w:themeColor="text2"/>
          <w:sz w:val="16"/>
          <w:szCs w:val="16"/>
          <w:lang w:val="fr-CA"/>
        </w:rPr>
        <w:t>résidus</w:t>
      </w:r>
    </w:p>
    <w:p w14:paraId="61E8072A" w14:textId="7854A960" w:rsidR="1B6275FF" w:rsidRDefault="5EB99CD3" w:rsidP="45EC30A4">
      <w:pPr>
        <w:jc w:val="center"/>
      </w:pPr>
      <w:r>
        <w:rPr>
          <w:noProof/>
        </w:rPr>
        <w:drawing>
          <wp:inline distT="0" distB="0" distL="0" distR="0" wp14:anchorId="5B63EF8F" wp14:editId="6EBCD083">
            <wp:extent cx="2855159" cy="506276"/>
            <wp:effectExtent l="0" t="0" r="0" b="0"/>
            <wp:docPr id="559301293" name="Bilde 55930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55159" cy="506276"/>
                    </a:xfrm>
                    <a:prstGeom prst="rect">
                      <a:avLst/>
                    </a:prstGeom>
                  </pic:spPr>
                </pic:pic>
              </a:graphicData>
            </a:graphic>
          </wp:inline>
        </w:drawing>
      </w:r>
    </w:p>
    <w:p w14:paraId="63877933" w14:textId="73E4BA75" w:rsidR="1B6275FF" w:rsidRDefault="11ABF4B2" w:rsidP="45EC30A4">
      <w:pPr>
        <w:rPr>
          <w:rFonts w:eastAsiaTheme="minorEastAsia"/>
          <w:sz w:val="24"/>
          <w:szCs w:val="24"/>
          <w:lang w:val="fr-FR"/>
        </w:rPr>
      </w:pPr>
      <w:r w:rsidRPr="45EC30A4">
        <w:rPr>
          <w:rFonts w:eastAsiaTheme="minorEastAsia"/>
          <w:sz w:val="24"/>
          <w:szCs w:val="24"/>
          <w:lang w:val="fr-FR"/>
        </w:rPr>
        <w:t xml:space="preserve">Pour le modèle 1, la normalité des résidus est conserve avec le </w:t>
      </w:r>
      <w:r w:rsidR="226E3B71" w:rsidRPr="45EC30A4">
        <w:rPr>
          <w:rFonts w:eastAsiaTheme="minorEastAsia"/>
          <w:sz w:val="24"/>
          <w:szCs w:val="24"/>
          <w:lang w:val="fr-FR"/>
        </w:rPr>
        <w:t>test shapiro</w:t>
      </w:r>
      <w:r w:rsidR="05D7536B" w:rsidRPr="45EC30A4">
        <w:rPr>
          <w:rFonts w:eastAsiaTheme="minorEastAsia"/>
          <w:sz w:val="24"/>
          <w:szCs w:val="24"/>
          <w:lang w:val="fr-FR"/>
        </w:rPr>
        <w:t>-</w:t>
      </w:r>
      <w:r w:rsidR="226E3B71" w:rsidRPr="45EC30A4">
        <w:rPr>
          <w:rFonts w:eastAsiaTheme="minorEastAsia"/>
          <w:sz w:val="24"/>
          <w:szCs w:val="24"/>
          <w:lang w:val="fr-FR"/>
        </w:rPr>
        <w:t>wilk</w:t>
      </w:r>
      <w:r w:rsidR="57A4EEBC" w:rsidRPr="45EC30A4">
        <w:rPr>
          <w:rFonts w:eastAsiaTheme="minorEastAsia"/>
          <w:sz w:val="24"/>
          <w:szCs w:val="24"/>
          <w:lang w:val="fr-FR"/>
        </w:rPr>
        <w:t xml:space="preserve"> </w:t>
      </w:r>
      <w:r w:rsidR="397DEFD7" w:rsidRPr="45EC30A4">
        <w:rPr>
          <w:rFonts w:eastAsiaTheme="minorEastAsia"/>
          <w:sz w:val="24"/>
          <w:szCs w:val="24"/>
          <w:lang w:val="fr-FR"/>
        </w:rPr>
        <w:t>qui</w:t>
      </w:r>
      <w:r w:rsidR="226E3B71" w:rsidRPr="45EC30A4">
        <w:rPr>
          <w:rFonts w:eastAsiaTheme="minorEastAsia"/>
          <w:sz w:val="24"/>
          <w:szCs w:val="24"/>
          <w:lang w:val="fr-FR"/>
        </w:rPr>
        <w:t xml:space="preserve"> donne</w:t>
      </w:r>
      <w:r w:rsidR="524C0BAF" w:rsidRPr="45EC30A4">
        <w:rPr>
          <w:rFonts w:eastAsiaTheme="minorEastAsia"/>
          <w:sz w:val="24"/>
          <w:szCs w:val="24"/>
          <w:lang w:val="fr-FR"/>
        </w:rPr>
        <w:t>nt</w:t>
      </w:r>
      <w:r w:rsidR="226E3B71" w:rsidRPr="45EC30A4">
        <w:rPr>
          <w:rFonts w:eastAsiaTheme="minorEastAsia"/>
          <w:sz w:val="24"/>
          <w:szCs w:val="24"/>
          <w:lang w:val="fr-FR"/>
        </w:rPr>
        <w:t xml:space="preserve"> un p-value de 0.39. On </w:t>
      </w:r>
      <w:r w:rsidR="6717C1A0" w:rsidRPr="45EC30A4">
        <w:rPr>
          <w:rFonts w:eastAsiaTheme="minorEastAsia"/>
          <w:sz w:val="24"/>
          <w:szCs w:val="24"/>
          <w:lang w:val="fr-FR"/>
        </w:rPr>
        <w:t xml:space="preserve">conserve </w:t>
      </w:r>
      <w:r w:rsidR="226E3B71" w:rsidRPr="45EC30A4">
        <w:rPr>
          <w:rFonts w:eastAsiaTheme="minorEastAsia"/>
          <w:sz w:val="24"/>
          <w:szCs w:val="24"/>
          <w:lang w:val="fr-FR"/>
        </w:rPr>
        <w:t xml:space="preserve">donc l’hypothèse de H0 que </w:t>
      </w:r>
      <w:r w:rsidR="6F398CD0" w:rsidRPr="45EC30A4">
        <w:rPr>
          <w:rFonts w:eastAsiaTheme="minorEastAsia"/>
          <w:sz w:val="24"/>
          <w:szCs w:val="24"/>
          <w:lang w:val="fr-FR"/>
        </w:rPr>
        <w:t>les résidus</w:t>
      </w:r>
      <w:r w:rsidR="226E3B71" w:rsidRPr="45EC30A4">
        <w:rPr>
          <w:rFonts w:eastAsiaTheme="minorEastAsia"/>
          <w:sz w:val="24"/>
          <w:szCs w:val="24"/>
          <w:lang w:val="fr-FR"/>
        </w:rPr>
        <w:t xml:space="preserve"> sont </w:t>
      </w:r>
      <w:r w:rsidR="55AD7EDD" w:rsidRPr="45EC30A4">
        <w:rPr>
          <w:rFonts w:eastAsiaTheme="minorEastAsia"/>
          <w:sz w:val="24"/>
          <w:szCs w:val="24"/>
          <w:lang w:val="fr-FR"/>
        </w:rPr>
        <w:t>distribués</w:t>
      </w:r>
      <w:r w:rsidR="226E3B71" w:rsidRPr="45EC30A4">
        <w:rPr>
          <w:rFonts w:eastAsiaTheme="minorEastAsia"/>
          <w:sz w:val="24"/>
          <w:szCs w:val="24"/>
          <w:lang w:val="fr-FR"/>
        </w:rPr>
        <w:t xml:space="preserve"> en fonction d’une loi normale.</w:t>
      </w:r>
      <w:r w:rsidR="676D1C3E" w:rsidRPr="45EC30A4">
        <w:rPr>
          <w:rFonts w:eastAsiaTheme="minorEastAsia"/>
          <w:sz w:val="24"/>
          <w:szCs w:val="24"/>
          <w:lang w:val="fr-FR"/>
        </w:rPr>
        <w:t xml:space="preserve"> Ceci peut aussi être vérifier avec le plot “Normal - QQ” dans la </w:t>
      </w:r>
      <w:r w:rsidR="54BD8B34" w:rsidRPr="45EC30A4">
        <w:rPr>
          <w:rFonts w:eastAsiaTheme="minorEastAsia"/>
          <w:sz w:val="24"/>
          <w:szCs w:val="24"/>
          <w:lang w:val="fr-FR"/>
        </w:rPr>
        <w:t>proc reg.</w:t>
      </w:r>
    </w:p>
    <w:p w14:paraId="3D53B235" w14:textId="04AB4534" w:rsidR="1B6275FF" w:rsidRDefault="786EECBA"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11: Test d'autocorrélation</w:t>
      </w:r>
    </w:p>
    <w:p w14:paraId="303FEF58" w14:textId="63BD7F61" w:rsidR="1B6275FF" w:rsidRDefault="6CFBD13B" w:rsidP="45EC30A4">
      <w:pPr>
        <w:jc w:val="center"/>
      </w:pPr>
      <w:r>
        <w:rPr>
          <w:noProof/>
        </w:rPr>
        <w:drawing>
          <wp:inline distT="0" distB="0" distL="0" distR="0" wp14:anchorId="5257095D" wp14:editId="52B7269C">
            <wp:extent cx="1768441" cy="903168"/>
            <wp:effectExtent l="0" t="0" r="0" b="0"/>
            <wp:docPr id="320339086" name="Bilde 32033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68441" cy="903168"/>
                    </a:xfrm>
                    <a:prstGeom prst="rect">
                      <a:avLst/>
                    </a:prstGeom>
                  </pic:spPr>
                </pic:pic>
              </a:graphicData>
            </a:graphic>
          </wp:inline>
        </w:drawing>
      </w:r>
    </w:p>
    <w:p w14:paraId="65A35582" w14:textId="195B2DA9" w:rsidR="1B6275FF" w:rsidRDefault="6CFBD13B" w:rsidP="45EC30A4">
      <w:pPr>
        <w:rPr>
          <w:rFonts w:eastAsiaTheme="minorEastAsia"/>
          <w:sz w:val="24"/>
          <w:szCs w:val="24"/>
          <w:lang w:val="fr-FR"/>
        </w:rPr>
      </w:pPr>
      <w:r w:rsidRPr="45EC30A4">
        <w:rPr>
          <w:rFonts w:eastAsiaTheme="minorEastAsia"/>
          <w:sz w:val="24"/>
          <w:szCs w:val="24"/>
          <w:lang w:val="fr-FR"/>
        </w:rPr>
        <w:t xml:space="preserve">En revanche l’hypothèse d'Independence entre les observations successives n’est pas </w:t>
      </w:r>
      <w:r w:rsidR="6FDC7876" w:rsidRPr="45EC30A4">
        <w:rPr>
          <w:rFonts w:eastAsiaTheme="minorEastAsia"/>
          <w:sz w:val="24"/>
          <w:szCs w:val="24"/>
          <w:lang w:val="fr-FR"/>
        </w:rPr>
        <w:t>conservée</w:t>
      </w:r>
      <w:r w:rsidRPr="45EC30A4">
        <w:rPr>
          <w:rFonts w:eastAsiaTheme="minorEastAsia"/>
          <w:sz w:val="24"/>
          <w:szCs w:val="24"/>
          <w:lang w:val="fr-FR"/>
        </w:rPr>
        <w:t xml:space="preserve">. Cela est confirmé à l’aide d’une proc autoreg pour effectuer un test Durbin-Watson.  </w:t>
      </w:r>
      <w:r w:rsidR="77972D36" w:rsidRPr="45EC30A4">
        <w:rPr>
          <w:rFonts w:eastAsiaTheme="minorEastAsia"/>
          <w:sz w:val="24"/>
          <w:szCs w:val="24"/>
          <w:lang w:val="fr-FR"/>
        </w:rPr>
        <w:t>On observ</w:t>
      </w:r>
      <w:r w:rsidRPr="45EC30A4">
        <w:rPr>
          <w:rFonts w:eastAsiaTheme="minorEastAsia"/>
          <w:sz w:val="24"/>
          <w:szCs w:val="24"/>
          <w:lang w:val="fr-FR"/>
        </w:rPr>
        <w:t xml:space="preserve">e une autocorrélation positive </w:t>
      </w:r>
      <w:r w:rsidR="7D799178" w:rsidRPr="45EC30A4">
        <w:rPr>
          <w:rFonts w:eastAsiaTheme="minorEastAsia"/>
          <w:sz w:val="24"/>
          <w:szCs w:val="24"/>
          <w:lang w:val="fr-FR"/>
        </w:rPr>
        <w:t xml:space="preserve">au </w:t>
      </w:r>
      <w:r w:rsidRPr="45EC30A4">
        <w:rPr>
          <w:rFonts w:eastAsiaTheme="minorEastAsia"/>
          <w:sz w:val="24"/>
          <w:szCs w:val="24"/>
          <w:lang w:val="fr-FR"/>
        </w:rPr>
        <w:t>deuxième dégrée.</w:t>
      </w:r>
      <w:r w:rsidR="76E021AA" w:rsidRPr="45EC30A4">
        <w:rPr>
          <w:rFonts w:eastAsiaTheme="minorEastAsia"/>
          <w:sz w:val="24"/>
          <w:szCs w:val="24"/>
          <w:lang w:val="fr-FR"/>
        </w:rPr>
        <w:t xml:space="preserve"> </w:t>
      </w:r>
    </w:p>
    <w:p w14:paraId="0645BEB8" w14:textId="506DC7FA" w:rsidR="1B6275FF" w:rsidRDefault="62606619" w:rsidP="45EC30A4">
      <w:pPr>
        <w:jc w:val="center"/>
        <w:rPr>
          <w:rFonts w:eastAsiaTheme="minorEastAsia"/>
          <w:sz w:val="24"/>
          <w:szCs w:val="24"/>
          <w:lang w:val="fr-FR"/>
        </w:rPr>
      </w:pPr>
      <w:r w:rsidRPr="45EC30A4">
        <w:rPr>
          <w:rFonts w:eastAsiaTheme="minorEastAsia"/>
          <w:b/>
          <w:bCs/>
          <w:sz w:val="24"/>
          <w:szCs w:val="24"/>
          <w:lang w:val="fr-FR"/>
        </w:rPr>
        <w:t>Model 2:</w:t>
      </w:r>
      <w:r w:rsidRPr="45EC30A4">
        <w:rPr>
          <w:rFonts w:eastAsiaTheme="minorEastAsia"/>
          <w:sz w:val="24"/>
          <w:szCs w:val="24"/>
          <w:lang w:val="fr-FR"/>
        </w:rPr>
        <w:t xml:space="preserve"> NFLX = β0 + β1*</w:t>
      </w:r>
      <w:r w:rsidR="330EF7DE" w:rsidRPr="45EC30A4">
        <w:rPr>
          <w:rFonts w:eastAsiaTheme="minorEastAsia"/>
          <w:sz w:val="24"/>
          <w:szCs w:val="24"/>
          <w:lang w:val="fr-FR"/>
        </w:rPr>
        <w:t>décès</w:t>
      </w:r>
      <w:r w:rsidRPr="45EC30A4">
        <w:rPr>
          <w:rFonts w:eastAsiaTheme="minorEastAsia"/>
          <w:sz w:val="24"/>
          <w:szCs w:val="24"/>
          <w:lang w:val="fr-FR"/>
        </w:rPr>
        <w:t xml:space="preserve"> + β2*cas+ β3*</w:t>
      </w:r>
      <w:r w:rsidR="368454F1" w:rsidRPr="45EC30A4">
        <w:rPr>
          <w:rFonts w:eastAsiaTheme="minorEastAsia"/>
          <w:sz w:val="24"/>
          <w:szCs w:val="24"/>
          <w:lang w:val="fr-FR"/>
        </w:rPr>
        <w:t>guérisons</w:t>
      </w:r>
      <w:r w:rsidRPr="45EC30A4">
        <w:rPr>
          <w:rFonts w:eastAsiaTheme="minorEastAsia"/>
          <w:sz w:val="24"/>
          <w:szCs w:val="24"/>
          <w:lang w:val="fr-FR"/>
        </w:rPr>
        <w:t>+ β4*IXIC+ µ</w:t>
      </w:r>
    </w:p>
    <w:p w14:paraId="70FA3D31" w14:textId="18990E61" w:rsidR="1B6275FF" w:rsidRDefault="1E7F4B8A"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12: Coefficients de la régression 2</w:t>
      </w:r>
    </w:p>
    <w:p w14:paraId="13F3C78E" w14:textId="670D2200" w:rsidR="1B6275FF" w:rsidRDefault="53C65236" w:rsidP="45EC30A4">
      <w:pPr>
        <w:jc w:val="center"/>
      </w:pPr>
      <w:r>
        <w:rPr>
          <w:noProof/>
        </w:rPr>
        <w:drawing>
          <wp:inline distT="0" distB="0" distL="0" distR="0" wp14:anchorId="78C89D5C" wp14:editId="25672652">
            <wp:extent cx="2866174" cy="1312152"/>
            <wp:effectExtent l="0" t="0" r="0" b="0"/>
            <wp:docPr id="1437422043" name="Bilde 143742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66174" cy="1312152"/>
                    </a:xfrm>
                    <a:prstGeom prst="rect">
                      <a:avLst/>
                    </a:prstGeom>
                  </pic:spPr>
                </pic:pic>
              </a:graphicData>
            </a:graphic>
          </wp:inline>
        </w:drawing>
      </w:r>
    </w:p>
    <w:p w14:paraId="602AC3F8" w14:textId="74DF0E9A" w:rsidR="1B6275FF" w:rsidRDefault="0D05D4EA" w:rsidP="45EC30A4">
      <w:pPr>
        <w:jc w:val="center"/>
      </w:pPr>
      <w:r>
        <w:rPr>
          <w:noProof/>
        </w:rPr>
        <w:drawing>
          <wp:inline distT="0" distB="0" distL="0" distR="0" wp14:anchorId="088FF4B2" wp14:editId="1C559480">
            <wp:extent cx="2563161" cy="380213"/>
            <wp:effectExtent l="0" t="0" r="0" b="0"/>
            <wp:docPr id="1482450560" name="Bilde 148245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63161" cy="380213"/>
                    </a:xfrm>
                    <a:prstGeom prst="rect">
                      <a:avLst/>
                    </a:prstGeom>
                  </pic:spPr>
                </pic:pic>
              </a:graphicData>
            </a:graphic>
          </wp:inline>
        </w:drawing>
      </w:r>
    </w:p>
    <w:p w14:paraId="189C586D" w14:textId="3DD0AFD9" w:rsidR="1B6275FF" w:rsidRDefault="509EB75C" w:rsidP="45EC30A4">
      <w:pPr>
        <w:rPr>
          <w:rFonts w:eastAsiaTheme="minorEastAsia"/>
          <w:sz w:val="24"/>
          <w:szCs w:val="24"/>
          <w:lang w:val="fr-FR"/>
        </w:rPr>
      </w:pPr>
      <w:r w:rsidRPr="45EC30A4">
        <w:rPr>
          <w:rFonts w:eastAsiaTheme="minorEastAsia"/>
          <w:sz w:val="24"/>
          <w:szCs w:val="24"/>
          <w:lang w:val="fr-FR"/>
        </w:rPr>
        <w:lastRenderedPageBreak/>
        <w:t xml:space="preserve">La </w:t>
      </w:r>
      <w:r w:rsidR="64FC19BF" w:rsidRPr="45EC30A4">
        <w:rPr>
          <w:rFonts w:eastAsiaTheme="minorEastAsia"/>
          <w:sz w:val="24"/>
          <w:szCs w:val="24"/>
          <w:lang w:val="fr-FR"/>
        </w:rPr>
        <w:t>régression</w:t>
      </w:r>
      <w:r w:rsidRPr="45EC30A4">
        <w:rPr>
          <w:rFonts w:eastAsiaTheme="minorEastAsia"/>
          <w:sz w:val="24"/>
          <w:szCs w:val="24"/>
          <w:lang w:val="fr-FR"/>
        </w:rPr>
        <w:t xml:space="preserve"> du tableau 12 montre</w:t>
      </w:r>
      <w:r w:rsidR="5A71A04B" w:rsidRPr="45EC30A4">
        <w:rPr>
          <w:rFonts w:eastAsiaTheme="minorEastAsia"/>
          <w:sz w:val="24"/>
          <w:szCs w:val="24"/>
          <w:lang w:val="fr-FR"/>
        </w:rPr>
        <w:t xml:space="preserve"> qu’</w:t>
      </w:r>
      <w:r w:rsidR="2F62DE16" w:rsidRPr="45EC30A4">
        <w:rPr>
          <w:rFonts w:eastAsiaTheme="minorEastAsia"/>
          <w:sz w:val="24"/>
          <w:szCs w:val="24"/>
          <w:lang w:val="fr-FR"/>
        </w:rPr>
        <w:t>une</w:t>
      </w:r>
      <w:r w:rsidR="5A71A04B" w:rsidRPr="45EC30A4">
        <w:rPr>
          <w:rFonts w:eastAsiaTheme="minorEastAsia"/>
          <w:sz w:val="24"/>
          <w:szCs w:val="24"/>
          <w:lang w:val="fr-FR"/>
        </w:rPr>
        <w:t xml:space="preserve"> augmentation du taux moyen mondial de décès par un dans une semaine</w:t>
      </w:r>
      <w:r w:rsidR="2AE88EBB" w:rsidRPr="45EC30A4">
        <w:rPr>
          <w:rFonts w:eastAsiaTheme="minorEastAsia"/>
          <w:sz w:val="24"/>
          <w:szCs w:val="24"/>
          <w:lang w:val="fr-FR"/>
        </w:rPr>
        <w:t>,</w:t>
      </w:r>
      <w:r w:rsidR="5A71A04B" w:rsidRPr="45EC30A4">
        <w:rPr>
          <w:rFonts w:eastAsiaTheme="minorEastAsia"/>
          <w:sz w:val="24"/>
          <w:szCs w:val="24"/>
          <w:lang w:val="fr-FR"/>
        </w:rPr>
        <w:t xml:space="preserve"> augmentera l’indice de Netflix de 5% en moyenne</w:t>
      </w:r>
      <w:r w:rsidRPr="45EC30A4">
        <w:rPr>
          <w:rFonts w:eastAsiaTheme="minorEastAsia"/>
          <w:sz w:val="24"/>
          <w:szCs w:val="24"/>
          <w:lang w:val="fr-FR"/>
        </w:rPr>
        <w:t>.</w:t>
      </w:r>
      <w:r w:rsidR="34B91F05" w:rsidRPr="45EC30A4">
        <w:rPr>
          <w:rFonts w:eastAsiaTheme="minorEastAsia"/>
          <w:sz w:val="24"/>
          <w:szCs w:val="24"/>
          <w:lang w:val="fr-FR"/>
        </w:rPr>
        <w:t xml:space="preserve"> L’effet du </w:t>
      </w:r>
      <w:r w:rsidR="25584FC5" w:rsidRPr="45EC30A4">
        <w:rPr>
          <w:rFonts w:eastAsiaTheme="minorEastAsia"/>
          <w:sz w:val="24"/>
          <w:szCs w:val="24"/>
          <w:lang w:val="fr-FR"/>
        </w:rPr>
        <w:t>marché</w:t>
      </w:r>
      <w:r w:rsidR="34B91F05" w:rsidRPr="45EC30A4">
        <w:rPr>
          <w:rFonts w:eastAsiaTheme="minorEastAsia"/>
          <w:sz w:val="24"/>
          <w:szCs w:val="24"/>
          <w:lang w:val="fr-FR"/>
        </w:rPr>
        <w:t xml:space="preserve"> est aussi plus </w:t>
      </w:r>
      <w:r w:rsidR="143590AB" w:rsidRPr="45EC30A4">
        <w:rPr>
          <w:rFonts w:eastAsiaTheme="minorEastAsia"/>
          <w:sz w:val="24"/>
          <w:szCs w:val="24"/>
          <w:lang w:val="fr-FR"/>
        </w:rPr>
        <w:t>fort</w:t>
      </w:r>
      <w:r w:rsidR="156624B6" w:rsidRPr="45EC30A4">
        <w:rPr>
          <w:rFonts w:eastAsiaTheme="minorEastAsia"/>
          <w:sz w:val="24"/>
          <w:szCs w:val="24"/>
          <w:lang w:val="fr-FR"/>
        </w:rPr>
        <w:t xml:space="preserve"> </w:t>
      </w:r>
      <w:r w:rsidR="34B91F05" w:rsidRPr="45EC30A4">
        <w:rPr>
          <w:rFonts w:eastAsiaTheme="minorEastAsia"/>
          <w:sz w:val="24"/>
          <w:szCs w:val="24"/>
          <w:lang w:val="fr-FR"/>
        </w:rPr>
        <w:t xml:space="preserve">pour l’indice Netflix compare </w:t>
      </w:r>
      <w:r w:rsidR="5D7FA446" w:rsidRPr="45EC30A4">
        <w:rPr>
          <w:rFonts w:eastAsiaTheme="minorEastAsia"/>
          <w:sz w:val="24"/>
          <w:szCs w:val="24"/>
          <w:lang w:val="fr-FR"/>
        </w:rPr>
        <w:t>à</w:t>
      </w:r>
      <w:r w:rsidR="34B91F05" w:rsidRPr="45EC30A4">
        <w:rPr>
          <w:rFonts w:eastAsiaTheme="minorEastAsia"/>
          <w:sz w:val="24"/>
          <w:szCs w:val="24"/>
          <w:lang w:val="fr-FR"/>
        </w:rPr>
        <w:t xml:space="preserve"> l’indice </w:t>
      </w:r>
      <w:r w:rsidR="7BBE731A" w:rsidRPr="45EC30A4">
        <w:rPr>
          <w:rFonts w:eastAsiaTheme="minorEastAsia"/>
          <w:sz w:val="24"/>
          <w:szCs w:val="24"/>
          <w:lang w:val="fr-FR"/>
        </w:rPr>
        <w:t>Pfizer, un résultat plutôt surprenant</w:t>
      </w:r>
      <w:r w:rsidR="34B91F05" w:rsidRPr="45EC30A4">
        <w:rPr>
          <w:rFonts w:eastAsiaTheme="minorEastAsia"/>
          <w:sz w:val="24"/>
          <w:szCs w:val="24"/>
          <w:lang w:val="fr-FR"/>
        </w:rPr>
        <w:t xml:space="preserve">. </w:t>
      </w:r>
      <w:r w:rsidRPr="45EC30A4">
        <w:rPr>
          <w:rFonts w:eastAsiaTheme="minorEastAsia"/>
          <w:sz w:val="24"/>
          <w:szCs w:val="24"/>
          <w:lang w:val="fr-FR"/>
        </w:rPr>
        <w:t xml:space="preserve"> </w:t>
      </w:r>
      <w:r w:rsidR="196997B4" w:rsidRPr="45EC30A4">
        <w:rPr>
          <w:rFonts w:eastAsiaTheme="minorEastAsia"/>
          <w:sz w:val="24"/>
          <w:szCs w:val="24"/>
          <w:lang w:val="fr-FR"/>
        </w:rPr>
        <w:t>Cependant</w:t>
      </w:r>
      <w:r w:rsidRPr="45EC30A4">
        <w:rPr>
          <w:rFonts w:eastAsiaTheme="minorEastAsia"/>
          <w:sz w:val="24"/>
          <w:szCs w:val="24"/>
          <w:lang w:val="fr-FR"/>
        </w:rPr>
        <w:t xml:space="preserve"> on suppose</w:t>
      </w:r>
      <w:r w:rsidR="2ABDB243" w:rsidRPr="45EC30A4">
        <w:rPr>
          <w:rFonts w:eastAsiaTheme="minorEastAsia"/>
          <w:sz w:val="24"/>
          <w:szCs w:val="24"/>
          <w:lang w:val="fr-FR"/>
        </w:rPr>
        <w:t xml:space="preserve"> encore une fois</w:t>
      </w:r>
      <w:r w:rsidRPr="45EC30A4">
        <w:rPr>
          <w:rFonts w:eastAsiaTheme="minorEastAsia"/>
          <w:sz w:val="24"/>
          <w:szCs w:val="24"/>
          <w:lang w:val="fr-FR"/>
        </w:rPr>
        <w:t xml:space="preserve"> que </w:t>
      </w:r>
      <w:r w:rsidR="447B1C78" w:rsidRPr="45EC30A4">
        <w:rPr>
          <w:rFonts w:eastAsiaTheme="minorEastAsia"/>
          <w:sz w:val="24"/>
          <w:szCs w:val="24"/>
          <w:lang w:val="fr-FR"/>
        </w:rPr>
        <w:t>les hypothèses</w:t>
      </w:r>
      <w:r w:rsidRPr="45EC30A4">
        <w:rPr>
          <w:rFonts w:eastAsiaTheme="minorEastAsia"/>
          <w:sz w:val="24"/>
          <w:szCs w:val="24"/>
          <w:lang w:val="fr-FR"/>
        </w:rPr>
        <w:t xml:space="preserve"> de OLS tiennent</w:t>
      </w:r>
      <w:r w:rsidR="07E6A973" w:rsidRPr="45EC30A4">
        <w:rPr>
          <w:rFonts w:eastAsiaTheme="minorEastAsia"/>
          <w:sz w:val="24"/>
          <w:szCs w:val="24"/>
          <w:lang w:val="fr-FR"/>
        </w:rPr>
        <w:t>, alors qu’il est clair que cette régression</w:t>
      </w:r>
      <w:r w:rsidR="05952994" w:rsidRPr="45EC30A4">
        <w:rPr>
          <w:rFonts w:eastAsiaTheme="minorEastAsia"/>
          <w:sz w:val="24"/>
          <w:szCs w:val="24"/>
          <w:lang w:val="fr-FR"/>
        </w:rPr>
        <w:t xml:space="preserve"> qui se base aussi sur un stock</w:t>
      </w:r>
      <w:r w:rsidR="07E6A973" w:rsidRPr="45EC30A4">
        <w:rPr>
          <w:rFonts w:eastAsiaTheme="minorEastAsia"/>
          <w:sz w:val="24"/>
          <w:szCs w:val="24"/>
          <w:lang w:val="fr-FR"/>
        </w:rPr>
        <w:t xml:space="preserve"> souffre de problème d’autocorrélation</w:t>
      </w:r>
      <w:r w:rsidRPr="45EC30A4">
        <w:rPr>
          <w:rFonts w:eastAsiaTheme="minorEastAsia"/>
          <w:sz w:val="24"/>
          <w:szCs w:val="24"/>
          <w:lang w:val="fr-FR"/>
        </w:rPr>
        <w:t>.</w:t>
      </w:r>
    </w:p>
    <w:p w14:paraId="193800DD" w14:textId="707232B1" w:rsidR="1B6275FF" w:rsidRDefault="2DB1FF19"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13: Test normalité des résidus du modèle 2</w:t>
      </w:r>
    </w:p>
    <w:p w14:paraId="2C51B997" w14:textId="0D315851" w:rsidR="1B6275FF" w:rsidRDefault="406403B8" w:rsidP="45EC30A4">
      <w:pPr>
        <w:jc w:val="center"/>
        <w:rPr>
          <w:rFonts w:eastAsiaTheme="minorEastAsia"/>
          <w:sz w:val="24"/>
          <w:szCs w:val="24"/>
          <w:lang w:val="fr-FR"/>
        </w:rPr>
      </w:pPr>
      <w:r>
        <w:rPr>
          <w:noProof/>
        </w:rPr>
        <w:drawing>
          <wp:inline distT="0" distB="0" distL="0" distR="0" wp14:anchorId="51A09B27" wp14:editId="1311D650">
            <wp:extent cx="2933700" cy="508345"/>
            <wp:effectExtent l="0" t="0" r="0" b="0"/>
            <wp:docPr id="334691526" name="Bilde 3346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33700" cy="508345"/>
                    </a:xfrm>
                    <a:prstGeom prst="rect">
                      <a:avLst/>
                    </a:prstGeom>
                  </pic:spPr>
                </pic:pic>
              </a:graphicData>
            </a:graphic>
          </wp:inline>
        </w:drawing>
      </w:r>
      <w:r w:rsidR="3D56A0A2" w:rsidRPr="45EC30A4">
        <w:rPr>
          <w:rFonts w:ascii="Times New Roman" w:eastAsia="Times New Roman" w:hAnsi="Times New Roman" w:cs="Times New Roman"/>
          <w:lang w:val="fr-FR"/>
        </w:rPr>
        <w:t xml:space="preserve"> </w:t>
      </w:r>
    </w:p>
    <w:p w14:paraId="69A67D57" w14:textId="09489061" w:rsidR="1B6275FF" w:rsidRDefault="23A7EB63" w:rsidP="45EC30A4">
      <w:pPr>
        <w:rPr>
          <w:rFonts w:eastAsiaTheme="minorEastAsia"/>
          <w:sz w:val="24"/>
          <w:szCs w:val="24"/>
          <w:lang w:val="fr-FR"/>
        </w:rPr>
      </w:pPr>
      <w:r w:rsidRPr="45EC30A4">
        <w:rPr>
          <w:rFonts w:eastAsiaTheme="minorEastAsia"/>
          <w:sz w:val="24"/>
          <w:szCs w:val="24"/>
          <w:lang w:val="fr-FR"/>
        </w:rPr>
        <w:t>Pour le modèle</w:t>
      </w:r>
      <w:r w:rsidRPr="45EC30A4">
        <w:rPr>
          <w:rFonts w:eastAsiaTheme="minorEastAsia"/>
          <w:sz w:val="28"/>
          <w:szCs w:val="28"/>
          <w:lang w:val="fr-FR"/>
        </w:rPr>
        <w:t xml:space="preserve"> </w:t>
      </w:r>
      <w:r w:rsidRPr="45EC30A4">
        <w:rPr>
          <w:rFonts w:eastAsiaTheme="minorEastAsia"/>
          <w:sz w:val="24"/>
          <w:szCs w:val="24"/>
          <w:lang w:val="fr-FR"/>
        </w:rPr>
        <w:t>2, la normalité des résidus est aussi conservée avec un p-value de 0.4443 vue dans le tableau 13</w:t>
      </w:r>
      <w:r w:rsidR="32A75F92" w:rsidRPr="45EC30A4">
        <w:rPr>
          <w:rFonts w:eastAsiaTheme="minorEastAsia"/>
          <w:sz w:val="24"/>
          <w:szCs w:val="24"/>
          <w:lang w:val="fr-FR"/>
        </w:rPr>
        <w:t>.</w:t>
      </w:r>
    </w:p>
    <w:p w14:paraId="4AF9430C" w14:textId="7188C982" w:rsidR="1B6275FF" w:rsidRDefault="4E3AE108"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14: Test d'autocorrélation pour le modèle 2</w:t>
      </w:r>
    </w:p>
    <w:p w14:paraId="6F061C4F" w14:textId="723D10BE" w:rsidR="1B6275FF" w:rsidRDefault="32A75F92" w:rsidP="45EC30A4">
      <w:pPr>
        <w:jc w:val="center"/>
      </w:pPr>
      <w:r>
        <w:rPr>
          <w:noProof/>
        </w:rPr>
        <w:drawing>
          <wp:inline distT="0" distB="0" distL="0" distR="0" wp14:anchorId="1ED5C64F" wp14:editId="23E791D3">
            <wp:extent cx="1866900" cy="761071"/>
            <wp:effectExtent l="0" t="0" r="0" b="0"/>
            <wp:docPr id="1053094181" name="Bilde 105309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866900" cy="761071"/>
                    </a:xfrm>
                    <a:prstGeom prst="rect">
                      <a:avLst/>
                    </a:prstGeom>
                  </pic:spPr>
                </pic:pic>
              </a:graphicData>
            </a:graphic>
          </wp:inline>
        </w:drawing>
      </w:r>
    </w:p>
    <w:p w14:paraId="189704CE" w14:textId="42538EE2" w:rsidR="1B6275FF" w:rsidRDefault="06F5AD04" w:rsidP="45EC30A4">
      <w:pPr>
        <w:rPr>
          <w:rFonts w:eastAsiaTheme="minorEastAsia"/>
          <w:sz w:val="24"/>
          <w:szCs w:val="24"/>
          <w:lang w:val="fr-FR"/>
        </w:rPr>
      </w:pPr>
      <w:r w:rsidRPr="45EC30A4">
        <w:rPr>
          <w:rFonts w:eastAsiaTheme="minorEastAsia"/>
          <w:sz w:val="24"/>
          <w:szCs w:val="24"/>
          <w:lang w:val="fr-FR"/>
        </w:rPr>
        <w:t>Cependant</w:t>
      </w:r>
      <w:r w:rsidR="371087F5" w:rsidRPr="45EC30A4">
        <w:rPr>
          <w:rFonts w:eastAsiaTheme="minorEastAsia"/>
          <w:sz w:val="24"/>
          <w:szCs w:val="24"/>
          <w:lang w:val="fr-FR"/>
        </w:rPr>
        <w:t xml:space="preserve"> il </w:t>
      </w:r>
      <w:r w:rsidR="0AD86A3E" w:rsidRPr="45EC30A4">
        <w:rPr>
          <w:rFonts w:eastAsiaTheme="minorEastAsia"/>
          <w:sz w:val="24"/>
          <w:szCs w:val="24"/>
          <w:lang w:val="fr-FR"/>
        </w:rPr>
        <w:t>n'y</w:t>
      </w:r>
      <w:r w:rsidR="371087F5" w:rsidRPr="45EC30A4">
        <w:rPr>
          <w:rFonts w:eastAsiaTheme="minorEastAsia"/>
          <w:sz w:val="24"/>
          <w:szCs w:val="24"/>
          <w:lang w:val="fr-FR"/>
        </w:rPr>
        <w:t xml:space="preserve"> a pas </w:t>
      </w:r>
      <w:r w:rsidR="1F6BBF7E" w:rsidRPr="45EC30A4">
        <w:rPr>
          <w:rFonts w:eastAsiaTheme="minorEastAsia"/>
          <w:sz w:val="24"/>
          <w:szCs w:val="24"/>
          <w:lang w:val="fr-FR"/>
        </w:rPr>
        <w:t>l'Independence</w:t>
      </w:r>
      <w:r w:rsidR="371087F5" w:rsidRPr="45EC30A4">
        <w:rPr>
          <w:rFonts w:eastAsiaTheme="minorEastAsia"/>
          <w:sz w:val="24"/>
          <w:szCs w:val="24"/>
          <w:lang w:val="fr-FR"/>
        </w:rPr>
        <w:t xml:space="preserve"> entre observations </w:t>
      </w:r>
      <w:r w:rsidR="10D6A4A6" w:rsidRPr="45EC30A4">
        <w:rPr>
          <w:rFonts w:eastAsiaTheme="minorEastAsia"/>
          <w:sz w:val="24"/>
          <w:szCs w:val="24"/>
          <w:lang w:val="fr-FR"/>
        </w:rPr>
        <w:t>successives</w:t>
      </w:r>
      <w:r w:rsidR="371087F5" w:rsidRPr="45EC30A4">
        <w:rPr>
          <w:rFonts w:eastAsiaTheme="minorEastAsia"/>
          <w:sz w:val="24"/>
          <w:szCs w:val="24"/>
          <w:lang w:val="fr-FR"/>
        </w:rPr>
        <w:t xml:space="preserve">. La proc autoreg est une fois de plus </w:t>
      </w:r>
      <w:r w:rsidR="6972E0AD" w:rsidRPr="45EC30A4">
        <w:rPr>
          <w:rFonts w:eastAsiaTheme="minorEastAsia"/>
          <w:sz w:val="24"/>
          <w:szCs w:val="24"/>
          <w:lang w:val="fr-FR"/>
        </w:rPr>
        <w:t>utilisé</w:t>
      </w:r>
      <w:r w:rsidR="371087F5" w:rsidRPr="45EC30A4">
        <w:rPr>
          <w:rFonts w:eastAsiaTheme="minorEastAsia"/>
          <w:sz w:val="24"/>
          <w:szCs w:val="24"/>
          <w:lang w:val="fr-FR"/>
        </w:rPr>
        <w:t xml:space="preserve"> pour confirme </w:t>
      </w:r>
      <w:r w:rsidR="01B6A8AC" w:rsidRPr="45EC30A4">
        <w:rPr>
          <w:rFonts w:eastAsiaTheme="minorEastAsia"/>
          <w:sz w:val="24"/>
          <w:szCs w:val="24"/>
          <w:lang w:val="fr-FR"/>
        </w:rPr>
        <w:t>à</w:t>
      </w:r>
      <w:r w:rsidR="371087F5" w:rsidRPr="45EC30A4">
        <w:rPr>
          <w:rFonts w:eastAsiaTheme="minorEastAsia"/>
          <w:sz w:val="24"/>
          <w:szCs w:val="24"/>
          <w:lang w:val="fr-FR"/>
        </w:rPr>
        <w:t xml:space="preserve"> l’aide d’un test Durbin-Watson</w:t>
      </w:r>
      <w:r w:rsidR="1B0134B4" w:rsidRPr="45EC30A4">
        <w:rPr>
          <w:rFonts w:eastAsiaTheme="minorEastAsia"/>
          <w:sz w:val="24"/>
          <w:szCs w:val="24"/>
          <w:lang w:val="fr-FR"/>
        </w:rPr>
        <w:t xml:space="preserve"> vue dans le tableau 1</w:t>
      </w:r>
      <w:r w:rsidR="5B08C3E2" w:rsidRPr="45EC30A4">
        <w:rPr>
          <w:rFonts w:eastAsiaTheme="minorEastAsia"/>
          <w:sz w:val="24"/>
          <w:szCs w:val="24"/>
          <w:lang w:val="fr-FR"/>
        </w:rPr>
        <w:t>4</w:t>
      </w:r>
      <w:r w:rsidR="371087F5" w:rsidRPr="45EC30A4">
        <w:rPr>
          <w:rFonts w:eastAsiaTheme="minorEastAsia"/>
          <w:sz w:val="24"/>
          <w:szCs w:val="24"/>
          <w:lang w:val="fr-FR"/>
        </w:rPr>
        <w:t xml:space="preserve">. </w:t>
      </w:r>
      <w:r w:rsidR="0BBB47C6" w:rsidRPr="45EC30A4">
        <w:rPr>
          <w:rFonts w:eastAsiaTheme="minorEastAsia"/>
          <w:sz w:val="24"/>
          <w:szCs w:val="24"/>
          <w:lang w:val="fr-FR"/>
        </w:rPr>
        <w:t>On</w:t>
      </w:r>
      <w:r w:rsidR="371087F5" w:rsidRPr="45EC30A4">
        <w:rPr>
          <w:rFonts w:eastAsiaTheme="minorEastAsia"/>
          <w:sz w:val="24"/>
          <w:szCs w:val="24"/>
          <w:lang w:val="fr-FR"/>
        </w:rPr>
        <w:t xml:space="preserve"> concl</w:t>
      </w:r>
      <w:r w:rsidR="32ADDB99" w:rsidRPr="45EC30A4">
        <w:rPr>
          <w:rFonts w:eastAsiaTheme="minorEastAsia"/>
          <w:sz w:val="24"/>
          <w:szCs w:val="24"/>
          <w:lang w:val="fr-FR"/>
        </w:rPr>
        <w:t xml:space="preserve">ut </w:t>
      </w:r>
      <w:r w:rsidR="17B7B6F1" w:rsidRPr="45EC30A4">
        <w:rPr>
          <w:rFonts w:eastAsiaTheme="minorEastAsia"/>
          <w:sz w:val="24"/>
          <w:szCs w:val="24"/>
          <w:lang w:val="fr-FR"/>
        </w:rPr>
        <w:t>qu'il</w:t>
      </w:r>
      <w:r w:rsidR="32ADDB99" w:rsidRPr="45EC30A4">
        <w:rPr>
          <w:rFonts w:eastAsiaTheme="minorEastAsia"/>
          <w:sz w:val="24"/>
          <w:szCs w:val="24"/>
          <w:lang w:val="fr-FR"/>
        </w:rPr>
        <w:t xml:space="preserve"> y </w:t>
      </w:r>
      <w:r w:rsidR="53B8373B" w:rsidRPr="45EC30A4">
        <w:rPr>
          <w:rFonts w:eastAsiaTheme="minorEastAsia"/>
          <w:sz w:val="24"/>
          <w:szCs w:val="24"/>
          <w:lang w:val="fr-FR"/>
        </w:rPr>
        <w:t>a</w:t>
      </w:r>
      <w:r w:rsidR="32ADDB99" w:rsidRPr="45EC30A4">
        <w:rPr>
          <w:rFonts w:eastAsiaTheme="minorEastAsia"/>
          <w:sz w:val="24"/>
          <w:szCs w:val="24"/>
          <w:lang w:val="fr-FR"/>
        </w:rPr>
        <w:t xml:space="preserve"> de l’</w:t>
      </w:r>
      <w:r w:rsidR="2E840799" w:rsidRPr="45EC30A4">
        <w:rPr>
          <w:rFonts w:eastAsiaTheme="minorEastAsia"/>
          <w:sz w:val="24"/>
          <w:szCs w:val="24"/>
          <w:lang w:val="fr-FR"/>
        </w:rPr>
        <w:t>autocorrélation</w:t>
      </w:r>
      <w:r w:rsidR="32ADDB99" w:rsidRPr="45EC30A4">
        <w:rPr>
          <w:rFonts w:eastAsiaTheme="minorEastAsia"/>
          <w:sz w:val="24"/>
          <w:szCs w:val="24"/>
          <w:lang w:val="fr-FR"/>
        </w:rPr>
        <w:t xml:space="preserve"> </w:t>
      </w:r>
      <w:r w:rsidR="55D4F539" w:rsidRPr="45EC30A4">
        <w:rPr>
          <w:rFonts w:eastAsiaTheme="minorEastAsia"/>
          <w:sz w:val="24"/>
          <w:szCs w:val="24"/>
          <w:lang w:val="fr-FR"/>
        </w:rPr>
        <w:t xml:space="preserve">positive </w:t>
      </w:r>
      <w:r w:rsidR="32ADDB99" w:rsidRPr="45EC30A4">
        <w:rPr>
          <w:rFonts w:eastAsiaTheme="minorEastAsia"/>
          <w:sz w:val="24"/>
          <w:szCs w:val="24"/>
          <w:lang w:val="fr-FR"/>
        </w:rPr>
        <w:t xml:space="preserve">au </w:t>
      </w:r>
      <w:r w:rsidR="4325642F" w:rsidRPr="45EC30A4">
        <w:rPr>
          <w:rFonts w:eastAsiaTheme="minorEastAsia"/>
          <w:sz w:val="24"/>
          <w:szCs w:val="24"/>
          <w:lang w:val="fr-FR"/>
        </w:rPr>
        <w:t xml:space="preserve">premier </w:t>
      </w:r>
      <w:r w:rsidR="07E46359" w:rsidRPr="45EC30A4">
        <w:rPr>
          <w:rFonts w:eastAsiaTheme="minorEastAsia"/>
          <w:sz w:val="24"/>
          <w:szCs w:val="24"/>
          <w:lang w:val="fr-FR"/>
        </w:rPr>
        <w:t>dégrée</w:t>
      </w:r>
      <w:r w:rsidR="32ADDB99" w:rsidRPr="45EC30A4">
        <w:rPr>
          <w:rFonts w:eastAsiaTheme="minorEastAsia"/>
          <w:sz w:val="24"/>
          <w:szCs w:val="24"/>
          <w:lang w:val="fr-FR"/>
        </w:rPr>
        <w:t>.</w:t>
      </w:r>
    </w:p>
    <w:p w14:paraId="720088E0" w14:textId="2DDD5A2C" w:rsidR="0543A2D4" w:rsidRDefault="0543A2D4" w:rsidP="45EC30A4">
      <w:pPr>
        <w:rPr>
          <w:rFonts w:ascii="Times New Roman" w:eastAsia="Times New Roman" w:hAnsi="Times New Roman" w:cs="Times New Roman"/>
          <w:color w:val="2F5496" w:themeColor="accent1" w:themeShade="BF"/>
          <w:sz w:val="24"/>
          <w:szCs w:val="24"/>
          <w:lang w:val="fr-CA"/>
        </w:rPr>
      </w:pPr>
      <w:r w:rsidRPr="45EC30A4">
        <w:rPr>
          <w:rFonts w:ascii="Times New Roman" w:eastAsia="Times New Roman" w:hAnsi="Times New Roman" w:cs="Times New Roman"/>
          <w:color w:val="2F5496" w:themeColor="accent1" w:themeShade="BF"/>
          <w:sz w:val="28"/>
          <w:szCs w:val="28"/>
          <w:lang w:val="fr-CA"/>
        </w:rPr>
        <w:t xml:space="preserve">Partie 4 : </w:t>
      </w:r>
      <w:r w:rsidRPr="45EC30A4">
        <w:rPr>
          <w:rFonts w:ascii="Times New Roman" w:eastAsia="Times New Roman" w:hAnsi="Times New Roman" w:cs="Times New Roman"/>
          <w:color w:val="2F5496" w:themeColor="accent1" w:themeShade="BF"/>
          <w:sz w:val="24"/>
          <w:szCs w:val="24"/>
          <w:lang w:val="fr-CA"/>
        </w:rPr>
        <w:t>DÈTERMINATION DE L’INFLUENCE DES CONTINENTS SUR LA PA</w:t>
      </w:r>
      <w:r w:rsidR="35E35B4A" w:rsidRPr="45EC30A4">
        <w:rPr>
          <w:rFonts w:ascii="Times New Roman" w:eastAsia="Times New Roman" w:hAnsi="Times New Roman" w:cs="Times New Roman"/>
          <w:color w:val="2F5496" w:themeColor="accent1" w:themeShade="BF"/>
          <w:sz w:val="24"/>
          <w:szCs w:val="24"/>
          <w:lang w:val="fr-CA"/>
        </w:rPr>
        <w:t>NDEMIE</w:t>
      </w:r>
    </w:p>
    <w:p w14:paraId="46410CE1" w14:textId="65ED4AAD" w:rsidR="6E9F364E" w:rsidRDefault="6E9F364E" w:rsidP="45EC30A4">
      <w:pPr>
        <w:rPr>
          <w:rFonts w:ascii="Times New Roman" w:eastAsia="Times New Roman" w:hAnsi="Times New Roman" w:cs="Times New Roman"/>
          <w:lang w:val="fr-FR"/>
        </w:rPr>
      </w:pPr>
      <w:r w:rsidRPr="45EC30A4">
        <w:rPr>
          <w:rFonts w:ascii="Times New Roman" w:eastAsia="Times New Roman" w:hAnsi="Times New Roman" w:cs="Times New Roman"/>
          <w:lang w:val="fr-FR"/>
        </w:rPr>
        <w:t xml:space="preserve">6) </w:t>
      </w:r>
    </w:p>
    <w:p w14:paraId="11B2B8DC" w14:textId="7512F60B" w:rsidR="6E9F364E" w:rsidRDefault="36495F9D" w:rsidP="45EC30A4">
      <w:pPr>
        <w:jc w:val="center"/>
        <w:rPr>
          <w:rFonts w:ascii="Times New Roman" w:eastAsia="Times New Roman" w:hAnsi="Times New Roman" w:cs="Times New Roman"/>
          <w:lang w:val="fr-FR"/>
        </w:rPr>
      </w:pPr>
      <w:r w:rsidRPr="45EC30A4">
        <w:rPr>
          <w:rFonts w:ascii="Times New Roman" w:eastAsia="Times New Roman" w:hAnsi="Times New Roman" w:cs="Times New Roman"/>
          <w:b/>
          <w:bCs/>
          <w:lang w:val="fr-FR"/>
        </w:rPr>
        <w:t>M</w:t>
      </w:r>
      <w:r w:rsidR="599783A9" w:rsidRPr="45EC30A4">
        <w:rPr>
          <w:rFonts w:ascii="Times New Roman" w:eastAsia="Times New Roman" w:hAnsi="Times New Roman" w:cs="Times New Roman"/>
          <w:b/>
          <w:bCs/>
          <w:lang w:val="fr-FR"/>
        </w:rPr>
        <w:t>odèle</w:t>
      </w:r>
      <w:r w:rsidR="6E9F364E" w:rsidRPr="45EC30A4">
        <w:rPr>
          <w:rFonts w:ascii="Times New Roman" w:eastAsia="Times New Roman" w:hAnsi="Times New Roman" w:cs="Times New Roman"/>
          <w:b/>
          <w:bCs/>
          <w:lang w:val="fr-FR"/>
        </w:rPr>
        <w:t xml:space="preserve"> </w:t>
      </w:r>
      <w:r w:rsidR="430DC1B9" w:rsidRPr="45EC30A4">
        <w:rPr>
          <w:rFonts w:ascii="Times New Roman" w:eastAsia="Times New Roman" w:hAnsi="Times New Roman" w:cs="Times New Roman"/>
          <w:b/>
          <w:bCs/>
          <w:lang w:val="fr-FR"/>
        </w:rPr>
        <w:t xml:space="preserve">ANOVA </w:t>
      </w:r>
      <w:r w:rsidR="6E9F364E" w:rsidRPr="45EC30A4">
        <w:rPr>
          <w:rFonts w:ascii="Times New Roman" w:eastAsia="Times New Roman" w:hAnsi="Times New Roman" w:cs="Times New Roman"/>
          <w:b/>
          <w:bCs/>
          <w:lang w:val="fr-FR"/>
        </w:rPr>
        <w:t>1</w:t>
      </w:r>
      <w:r w:rsidR="045C3DBC" w:rsidRPr="45EC30A4">
        <w:rPr>
          <w:rFonts w:ascii="Times New Roman" w:eastAsia="Times New Roman" w:hAnsi="Times New Roman" w:cs="Times New Roman"/>
          <w:b/>
          <w:bCs/>
          <w:lang w:val="fr-FR"/>
        </w:rPr>
        <w:t xml:space="preserve"> </w:t>
      </w:r>
      <w:r w:rsidR="7AD0A910" w:rsidRPr="45EC30A4">
        <w:rPr>
          <w:rFonts w:ascii="Times New Roman" w:eastAsia="Times New Roman" w:hAnsi="Times New Roman" w:cs="Times New Roman"/>
          <w:b/>
          <w:bCs/>
          <w:lang w:val="fr-FR"/>
        </w:rPr>
        <w:t>:</w:t>
      </w:r>
      <w:r w:rsidR="7AD0A910" w:rsidRPr="45EC30A4">
        <w:rPr>
          <w:rFonts w:ascii="Times New Roman" w:eastAsia="Times New Roman" w:hAnsi="Times New Roman" w:cs="Times New Roman"/>
          <w:lang w:val="fr-FR"/>
        </w:rPr>
        <w:t xml:space="preserve"> </w:t>
      </w:r>
      <w:r w:rsidR="2CDAF355" w:rsidRPr="45EC30A4">
        <w:rPr>
          <w:rFonts w:ascii="Times New Roman" w:eastAsia="Times New Roman" w:hAnsi="Times New Roman" w:cs="Times New Roman"/>
          <w:lang w:val="fr-FR"/>
        </w:rPr>
        <w:t xml:space="preserve">Ratio_cas_deces = </w:t>
      </w:r>
      <w:r w:rsidR="7AD0A910" w:rsidRPr="45EC30A4">
        <w:rPr>
          <w:rFonts w:ascii="Times New Roman" w:eastAsia="Times New Roman" w:hAnsi="Times New Roman" w:cs="Times New Roman"/>
          <w:lang w:val="fr-FR"/>
        </w:rPr>
        <w:t>Region</w:t>
      </w:r>
    </w:p>
    <w:p w14:paraId="27B0BAC3" w14:textId="2BEEA71D" w:rsidR="1B2C1AF5" w:rsidRDefault="1B2C1AF5" w:rsidP="45EC30A4">
      <w:pPr>
        <w:jc w:val="center"/>
      </w:pPr>
      <w:r>
        <w:rPr>
          <w:noProof/>
        </w:rPr>
        <w:drawing>
          <wp:inline distT="0" distB="0" distL="0" distR="0" wp14:anchorId="7B4CCCC6" wp14:editId="783E7EAC">
            <wp:extent cx="3873382" cy="2913106"/>
            <wp:effectExtent l="0" t="0" r="0" b="0"/>
            <wp:docPr id="1663738492" name="Bilde 1663738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73382" cy="2913106"/>
                    </a:xfrm>
                    <a:prstGeom prst="rect">
                      <a:avLst/>
                    </a:prstGeom>
                  </pic:spPr>
                </pic:pic>
              </a:graphicData>
            </a:graphic>
          </wp:inline>
        </w:drawing>
      </w:r>
    </w:p>
    <w:p w14:paraId="2166BA29" w14:textId="0FF9439C" w:rsidR="024850DE" w:rsidRDefault="024850DE"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lastRenderedPageBreak/>
        <w:t>Figure 5: Boxplot d</w:t>
      </w:r>
      <w:r w:rsidR="747D2549" w:rsidRPr="45EC30A4">
        <w:rPr>
          <w:rFonts w:ascii="Times New Roman" w:eastAsia="Times New Roman" w:hAnsi="Times New Roman" w:cs="Times New Roman"/>
          <w:i/>
          <w:iCs/>
          <w:sz w:val="18"/>
          <w:szCs w:val="18"/>
          <w:lang w:val="fr-FR"/>
        </w:rPr>
        <w:t>e la</w:t>
      </w:r>
      <w:r w:rsidRPr="45EC30A4">
        <w:rPr>
          <w:rFonts w:ascii="Times New Roman" w:eastAsia="Times New Roman" w:hAnsi="Times New Roman" w:cs="Times New Roman"/>
          <w:i/>
          <w:iCs/>
          <w:sz w:val="18"/>
          <w:szCs w:val="18"/>
          <w:lang w:val="fr-FR"/>
        </w:rPr>
        <w:t xml:space="preserve"> Proc ANOVA</w:t>
      </w:r>
    </w:p>
    <w:p w14:paraId="6BEC188F" w14:textId="1FA3E8AE" w:rsidR="6B35F2CD" w:rsidRDefault="6B35F2CD" w:rsidP="45EC30A4">
      <w:pPr>
        <w:rPr>
          <w:rFonts w:ascii="Times New Roman" w:eastAsia="Times New Roman" w:hAnsi="Times New Roman" w:cs="Times New Roman"/>
          <w:sz w:val="24"/>
          <w:szCs w:val="24"/>
          <w:lang w:val="fr-FR"/>
        </w:rPr>
      </w:pPr>
      <w:r w:rsidRPr="45EC30A4">
        <w:rPr>
          <w:rFonts w:eastAsiaTheme="minorEastAsia"/>
          <w:sz w:val="24"/>
          <w:szCs w:val="24"/>
          <w:lang w:val="fr-FR"/>
        </w:rPr>
        <w:t xml:space="preserve">La variable région est </w:t>
      </w:r>
      <w:r w:rsidR="6C98B079" w:rsidRPr="45EC30A4">
        <w:rPr>
          <w:rFonts w:eastAsiaTheme="minorEastAsia"/>
          <w:sz w:val="24"/>
          <w:szCs w:val="24"/>
          <w:lang w:val="fr-FR"/>
        </w:rPr>
        <w:t>utilisée</w:t>
      </w:r>
      <w:r w:rsidRPr="45EC30A4">
        <w:rPr>
          <w:rFonts w:eastAsiaTheme="minorEastAsia"/>
          <w:sz w:val="24"/>
          <w:szCs w:val="24"/>
          <w:lang w:val="fr-FR"/>
        </w:rPr>
        <w:t xml:space="preserve"> comme </w:t>
      </w:r>
      <w:r w:rsidR="4E481156" w:rsidRPr="45EC30A4">
        <w:rPr>
          <w:rFonts w:eastAsiaTheme="minorEastAsia"/>
          <w:sz w:val="24"/>
          <w:szCs w:val="24"/>
          <w:lang w:val="fr-FR"/>
        </w:rPr>
        <w:t>va</w:t>
      </w:r>
      <w:r w:rsidRPr="45EC30A4">
        <w:rPr>
          <w:rFonts w:eastAsiaTheme="minorEastAsia"/>
          <w:sz w:val="24"/>
          <w:szCs w:val="24"/>
          <w:lang w:val="fr-FR"/>
        </w:rPr>
        <w:t>r</w:t>
      </w:r>
      <w:r w:rsidR="4E481156" w:rsidRPr="45EC30A4">
        <w:rPr>
          <w:rFonts w:eastAsiaTheme="minorEastAsia"/>
          <w:sz w:val="24"/>
          <w:szCs w:val="24"/>
          <w:lang w:val="fr-FR"/>
        </w:rPr>
        <w:t>iable catégorielle</w:t>
      </w:r>
      <w:r w:rsidRPr="45EC30A4">
        <w:rPr>
          <w:rFonts w:eastAsiaTheme="minorEastAsia"/>
          <w:sz w:val="24"/>
          <w:szCs w:val="24"/>
          <w:lang w:val="fr-FR"/>
        </w:rPr>
        <w:t xml:space="preserve">. Le boxplot montre le </w:t>
      </w:r>
      <w:r w:rsidR="1B11FC5F" w:rsidRPr="45EC30A4">
        <w:rPr>
          <w:rFonts w:eastAsiaTheme="minorEastAsia"/>
          <w:sz w:val="24"/>
          <w:szCs w:val="24"/>
          <w:lang w:val="fr-FR"/>
        </w:rPr>
        <w:t>taux de l’létalité</w:t>
      </w:r>
      <w:r w:rsidRPr="45EC30A4">
        <w:rPr>
          <w:rFonts w:eastAsiaTheme="minorEastAsia"/>
          <w:sz w:val="24"/>
          <w:szCs w:val="24"/>
          <w:lang w:val="fr-FR"/>
        </w:rPr>
        <w:t xml:space="preserve"> par </w:t>
      </w:r>
      <w:r w:rsidR="1F487B53" w:rsidRPr="45EC30A4">
        <w:rPr>
          <w:rFonts w:eastAsiaTheme="minorEastAsia"/>
          <w:sz w:val="24"/>
          <w:szCs w:val="24"/>
          <w:lang w:val="fr-FR"/>
        </w:rPr>
        <w:t>région</w:t>
      </w:r>
      <w:r w:rsidRPr="45EC30A4">
        <w:rPr>
          <w:rFonts w:eastAsiaTheme="minorEastAsia"/>
          <w:sz w:val="24"/>
          <w:szCs w:val="24"/>
          <w:lang w:val="fr-FR"/>
        </w:rPr>
        <w:t xml:space="preserve">. On voit que </w:t>
      </w:r>
      <w:r w:rsidR="7F5BC697" w:rsidRPr="45EC30A4">
        <w:rPr>
          <w:rFonts w:eastAsiaTheme="minorEastAsia"/>
          <w:sz w:val="24"/>
          <w:szCs w:val="24"/>
          <w:lang w:val="fr-FR"/>
        </w:rPr>
        <w:t>l’EMR et la</w:t>
      </w:r>
      <w:r w:rsidRPr="45EC30A4">
        <w:rPr>
          <w:rFonts w:eastAsiaTheme="minorEastAsia"/>
          <w:sz w:val="24"/>
          <w:szCs w:val="24"/>
          <w:lang w:val="fr-FR"/>
        </w:rPr>
        <w:t xml:space="preserve"> </w:t>
      </w:r>
      <w:r w:rsidR="53053CC2" w:rsidRPr="45EC30A4">
        <w:rPr>
          <w:rFonts w:eastAsiaTheme="minorEastAsia"/>
          <w:sz w:val="24"/>
          <w:szCs w:val="24"/>
          <w:lang w:val="fr-FR"/>
        </w:rPr>
        <w:t>région</w:t>
      </w:r>
      <w:r w:rsidRPr="45EC30A4">
        <w:rPr>
          <w:rFonts w:eastAsiaTheme="minorEastAsia"/>
          <w:sz w:val="24"/>
          <w:szCs w:val="24"/>
          <w:lang w:val="fr-FR"/>
        </w:rPr>
        <w:t xml:space="preserve"> avec le </w:t>
      </w:r>
      <w:r w:rsidR="47A59378" w:rsidRPr="45EC30A4">
        <w:rPr>
          <w:rFonts w:eastAsiaTheme="minorEastAsia"/>
          <w:sz w:val="24"/>
          <w:szCs w:val="24"/>
          <w:lang w:val="fr-FR"/>
        </w:rPr>
        <w:t>taux</w:t>
      </w:r>
      <w:r w:rsidRPr="45EC30A4">
        <w:rPr>
          <w:rFonts w:eastAsiaTheme="minorEastAsia"/>
          <w:sz w:val="24"/>
          <w:szCs w:val="24"/>
          <w:lang w:val="fr-FR"/>
        </w:rPr>
        <w:t xml:space="preserve"> </w:t>
      </w:r>
      <w:r w:rsidR="47A59378" w:rsidRPr="45EC30A4">
        <w:rPr>
          <w:rFonts w:eastAsiaTheme="minorEastAsia"/>
          <w:sz w:val="24"/>
          <w:szCs w:val="24"/>
          <w:lang w:val="fr-FR"/>
        </w:rPr>
        <w:t xml:space="preserve">de létalité </w:t>
      </w:r>
      <w:r w:rsidRPr="45EC30A4">
        <w:rPr>
          <w:rFonts w:eastAsiaTheme="minorEastAsia"/>
          <w:sz w:val="24"/>
          <w:szCs w:val="24"/>
          <w:lang w:val="fr-FR"/>
        </w:rPr>
        <w:t xml:space="preserve">le plus </w:t>
      </w:r>
      <w:r w:rsidR="7DA49B41" w:rsidRPr="45EC30A4">
        <w:rPr>
          <w:rFonts w:eastAsiaTheme="minorEastAsia"/>
          <w:sz w:val="24"/>
          <w:szCs w:val="24"/>
          <w:lang w:val="fr-FR"/>
        </w:rPr>
        <w:t>élevé</w:t>
      </w:r>
      <w:r w:rsidR="003FD157" w:rsidRPr="45EC30A4">
        <w:rPr>
          <w:rFonts w:eastAsiaTheme="minorEastAsia"/>
          <w:sz w:val="24"/>
          <w:szCs w:val="24"/>
          <w:lang w:val="fr-FR"/>
        </w:rPr>
        <w:t xml:space="preserve">. Les </w:t>
      </w:r>
      <w:r w:rsidR="7ACC35BE" w:rsidRPr="45EC30A4">
        <w:rPr>
          <w:rFonts w:eastAsiaTheme="minorEastAsia"/>
          <w:sz w:val="24"/>
          <w:szCs w:val="24"/>
          <w:lang w:val="fr-FR"/>
        </w:rPr>
        <w:t>“</w:t>
      </w:r>
      <w:r w:rsidR="003FD157" w:rsidRPr="45EC30A4">
        <w:rPr>
          <w:rFonts w:eastAsiaTheme="minorEastAsia"/>
          <w:sz w:val="24"/>
          <w:szCs w:val="24"/>
          <w:lang w:val="fr-FR"/>
        </w:rPr>
        <w:t>outliers</w:t>
      </w:r>
      <w:r w:rsidR="4B80DF03" w:rsidRPr="45EC30A4">
        <w:rPr>
          <w:rFonts w:eastAsiaTheme="minorEastAsia"/>
          <w:sz w:val="24"/>
          <w:szCs w:val="24"/>
          <w:lang w:val="fr-FR"/>
        </w:rPr>
        <w:t>”</w:t>
      </w:r>
      <w:r w:rsidR="003FD157" w:rsidRPr="45EC30A4">
        <w:rPr>
          <w:rFonts w:eastAsiaTheme="minorEastAsia"/>
          <w:sz w:val="24"/>
          <w:szCs w:val="24"/>
          <w:lang w:val="fr-FR"/>
        </w:rPr>
        <w:t xml:space="preserve"> 191 et 192 sont le </w:t>
      </w:r>
      <w:r w:rsidR="5F9243EF" w:rsidRPr="45EC30A4">
        <w:rPr>
          <w:rFonts w:eastAsiaTheme="minorEastAsia"/>
          <w:sz w:val="24"/>
          <w:szCs w:val="24"/>
          <w:lang w:val="fr-FR"/>
        </w:rPr>
        <w:t>Y</w:t>
      </w:r>
      <w:r w:rsidR="003FD157" w:rsidRPr="45EC30A4">
        <w:rPr>
          <w:rFonts w:eastAsiaTheme="minorEastAsia"/>
          <w:sz w:val="24"/>
          <w:szCs w:val="24"/>
          <w:lang w:val="fr-FR"/>
        </w:rPr>
        <w:t>emen et le Mexique notée par leur</w:t>
      </w:r>
      <w:r w:rsidR="6C12933F" w:rsidRPr="45EC30A4">
        <w:rPr>
          <w:rFonts w:eastAsiaTheme="minorEastAsia"/>
          <w:sz w:val="24"/>
          <w:szCs w:val="24"/>
          <w:lang w:val="fr-FR"/>
        </w:rPr>
        <w:t>s</w:t>
      </w:r>
      <w:r w:rsidR="003FD157" w:rsidRPr="45EC30A4">
        <w:rPr>
          <w:rFonts w:eastAsiaTheme="minorEastAsia"/>
          <w:sz w:val="24"/>
          <w:szCs w:val="24"/>
          <w:lang w:val="fr-FR"/>
        </w:rPr>
        <w:t xml:space="preserve"> numéro</w:t>
      </w:r>
      <w:r w:rsidR="20AD1D24" w:rsidRPr="45EC30A4">
        <w:rPr>
          <w:rFonts w:eastAsiaTheme="minorEastAsia"/>
          <w:sz w:val="24"/>
          <w:szCs w:val="24"/>
          <w:lang w:val="fr-FR"/>
        </w:rPr>
        <w:t>s</w:t>
      </w:r>
      <w:r w:rsidR="003FD157" w:rsidRPr="45EC30A4">
        <w:rPr>
          <w:rFonts w:eastAsiaTheme="minorEastAsia"/>
          <w:sz w:val="24"/>
          <w:szCs w:val="24"/>
          <w:lang w:val="fr-FR"/>
        </w:rPr>
        <w:t xml:space="preserve"> d’</w:t>
      </w:r>
      <w:r w:rsidR="32EF008F" w:rsidRPr="45EC30A4">
        <w:rPr>
          <w:rFonts w:eastAsiaTheme="minorEastAsia"/>
          <w:sz w:val="24"/>
          <w:szCs w:val="24"/>
          <w:lang w:val="fr-FR"/>
        </w:rPr>
        <w:t>observation</w:t>
      </w:r>
      <w:r w:rsidR="3E9669A3" w:rsidRPr="45EC30A4">
        <w:rPr>
          <w:rFonts w:eastAsiaTheme="minorEastAsia"/>
          <w:sz w:val="24"/>
          <w:szCs w:val="24"/>
          <w:lang w:val="fr-FR"/>
        </w:rPr>
        <w:t>s</w:t>
      </w:r>
      <w:r w:rsidR="003FD157" w:rsidRPr="45EC30A4">
        <w:rPr>
          <w:rFonts w:eastAsiaTheme="minorEastAsia"/>
          <w:sz w:val="24"/>
          <w:szCs w:val="24"/>
          <w:lang w:val="fr-FR"/>
        </w:rPr>
        <w:t xml:space="preserve"> après la proc sort.</w:t>
      </w:r>
      <w:r w:rsidR="3B3B861F" w:rsidRPr="45EC30A4">
        <w:rPr>
          <w:rFonts w:eastAsiaTheme="minorEastAsia"/>
          <w:sz w:val="24"/>
          <w:szCs w:val="24"/>
          <w:lang w:val="fr-FR"/>
        </w:rPr>
        <w:t xml:space="preserve"> Avec la p-value = 0.01 du F-test l’hypothèse qu'il n'y a pas</w:t>
      </w:r>
      <w:r w:rsidR="1AFCC162" w:rsidRPr="45EC30A4">
        <w:rPr>
          <w:rFonts w:eastAsiaTheme="minorEastAsia"/>
          <w:sz w:val="24"/>
          <w:szCs w:val="24"/>
          <w:lang w:val="fr-FR"/>
        </w:rPr>
        <w:t xml:space="preserve"> </w:t>
      </w:r>
      <w:r w:rsidR="3B3B861F" w:rsidRPr="45EC30A4">
        <w:rPr>
          <w:rFonts w:eastAsiaTheme="minorEastAsia"/>
          <w:sz w:val="24"/>
          <w:szCs w:val="24"/>
          <w:lang w:val="fr-FR"/>
        </w:rPr>
        <w:t>différence entre</w:t>
      </w:r>
      <w:r w:rsidR="2D1651CD" w:rsidRPr="45EC30A4">
        <w:rPr>
          <w:rFonts w:eastAsiaTheme="minorEastAsia"/>
          <w:sz w:val="24"/>
          <w:szCs w:val="24"/>
          <w:lang w:val="fr-FR"/>
        </w:rPr>
        <w:t xml:space="preserve"> les moyennes d’</w:t>
      </w:r>
      <w:r w:rsidR="7AC1B6CA" w:rsidRPr="45EC30A4">
        <w:rPr>
          <w:rFonts w:eastAsiaTheme="minorEastAsia"/>
          <w:sz w:val="24"/>
          <w:szCs w:val="24"/>
          <w:lang w:val="fr-FR"/>
        </w:rPr>
        <w:t xml:space="preserve">au moins une des </w:t>
      </w:r>
      <w:r w:rsidR="3B3B861F" w:rsidRPr="45EC30A4">
        <w:rPr>
          <w:rFonts w:eastAsiaTheme="minorEastAsia"/>
          <w:sz w:val="24"/>
          <w:szCs w:val="24"/>
          <w:lang w:val="fr-FR"/>
        </w:rPr>
        <w:t xml:space="preserve">régions est aussi rejeté. </w:t>
      </w:r>
    </w:p>
    <w:p w14:paraId="09BBA06C" w14:textId="0C480BBC" w:rsidR="4C07D4C1" w:rsidRDefault="4C07D4C1" w:rsidP="45EC30A4">
      <w:pPr>
        <w:jc w:val="center"/>
      </w:pPr>
      <w:r>
        <w:rPr>
          <w:noProof/>
        </w:rPr>
        <w:drawing>
          <wp:inline distT="0" distB="0" distL="0" distR="0" wp14:anchorId="7247473C" wp14:editId="66D2F995">
            <wp:extent cx="2847975" cy="585512"/>
            <wp:effectExtent l="0" t="0" r="0" b="0"/>
            <wp:docPr id="846347559" name="Bilde 84634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47975" cy="585512"/>
                    </a:xfrm>
                    <a:prstGeom prst="rect">
                      <a:avLst/>
                    </a:prstGeom>
                  </pic:spPr>
                </pic:pic>
              </a:graphicData>
            </a:graphic>
          </wp:inline>
        </w:drawing>
      </w:r>
    </w:p>
    <w:p w14:paraId="6BBE2BB5" w14:textId="11DD0FD8" w:rsidR="4C07D4C1" w:rsidRDefault="4C07D4C1" w:rsidP="45EC30A4">
      <w:pPr>
        <w:jc w:val="center"/>
        <w:rPr>
          <w:rFonts w:ascii="Times New Roman" w:eastAsia="Times New Roman" w:hAnsi="Times New Roman" w:cs="Times New Roman"/>
          <w:i/>
          <w:iCs/>
          <w:color w:val="44546A" w:themeColor="text2"/>
          <w:sz w:val="18"/>
          <w:szCs w:val="18"/>
          <w:lang w:val="fr-CA"/>
        </w:rPr>
      </w:pPr>
      <w:r w:rsidRPr="45EC30A4">
        <w:rPr>
          <w:rFonts w:ascii="Times New Roman" w:eastAsia="Times New Roman" w:hAnsi="Times New Roman" w:cs="Times New Roman"/>
          <w:i/>
          <w:iCs/>
          <w:color w:val="44546A" w:themeColor="text2"/>
          <w:sz w:val="18"/>
          <w:szCs w:val="18"/>
          <w:lang w:val="fr-CA"/>
        </w:rPr>
        <w:t>Tableau 15: Test d'</w:t>
      </w:r>
      <w:r w:rsidR="741AE16F" w:rsidRPr="45EC30A4">
        <w:rPr>
          <w:rFonts w:ascii="Times New Roman" w:eastAsia="Times New Roman" w:hAnsi="Times New Roman" w:cs="Times New Roman"/>
          <w:i/>
          <w:iCs/>
          <w:color w:val="44546A" w:themeColor="text2"/>
          <w:sz w:val="18"/>
          <w:szCs w:val="18"/>
          <w:lang w:val="fr-CA"/>
        </w:rPr>
        <w:t xml:space="preserve">egalite des variances </w:t>
      </w:r>
      <w:r w:rsidRPr="45EC30A4">
        <w:rPr>
          <w:rFonts w:ascii="Times New Roman" w:eastAsia="Times New Roman" w:hAnsi="Times New Roman" w:cs="Times New Roman"/>
          <w:i/>
          <w:iCs/>
          <w:color w:val="44546A" w:themeColor="text2"/>
          <w:sz w:val="18"/>
          <w:szCs w:val="18"/>
          <w:lang w:val="fr-CA"/>
        </w:rPr>
        <w:t xml:space="preserve">pour le modèle </w:t>
      </w:r>
      <w:r w:rsidR="27A9E693" w:rsidRPr="45EC30A4">
        <w:rPr>
          <w:rFonts w:ascii="Times New Roman" w:eastAsia="Times New Roman" w:hAnsi="Times New Roman" w:cs="Times New Roman"/>
          <w:i/>
          <w:iCs/>
          <w:color w:val="44546A" w:themeColor="text2"/>
          <w:sz w:val="18"/>
          <w:szCs w:val="18"/>
          <w:lang w:val="fr-CA"/>
        </w:rPr>
        <w:t>ANOVA 1</w:t>
      </w:r>
    </w:p>
    <w:p w14:paraId="0DDEABDF" w14:textId="471C9478" w:rsidR="4C07D4C1" w:rsidRDefault="4C07D4C1" w:rsidP="45EC30A4">
      <w:pPr>
        <w:rPr>
          <w:rFonts w:eastAsiaTheme="minorEastAsia"/>
          <w:sz w:val="24"/>
          <w:szCs w:val="24"/>
          <w:lang w:val="fr-FR"/>
        </w:rPr>
      </w:pPr>
      <w:r w:rsidRPr="45EC30A4">
        <w:rPr>
          <w:rFonts w:eastAsiaTheme="minorEastAsia"/>
          <w:sz w:val="24"/>
          <w:szCs w:val="24"/>
          <w:lang w:val="fr-FR"/>
        </w:rPr>
        <w:t xml:space="preserve">A l’aide d’une proc univariate on effectue un test de normalité </w:t>
      </w:r>
      <w:r w:rsidR="463C4D9F" w:rsidRPr="45EC30A4">
        <w:rPr>
          <w:rFonts w:eastAsiaTheme="minorEastAsia"/>
          <w:sz w:val="24"/>
          <w:szCs w:val="24"/>
          <w:lang w:val="fr-FR"/>
        </w:rPr>
        <w:t>s</w:t>
      </w:r>
      <w:r w:rsidRPr="45EC30A4">
        <w:rPr>
          <w:rFonts w:eastAsiaTheme="minorEastAsia"/>
          <w:sz w:val="24"/>
          <w:szCs w:val="24"/>
          <w:lang w:val="fr-FR"/>
        </w:rPr>
        <w:t>ur ratio cas décès</w:t>
      </w:r>
      <w:r w:rsidR="440FE034" w:rsidRPr="45EC30A4">
        <w:rPr>
          <w:rFonts w:eastAsiaTheme="minorEastAsia"/>
          <w:sz w:val="24"/>
          <w:szCs w:val="24"/>
          <w:lang w:val="fr-FR"/>
        </w:rPr>
        <w:t xml:space="preserve"> par groupe</w:t>
      </w:r>
      <w:r w:rsidRPr="45EC30A4">
        <w:rPr>
          <w:rFonts w:eastAsiaTheme="minorEastAsia"/>
          <w:sz w:val="24"/>
          <w:szCs w:val="24"/>
          <w:lang w:val="fr-FR"/>
        </w:rPr>
        <w:t xml:space="preserve">. On conclut </w:t>
      </w:r>
      <w:r w:rsidR="247DB7EE" w:rsidRPr="45EC30A4">
        <w:rPr>
          <w:rFonts w:eastAsiaTheme="minorEastAsia"/>
          <w:sz w:val="24"/>
          <w:szCs w:val="24"/>
          <w:lang w:val="fr-FR"/>
        </w:rPr>
        <w:t>à</w:t>
      </w:r>
      <w:r w:rsidRPr="45EC30A4">
        <w:rPr>
          <w:rFonts w:eastAsiaTheme="minorEastAsia"/>
          <w:sz w:val="24"/>
          <w:szCs w:val="24"/>
          <w:lang w:val="fr-FR"/>
        </w:rPr>
        <w:t xml:space="preserve"> l’aide d</w:t>
      </w:r>
      <w:r w:rsidR="1E17218A" w:rsidRPr="45EC30A4">
        <w:rPr>
          <w:rFonts w:eastAsiaTheme="minorEastAsia"/>
          <w:sz w:val="24"/>
          <w:szCs w:val="24"/>
          <w:lang w:val="fr-FR"/>
        </w:rPr>
        <w:t xml:space="preserve">e multiple </w:t>
      </w:r>
      <w:r w:rsidRPr="45EC30A4">
        <w:rPr>
          <w:rFonts w:eastAsiaTheme="minorEastAsia"/>
          <w:sz w:val="24"/>
          <w:szCs w:val="24"/>
          <w:lang w:val="fr-FR"/>
        </w:rPr>
        <w:t>test Shapiro-Wilk</w:t>
      </w:r>
      <w:r w:rsidR="3CA48438" w:rsidRPr="45EC30A4">
        <w:rPr>
          <w:rFonts w:eastAsiaTheme="minorEastAsia"/>
          <w:sz w:val="24"/>
          <w:szCs w:val="24"/>
          <w:lang w:val="fr-FR"/>
        </w:rPr>
        <w:t xml:space="preserve"> que les groupes ne suivent pas une distribution normale</w:t>
      </w:r>
      <w:r w:rsidR="55E1DAC9" w:rsidRPr="45EC30A4">
        <w:rPr>
          <w:rFonts w:eastAsiaTheme="minorEastAsia"/>
          <w:sz w:val="24"/>
          <w:szCs w:val="24"/>
          <w:lang w:val="fr-FR"/>
        </w:rPr>
        <w:t>, (on a</w:t>
      </w:r>
      <w:r w:rsidR="2BC603DC" w:rsidRPr="45EC30A4">
        <w:rPr>
          <w:rFonts w:eastAsiaTheme="minorEastAsia"/>
          <w:sz w:val="24"/>
          <w:szCs w:val="24"/>
          <w:lang w:val="fr-FR"/>
        </w:rPr>
        <w:t xml:space="preserve"> aussi </w:t>
      </w:r>
      <w:r w:rsidR="55E1DAC9" w:rsidRPr="45EC30A4">
        <w:rPr>
          <w:rFonts w:eastAsiaTheme="minorEastAsia"/>
          <w:sz w:val="24"/>
          <w:szCs w:val="24"/>
          <w:lang w:val="fr-FR"/>
        </w:rPr>
        <w:t>vérifié ceci pour la variable ratio_cas_deces)</w:t>
      </w:r>
      <w:r w:rsidRPr="45EC30A4">
        <w:rPr>
          <w:rFonts w:eastAsiaTheme="minorEastAsia"/>
          <w:sz w:val="24"/>
          <w:szCs w:val="24"/>
          <w:lang w:val="fr-FR"/>
        </w:rPr>
        <w:t xml:space="preserve">. On </w:t>
      </w:r>
      <w:r w:rsidR="7AB35E85" w:rsidRPr="45EC30A4">
        <w:rPr>
          <w:rFonts w:eastAsiaTheme="minorEastAsia"/>
          <w:sz w:val="24"/>
          <w:szCs w:val="24"/>
          <w:lang w:val="fr-FR"/>
        </w:rPr>
        <w:t>utilise</w:t>
      </w:r>
      <w:r w:rsidR="11A8A736" w:rsidRPr="45EC30A4">
        <w:rPr>
          <w:rFonts w:eastAsiaTheme="minorEastAsia"/>
          <w:sz w:val="24"/>
          <w:szCs w:val="24"/>
          <w:lang w:val="fr-FR"/>
        </w:rPr>
        <w:t xml:space="preserve"> aussi</w:t>
      </w:r>
      <w:r w:rsidR="7AB35E85" w:rsidRPr="45EC30A4">
        <w:rPr>
          <w:rFonts w:eastAsiaTheme="minorEastAsia"/>
          <w:sz w:val="24"/>
          <w:szCs w:val="24"/>
          <w:lang w:val="fr-FR"/>
        </w:rPr>
        <w:t xml:space="preserve"> le</w:t>
      </w:r>
      <w:r w:rsidRPr="45EC30A4">
        <w:rPr>
          <w:rFonts w:eastAsiaTheme="minorEastAsia"/>
          <w:sz w:val="24"/>
          <w:szCs w:val="24"/>
          <w:lang w:val="fr-FR"/>
        </w:rPr>
        <w:t xml:space="preserve"> teste Levene dans le tableau 15 </w:t>
      </w:r>
      <w:r w:rsidR="5E370C11" w:rsidRPr="45EC30A4">
        <w:rPr>
          <w:rFonts w:eastAsiaTheme="minorEastAsia"/>
          <w:sz w:val="24"/>
          <w:szCs w:val="24"/>
          <w:lang w:val="fr-FR"/>
        </w:rPr>
        <w:t>qui donne un p-value de 0.09, on conclu</w:t>
      </w:r>
      <w:r w:rsidR="53734B67" w:rsidRPr="45EC30A4">
        <w:rPr>
          <w:rFonts w:eastAsiaTheme="minorEastAsia"/>
          <w:sz w:val="24"/>
          <w:szCs w:val="24"/>
          <w:lang w:val="fr-FR"/>
        </w:rPr>
        <w:t>t</w:t>
      </w:r>
      <w:r w:rsidR="5E370C11" w:rsidRPr="45EC30A4">
        <w:rPr>
          <w:rFonts w:eastAsiaTheme="minorEastAsia"/>
          <w:sz w:val="24"/>
          <w:szCs w:val="24"/>
          <w:lang w:val="fr-FR"/>
        </w:rPr>
        <w:t xml:space="preserve"> que l’</w:t>
      </w:r>
      <w:r w:rsidR="1B6F2507" w:rsidRPr="45EC30A4">
        <w:rPr>
          <w:rFonts w:eastAsiaTheme="minorEastAsia"/>
          <w:sz w:val="24"/>
          <w:szCs w:val="24"/>
          <w:lang w:val="fr-FR"/>
        </w:rPr>
        <w:t>hypothèse</w:t>
      </w:r>
      <w:r w:rsidR="5E370C11" w:rsidRPr="45EC30A4">
        <w:rPr>
          <w:rFonts w:eastAsiaTheme="minorEastAsia"/>
          <w:sz w:val="24"/>
          <w:szCs w:val="24"/>
          <w:lang w:val="fr-FR"/>
        </w:rPr>
        <w:t xml:space="preserve"> H0 est </w:t>
      </w:r>
      <w:r w:rsidR="6E4059B9" w:rsidRPr="45EC30A4">
        <w:rPr>
          <w:rFonts w:eastAsiaTheme="minorEastAsia"/>
          <w:sz w:val="24"/>
          <w:szCs w:val="24"/>
          <w:lang w:val="fr-FR"/>
        </w:rPr>
        <w:t>accepté</w:t>
      </w:r>
      <w:r w:rsidR="5E370C11" w:rsidRPr="45EC30A4">
        <w:rPr>
          <w:rFonts w:eastAsiaTheme="minorEastAsia"/>
          <w:sz w:val="24"/>
          <w:szCs w:val="24"/>
          <w:lang w:val="fr-FR"/>
        </w:rPr>
        <w:t xml:space="preserve"> est que la variance entre les groupes</w:t>
      </w:r>
      <w:r w:rsidR="3A5E8B0C" w:rsidRPr="45EC30A4">
        <w:rPr>
          <w:rFonts w:eastAsiaTheme="minorEastAsia"/>
          <w:sz w:val="24"/>
          <w:szCs w:val="24"/>
          <w:lang w:val="fr-FR"/>
        </w:rPr>
        <w:t xml:space="preserve"> </w:t>
      </w:r>
      <w:r w:rsidR="29A56F91" w:rsidRPr="45EC30A4">
        <w:rPr>
          <w:rFonts w:eastAsiaTheme="minorEastAsia"/>
          <w:sz w:val="24"/>
          <w:szCs w:val="24"/>
          <w:lang w:val="fr-FR"/>
        </w:rPr>
        <w:t>son</w:t>
      </w:r>
      <w:r w:rsidR="3A5E8B0C" w:rsidRPr="45EC30A4">
        <w:rPr>
          <w:rFonts w:eastAsiaTheme="minorEastAsia"/>
          <w:sz w:val="24"/>
          <w:szCs w:val="24"/>
          <w:lang w:val="fr-FR"/>
        </w:rPr>
        <w:t xml:space="preserve">t </w:t>
      </w:r>
      <w:r w:rsidR="2043D0B9" w:rsidRPr="45EC30A4">
        <w:rPr>
          <w:rFonts w:eastAsiaTheme="minorEastAsia"/>
          <w:sz w:val="24"/>
          <w:szCs w:val="24"/>
          <w:lang w:val="fr-FR"/>
        </w:rPr>
        <w:t>similaires</w:t>
      </w:r>
      <w:r w:rsidR="3A5E8B0C" w:rsidRPr="45EC30A4">
        <w:rPr>
          <w:rFonts w:eastAsiaTheme="minorEastAsia"/>
          <w:sz w:val="24"/>
          <w:szCs w:val="24"/>
          <w:lang w:val="fr-FR"/>
        </w:rPr>
        <w:t>.</w:t>
      </w:r>
      <w:r w:rsidR="1D9BBC60" w:rsidRPr="45EC30A4">
        <w:rPr>
          <w:rFonts w:eastAsiaTheme="minorEastAsia"/>
          <w:sz w:val="24"/>
          <w:szCs w:val="24"/>
          <w:lang w:val="fr-FR"/>
        </w:rPr>
        <w:t xml:space="preserve"> </w:t>
      </w:r>
    </w:p>
    <w:p w14:paraId="2C7E5FCF" w14:textId="40ABB135" w:rsidR="509056A0" w:rsidRDefault="509056A0" w:rsidP="45EC30A4">
      <w:pPr>
        <w:jc w:val="center"/>
        <w:rPr>
          <w:rFonts w:ascii="Times New Roman" w:eastAsia="Times New Roman" w:hAnsi="Times New Roman" w:cs="Times New Roman"/>
          <w:lang w:val="fr-FR"/>
        </w:rPr>
      </w:pPr>
      <w:r w:rsidRPr="45EC30A4">
        <w:rPr>
          <w:rFonts w:ascii="Times New Roman" w:eastAsia="Times New Roman" w:hAnsi="Times New Roman" w:cs="Times New Roman"/>
          <w:b/>
          <w:bCs/>
          <w:lang w:val="fr-FR"/>
        </w:rPr>
        <w:t>Modèle</w:t>
      </w:r>
      <w:r w:rsidR="031B8297" w:rsidRPr="45EC30A4">
        <w:rPr>
          <w:rFonts w:ascii="Times New Roman" w:eastAsia="Times New Roman" w:hAnsi="Times New Roman" w:cs="Times New Roman"/>
          <w:b/>
          <w:bCs/>
          <w:lang w:val="fr-FR"/>
        </w:rPr>
        <w:t xml:space="preserve"> ANOVA</w:t>
      </w:r>
      <w:r w:rsidRPr="45EC30A4">
        <w:rPr>
          <w:rFonts w:ascii="Times New Roman" w:eastAsia="Times New Roman" w:hAnsi="Times New Roman" w:cs="Times New Roman"/>
          <w:b/>
          <w:bCs/>
          <w:lang w:val="fr-FR"/>
        </w:rPr>
        <w:t xml:space="preserve"> 2 :</w:t>
      </w:r>
      <w:r w:rsidRPr="45EC30A4">
        <w:rPr>
          <w:rFonts w:ascii="Times New Roman" w:eastAsia="Times New Roman" w:hAnsi="Times New Roman" w:cs="Times New Roman"/>
          <w:lang w:val="fr-FR"/>
        </w:rPr>
        <w:t xml:space="preserve"> Ratio_cas_deces = CONT</w:t>
      </w:r>
    </w:p>
    <w:p w14:paraId="77C7C722" w14:textId="0820D5C9" w:rsidR="1B6275FF" w:rsidRDefault="5689A9BC" w:rsidP="45EC30A4">
      <w:pPr>
        <w:jc w:val="center"/>
      </w:pPr>
      <w:r>
        <w:rPr>
          <w:noProof/>
        </w:rPr>
        <w:drawing>
          <wp:inline distT="0" distB="0" distL="0" distR="0" wp14:anchorId="014124DE" wp14:editId="63BEF908">
            <wp:extent cx="3721100" cy="2798577"/>
            <wp:effectExtent l="0" t="0" r="0" b="0"/>
            <wp:docPr id="1905535565" name="Bilde 1905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721100" cy="2798577"/>
                    </a:xfrm>
                    <a:prstGeom prst="rect">
                      <a:avLst/>
                    </a:prstGeom>
                  </pic:spPr>
                </pic:pic>
              </a:graphicData>
            </a:graphic>
          </wp:inline>
        </w:drawing>
      </w:r>
    </w:p>
    <w:p w14:paraId="569CC315" w14:textId="3747A45D" w:rsidR="1B6275FF" w:rsidRDefault="22F5DE45"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t>Figure 6: Boxplot d</w:t>
      </w:r>
      <w:r w:rsidR="56D2EAC2" w:rsidRPr="45EC30A4">
        <w:rPr>
          <w:rFonts w:ascii="Times New Roman" w:eastAsia="Times New Roman" w:hAnsi="Times New Roman" w:cs="Times New Roman"/>
          <w:i/>
          <w:iCs/>
          <w:sz w:val="18"/>
          <w:szCs w:val="18"/>
          <w:lang w:val="fr-FR"/>
        </w:rPr>
        <w:t>e la</w:t>
      </w:r>
      <w:r w:rsidRPr="45EC30A4">
        <w:rPr>
          <w:rFonts w:ascii="Times New Roman" w:eastAsia="Times New Roman" w:hAnsi="Times New Roman" w:cs="Times New Roman"/>
          <w:i/>
          <w:iCs/>
          <w:sz w:val="18"/>
          <w:szCs w:val="18"/>
          <w:lang w:val="fr-FR"/>
        </w:rPr>
        <w:t xml:space="preserve"> Proc A</w:t>
      </w:r>
      <w:r w:rsidR="1FBE4BEB" w:rsidRPr="45EC30A4">
        <w:rPr>
          <w:rFonts w:ascii="Times New Roman" w:eastAsia="Times New Roman" w:hAnsi="Times New Roman" w:cs="Times New Roman"/>
          <w:i/>
          <w:iCs/>
          <w:sz w:val="18"/>
          <w:szCs w:val="18"/>
          <w:lang w:val="fr-FR"/>
        </w:rPr>
        <w:t xml:space="preserve">NOVA </w:t>
      </w:r>
      <w:r w:rsidRPr="45EC30A4">
        <w:rPr>
          <w:rFonts w:ascii="Times New Roman" w:eastAsia="Times New Roman" w:hAnsi="Times New Roman" w:cs="Times New Roman"/>
          <w:i/>
          <w:iCs/>
          <w:sz w:val="18"/>
          <w:szCs w:val="18"/>
          <w:lang w:val="fr-FR"/>
        </w:rPr>
        <w:t>2</w:t>
      </w:r>
    </w:p>
    <w:p w14:paraId="3E5DDD12" w14:textId="28D49C1A" w:rsidR="1B6275FF" w:rsidRDefault="5B14F4DD" w:rsidP="45EC30A4">
      <w:pPr>
        <w:rPr>
          <w:rFonts w:eastAsiaTheme="minorEastAsia"/>
          <w:sz w:val="24"/>
          <w:szCs w:val="24"/>
          <w:lang w:val="fr-FR"/>
        </w:rPr>
      </w:pPr>
      <w:r w:rsidRPr="45EC30A4">
        <w:rPr>
          <w:rFonts w:eastAsiaTheme="minorEastAsia"/>
          <w:sz w:val="24"/>
          <w:szCs w:val="24"/>
          <w:lang w:val="fr-FR"/>
        </w:rPr>
        <w:t xml:space="preserve">La Proc ANOVA avec la variable </w:t>
      </w:r>
      <w:r w:rsidR="2326399F" w:rsidRPr="45EC30A4">
        <w:rPr>
          <w:rFonts w:eastAsiaTheme="minorEastAsia"/>
          <w:sz w:val="24"/>
          <w:szCs w:val="24"/>
          <w:lang w:val="fr-FR"/>
        </w:rPr>
        <w:t>catégorielle c</w:t>
      </w:r>
      <w:r w:rsidRPr="45EC30A4">
        <w:rPr>
          <w:rFonts w:eastAsiaTheme="minorEastAsia"/>
          <w:sz w:val="24"/>
          <w:szCs w:val="24"/>
          <w:lang w:val="fr-FR"/>
        </w:rPr>
        <w:t>ontinent donne</w:t>
      </w:r>
      <w:r w:rsidR="0D54D4A3" w:rsidRPr="45EC30A4">
        <w:rPr>
          <w:rFonts w:eastAsiaTheme="minorEastAsia"/>
          <w:sz w:val="24"/>
          <w:szCs w:val="24"/>
          <w:lang w:val="fr-FR"/>
        </w:rPr>
        <w:t xml:space="preserve"> avec le F-test</w:t>
      </w:r>
      <w:r w:rsidRPr="45EC30A4">
        <w:rPr>
          <w:rFonts w:eastAsiaTheme="minorEastAsia"/>
          <w:sz w:val="24"/>
          <w:szCs w:val="24"/>
          <w:lang w:val="fr-FR"/>
        </w:rPr>
        <w:t xml:space="preserve"> un p-value de 0,83. Il a donc </w:t>
      </w:r>
      <w:r w:rsidR="21B96764" w:rsidRPr="45EC30A4">
        <w:rPr>
          <w:rFonts w:eastAsiaTheme="minorEastAsia"/>
          <w:sz w:val="24"/>
          <w:szCs w:val="24"/>
          <w:lang w:val="fr-FR"/>
        </w:rPr>
        <w:t>aucune</w:t>
      </w:r>
      <w:r w:rsidRPr="45EC30A4">
        <w:rPr>
          <w:rFonts w:eastAsiaTheme="minorEastAsia"/>
          <w:sz w:val="24"/>
          <w:szCs w:val="24"/>
          <w:lang w:val="fr-FR"/>
        </w:rPr>
        <w:t xml:space="preserve"> </w:t>
      </w:r>
      <w:r w:rsidR="4B17AAEE" w:rsidRPr="45EC30A4">
        <w:rPr>
          <w:rFonts w:eastAsiaTheme="minorEastAsia"/>
          <w:sz w:val="24"/>
          <w:szCs w:val="24"/>
          <w:lang w:val="fr-FR"/>
        </w:rPr>
        <w:t>différence</w:t>
      </w:r>
      <w:r w:rsidR="730382EC" w:rsidRPr="45EC30A4">
        <w:rPr>
          <w:rFonts w:eastAsiaTheme="minorEastAsia"/>
          <w:sz w:val="24"/>
          <w:szCs w:val="24"/>
          <w:lang w:val="fr-FR"/>
        </w:rPr>
        <w:t xml:space="preserve"> de moyennes de </w:t>
      </w:r>
      <w:r w:rsidR="38BE7033" w:rsidRPr="45EC30A4">
        <w:rPr>
          <w:rFonts w:eastAsiaTheme="minorEastAsia"/>
          <w:sz w:val="24"/>
          <w:szCs w:val="24"/>
          <w:lang w:val="fr-FR"/>
        </w:rPr>
        <w:t xml:space="preserve">taux de létalité entre </w:t>
      </w:r>
      <w:r w:rsidR="269B24BF" w:rsidRPr="45EC30A4">
        <w:rPr>
          <w:rFonts w:eastAsiaTheme="minorEastAsia"/>
          <w:sz w:val="24"/>
          <w:szCs w:val="24"/>
          <w:lang w:val="fr-FR"/>
        </w:rPr>
        <w:t>les continents</w:t>
      </w:r>
      <w:r w:rsidR="364708C2" w:rsidRPr="45EC30A4">
        <w:rPr>
          <w:rFonts w:eastAsiaTheme="minorEastAsia"/>
          <w:sz w:val="24"/>
          <w:szCs w:val="24"/>
          <w:lang w:val="fr-FR"/>
        </w:rPr>
        <w:t xml:space="preserve">, un résultat </w:t>
      </w:r>
      <w:r w:rsidR="4C82DA48" w:rsidRPr="45EC30A4">
        <w:rPr>
          <w:rFonts w:eastAsiaTheme="minorEastAsia"/>
          <w:sz w:val="24"/>
          <w:szCs w:val="24"/>
          <w:lang w:val="fr-FR"/>
        </w:rPr>
        <w:t>différent</w:t>
      </w:r>
      <w:r w:rsidR="364708C2" w:rsidRPr="45EC30A4">
        <w:rPr>
          <w:rFonts w:eastAsiaTheme="minorEastAsia"/>
          <w:sz w:val="24"/>
          <w:szCs w:val="24"/>
          <w:lang w:val="fr-FR"/>
        </w:rPr>
        <w:t xml:space="preserve"> comparer aux régions</w:t>
      </w:r>
      <w:r w:rsidR="38BE7033" w:rsidRPr="45EC30A4">
        <w:rPr>
          <w:rFonts w:eastAsiaTheme="minorEastAsia"/>
          <w:sz w:val="24"/>
          <w:szCs w:val="24"/>
          <w:lang w:val="fr-FR"/>
        </w:rPr>
        <w:t>.</w:t>
      </w:r>
      <w:r w:rsidR="34118CC1" w:rsidRPr="45EC30A4">
        <w:rPr>
          <w:rFonts w:eastAsiaTheme="minorEastAsia"/>
          <w:sz w:val="24"/>
          <w:szCs w:val="24"/>
          <w:lang w:val="fr-FR"/>
        </w:rPr>
        <w:t xml:space="preserve"> Les tests </w:t>
      </w:r>
      <w:r w:rsidR="2B02F9DA" w:rsidRPr="45EC30A4">
        <w:rPr>
          <w:rFonts w:eastAsiaTheme="minorEastAsia"/>
          <w:sz w:val="24"/>
          <w:szCs w:val="24"/>
          <w:lang w:val="fr-FR"/>
        </w:rPr>
        <w:t>S</w:t>
      </w:r>
      <w:r w:rsidR="34118CC1" w:rsidRPr="45EC30A4">
        <w:rPr>
          <w:rFonts w:eastAsiaTheme="minorEastAsia"/>
          <w:sz w:val="24"/>
          <w:szCs w:val="24"/>
          <w:lang w:val="fr-FR"/>
        </w:rPr>
        <w:t>hapiro-</w:t>
      </w:r>
      <w:r w:rsidR="4A6C3FE1" w:rsidRPr="45EC30A4">
        <w:rPr>
          <w:rFonts w:eastAsiaTheme="minorEastAsia"/>
          <w:sz w:val="24"/>
          <w:szCs w:val="24"/>
          <w:lang w:val="fr-FR"/>
        </w:rPr>
        <w:t>W</w:t>
      </w:r>
      <w:r w:rsidR="34118CC1" w:rsidRPr="45EC30A4">
        <w:rPr>
          <w:rFonts w:eastAsiaTheme="minorEastAsia"/>
          <w:sz w:val="24"/>
          <w:szCs w:val="24"/>
          <w:lang w:val="fr-FR"/>
        </w:rPr>
        <w:t xml:space="preserve">ilk et </w:t>
      </w:r>
      <w:r w:rsidR="789B3A03" w:rsidRPr="45EC30A4">
        <w:rPr>
          <w:rFonts w:eastAsiaTheme="minorEastAsia"/>
          <w:sz w:val="24"/>
          <w:szCs w:val="24"/>
          <w:lang w:val="fr-FR"/>
        </w:rPr>
        <w:t>L</w:t>
      </w:r>
      <w:r w:rsidR="34118CC1" w:rsidRPr="45EC30A4">
        <w:rPr>
          <w:rFonts w:eastAsiaTheme="minorEastAsia"/>
          <w:sz w:val="24"/>
          <w:szCs w:val="24"/>
          <w:lang w:val="fr-FR"/>
        </w:rPr>
        <w:t xml:space="preserve">evene sont aussi de </w:t>
      </w:r>
      <w:r w:rsidR="735EDC71" w:rsidRPr="45EC30A4">
        <w:rPr>
          <w:rFonts w:eastAsiaTheme="minorEastAsia"/>
          <w:sz w:val="24"/>
          <w:szCs w:val="24"/>
          <w:lang w:val="fr-FR"/>
        </w:rPr>
        <w:t>nouveau</w:t>
      </w:r>
      <w:r w:rsidR="34118CC1" w:rsidRPr="45EC30A4">
        <w:rPr>
          <w:rFonts w:eastAsiaTheme="minorEastAsia"/>
          <w:sz w:val="24"/>
          <w:szCs w:val="24"/>
          <w:lang w:val="fr-FR"/>
        </w:rPr>
        <w:t xml:space="preserve"> </w:t>
      </w:r>
      <w:r w:rsidR="1EF8D714" w:rsidRPr="45EC30A4">
        <w:rPr>
          <w:rFonts w:eastAsiaTheme="minorEastAsia"/>
          <w:sz w:val="24"/>
          <w:szCs w:val="24"/>
          <w:lang w:val="fr-FR"/>
        </w:rPr>
        <w:t>utilisée</w:t>
      </w:r>
      <w:r w:rsidR="34118CC1" w:rsidRPr="45EC30A4">
        <w:rPr>
          <w:rFonts w:eastAsiaTheme="minorEastAsia"/>
          <w:sz w:val="24"/>
          <w:szCs w:val="24"/>
          <w:lang w:val="fr-FR"/>
        </w:rPr>
        <w:t>. On conclut</w:t>
      </w:r>
      <w:r w:rsidR="65EE22B6" w:rsidRPr="45EC30A4">
        <w:rPr>
          <w:rFonts w:eastAsiaTheme="minorEastAsia"/>
          <w:sz w:val="24"/>
          <w:szCs w:val="24"/>
          <w:lang w:val="fr-FR"/>
        </w:rPr>
        <w:t xml:space="preserve"> de nouveau </w:t>
      </w:r>
      <w:r w:rsidR="34118CC1" w:rsidRPr="45EC30A4">
        <w:rPr>
          <w:rFonts w:eastAsiaTheme="minorEastAsia"/>
          <w:sz w:val="24"/>
          <w:szCs w:val="24"/>
          <w:lang w:val="fr-FR"/>
        </w:rPr>
        <w:t xml:space="preserve">que la variance entre les groupes est </w:t>
      </w:r>
      <w:r w:rsidR="510B1445" w:rsidRPr="45EC30A4">
        <w:rPr>
          <w:rFonts w:eastAsiaTheme="minorEastAsia"/>
          <w:sz w:val="24"/>
          <w:szCs w:val="24"/>
          <w:lang w:val="fr-FR"/>
        </w:rPr>
        <w:t>similaire</w:t>
      </w:r>
      <w:r w:rsidR="34118CC1" w:rsidRPr="45EC30A4">
        <w:rPr>
          <w:rFonts w:eastAsiaTheme="minorEastAsia"/>
          <w:sz w:val="24"/>
          <w:szCs w:val="24"/>
          <w:lang w:val="fr-FR"/>
        </w:rPr>
        <w:t xml:space="preserve"> </w:t>
      </w:r>
      <w:r w:rsidR="6406867A" w:rsidRPr="45EC30A4">
        <w:rPr>
          <w:rFonts w:eastAsiaTheme="minorEastAsia"/>
          <w:sz w:val="24"/>
          <w:szCs w:val="24"/>
          <w:lang w:val="fr-FR"/>
        </w:rPr>
        <w:t xml:space="preserve">mais </w:t>
      </w:r>
      <w:r w:rsidR="34118CC1" w:rsidRPr="45EC30A4">
        <w:rPr>
          <w:rFonts w:eastAsiaTheme="minorEastAsia"/>
          <w:sz w:val="24"/>
          <w:szCs w:val="24"/>
          <w:lang w:val="fr-FR"/>
        </w:rPr>
        <w:t xml:space="preserve">que les </w:t>
      </w:r>
      <w:r w:rsidR="1FD7A1AC" w:rsidRPr="45EC30A4">
        <w:rPr>
          <w:rFonts w:eastAsiaTheme="minorEastAsia"/>
          <w:sz w:val="24"/>
          <w:szCs w:val="24"/>
          <w:lang w:val="fr-FR"/>
        </w:rPr>
        <w:t xml:space="preserve">données des </w:t>
      </w:r>
      <w:r w:rsidR="34118CC1" w:rsidRPr="45EC30A4">
        <w:rPr>
          <w:rFonts w:eastAsiaTheme="minorEastAsia"/>
          <w:sz w:val="24"/>
          <w:szCs w:val="24"/>
          <w:lang w:val="fr-FR"/>
        </w:rPr>
        <w:t>groupes ne suivent pas une distribution norma</w:t>
      </w:r>
      <w:r w:rsidR="68336731" w:rsidRPr="45EC30A4">
        <w:rPr>
          <w:rFonts w:eastAsiaTheme="minorEastAsia"/>
          <w:sz w:val="24"/>
          <w:szCs w:val="24"/>
          <w:lang w:val="fr-FR"/>
        </w:rPr>
        <w:t>le.</w:t>
      </w:r>
      <w:r w:rsidR="3D2E58C2" w:rsidRPr="45EC30A4">
        <w:rPr>
          <w:rFonts w:eastAsiaTheme="minorEastAsia"/>
          <w:sz w:val="24"/>
          <w:szCs w:val="24"/>
          <w:lang w:val="fr-FR"/>
        </w:rPr>
        <w:t xml:space="preserve"> </w:t>
      </w:r>
    </w:p>
    <w:p w14:paraId="5D5995AF" w14:textId="13CA4218" w:rsidR="1B6275FF" w:rsidRDefault="3C7C7247" w:rsidP="45EC30A4">
      <w:pPr>
        <w:rPr>
          <w:rFonts w:ascii="Times New Roman" w:eastAsia="Times New Roman" w:hAnsi="Times New Roman" w:cs="Times New Roman"/>
          <w:lang w:val="fr-FR"/>
        </w:rPr>
      </w:pPr>
      <w:r w:rsidRPr="45EC30A4">
        <w:rPr>
          <w:rFonts w:eastAsiaTheme="minorEastAsia"/>
          <w:sz w:val="24"/>
          <w:szCs w:val="24"/>
          <w:lang w:val="fr-FR"/>
        </w:rPr>
        <w:t>7)</w:t>
      </w:r>
      <w:r w:rsidR="1B6275FF" w:rsidRPr="00420C28">
        <w:rPr>
          <w:lang w:val="fr-FR"/>
        </w:rPr>
        <w:tab/>
      </w:r>
      <w:r w:rsidR="1B6275FF" w:rsidRPr="00420C28">
        <w:rPr>
          <w:lang w:val="fr-FR"/>
        </w:rPr>
        <w:tab/>
      </w:r>
      <w:r w:rsidR="1B6275FF" w:rsidRPr="00420C28">
        <w:rPr>
          <w:lang w:val="fr-FR"/>
        </w:rPr>
        <w:tab/>
      </w:r>
      <w:r w:rsidR="65F482F9" w:rsidRPr="45EC30A4">
        <w:rPr>
          <w:rFonts w:ascii="Times New Roman" w:eastAsia="Times New Roman" w:hAnsi="Times New Roman" w:cs="Times New Roman"/>
          <w:b/>
          <w:bCs/>
          <w:lang w:val="fr-FR"/>
        </w:rPr>
        <w:t xml:space="preserve">Modèle </w:t>
      </w:r>
      <w:r w:rsidR="6F0CF526" w:rsidRPr="45EC30A4">
        <w:rPr>
          <w:rFonts w:ascii="Times New Roman" w:eastAsia="Times New Roman" w:hAnsi="Times New Roman" w:cs="Times New Roman"/>
          <w:b/>
          <w:bCs/>
          <w:lang w:val="fr-FR"/>
        </w:rPr>
        <w:t>GLM</w:t>
      </w:r>
      <w:r w:rsidR="0401927C" w:rsidRPr="45EC30A4">
        <w:rPr>
          <w:rFonts w:ascii="Times New Roman" w:eastAsia="Times New Roman" w:hAnsi="Times New Roman" w:cs="Times New Roman"/>
          <w:b/>
          <w:bCs/>
          <w:lang w:val="fr-FR"/>
        </w:rPr>
        <w:t xml:space="preserve"> </w:t>
      </w:r>
      <w:r w:rsidR="0401927C" w:rsidRPr="45EC30A4">
        <w:rPr>
          <w:rFonts w:ascii="Times New Roman" w:eastAsia="Times New Roman" w:hAnsi="Times New Roman" w:cs="Times New Roman"/>
          <w:lang w:val="fr-FR"/>
        </w:rPr>
        <w:t>:</w:t>
      </w:r>
      <w:r w:rsidR="6F0CF526" w:rsidRPr="45EC30A4">
        <w:rPr>
          <w:rFonts w:ascii="Times New Roman" w:eastAsia="Times New Roman" w:hAnsi="Times New Roman" w:cs="Times New Roman"/>
          <w:lang w:val="fr-FR"/>
        </w:rPr>
        <w:t xml:space="preserve"> </w:t>
      </w:r>
      <w:r w:rsidR="4C2A8DBA" w:rsidRPr="45EC30A4">
        <w:rPr>
          <w:rFonts w:eastAsiaTheme="minorEastAsia"/>
          <w:sz w:val="24"/>
          <w:szCs w:val="24"/>
          <w:lang w:val="fr-FR"/>
        </w:rPr>
        <w:t>T</w:t>
      </w:r>
      <w:r w:rsidR="2850D680" w:rsidRPr="45EC30A4">
        <w:rPr>
          <w:rFonts w:eastAsiaTheme="minorEastAsia"/>
          <w:sz w:val="24"/>
          <w:szCs w:val="24"/>
          <w:lang w:val="fr-FR"/>
        </w:rPr>
        <w:t>aux_deces_std = GNI_disc</w:t>
      </w:r>
      <w:r w:rsidR="36A448BE" w:rsidRPr="45EC30A4">
        <w:rPr>
          <w:rFonts w:eastAsiaTheme="minorEastAsia"/>
          <w:sz w:val="24"/>
          <w:szCs w:val="24"/>
          <w:lang w:val="fr-FR"/>
        </w:rPr>
        <w:t xml:space="preserve"> + Continent</w:t>
      </w:r>
    </w:p>
    <w:p w14:paraId="3A2D6EC4" w14:textId="54CAEB4E" w:rsidR="1B6275FF" w:rsidRDefault="2740313B" w:rsidP="45EC30A4">
      <w:pPr>
        <w:jc w:val="center"/>
      </w:pPr>
      <w:r>
        <w:rPr>
          <w:noProof/>
        </w:rPr>
        <w:lastRenderedPageBreak/>
        <w:drawing>
          <wp:inline distT="0" distB="0" distL="0" distR="0" wp14:anchorId="5AE61F38" wp14:editId="1A773129">
            <wp:extent cx="3727450" cy="2803353"/>
            <wp:effectExtent l="0" t="0" r="6350" b="0"/>
            <wp:docPr id="1198816601" name="Bilde 119881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40695" cy="2813315"/>
                    </a:xfrm>
                    <a:prstGeom prst="rect">
                      <a:avLst/>
                    </a:prstGeom>
                  </pic:spPr>
                </pic:pic>
              </a:graphicData>
            </a:graphic>
          </wp:inline>
        </w:drawing>
      </w:r>
    </w:p>
    <w:p w14:paraId="1AFCE03F" w14:textId="72520971" w:rsidR="1B6275FF" w:rsidRDefault="66A71CD9"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t>Figure 7: Résultat du Proc GLM</w:t>
      </w:r>
      <w:r w:rsidR="35539710" w:rsidRPr="45EC30A4">
        <w:rPr>
          <w:rFonts w:ascii="Times New Roman" w:eastAsia="Times New Roman" w:hAnsi="Times New Roman" w:cs="Times New Roman"/>
          <w:i/>
          <w:iCs/>
          <w:sz w:val="18"/>
          <w:szCs w:val="18"/>
          <w:lang w:val="fr-FR"/>
        </w:rPr>
        <w:t>, GNI_disc de 0 = valeur manquante, GNI_disc de 4 = Pays dans le top 25% des GNI</w:t>
      </w:r>
    </w:p>
    <w:p w14:paraId="41E2EFEF" w14:textId="65A26C83" w:rsidR="1B6275FF" w:rsidRDefault="43DB82C3"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t>Tableau 16: Coefficients du modèle</w:t>
      </w:r>
      <w:r w:rsidR="0946C83D" w:rsidRPr="45EC30A4">
        <w:rPr>
          <w:rFonts w:ascii="Times New Roman" w:eastAsia="Times New Roman" w:hAnsi="Times New Roman" w:cs="Times New Roman"/>
          <w:i/>
          <w:iCs/>
          <w:sz w:val="18"/>
          <w:szCs w:val="18"/>
          <w:lang w:val="fr-FR"/>
        </w:rPr>
        <w:t xml:space="preserve"> GLM</w:t>
      </w:r>
    </w:p>
    <w:p w14:paraId="295E73F9" w14:textId="2983FF66" w:rsidR="1B6275FF" w:rsidRDefault="121A6B5F" w:rsidP="45EC30A4">
      <w:pPr>
        <w:jc w:val="center"/>
      </w:pPr>
      <w:r>
        <w:rPr>
          <w:noProof/>
        </w:rPr>
        <w:drawing>
          <wp:inline distT="0" distB="0" distL="0" distR="0" wp14:anchorId="6C9450D3" wp14:editId="2E34D865">
            <wp:extent cx="2503902" cy="1929235"/>
            <wp:effectExtent l="0" t="0" r="0" b="0"/>
            <wp:docPr id="677109173" name="Bilde 67710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03902" cy="1929235"/>
                    </a:xfrm>
                    <a:prstGeom prst="rect">
                      <a:avLst/>
                    </a:prstGeom>
                  </pic:spPr>
                </pic:pic>
              </a:graphicData>
            </a:graphic>
          </wp:inline>
        </w:drawing>
      </w:r>
    </w:p>
    <w:p w14:paraId="50063217" w14:textId="7CEDABFF" w:rsidR="1B6275FF" w:rsidRDefault="5F3F8EAA" w:rsidP="45EC30A4">
      <w:pPr>
        <w:jc w:val="center"/>
      </w:pPr>
      <w:r>
        <w:rPr>
          <w:noProof/>
        </w:rPr>
        <w:drawing>
          <wp:inline distT="0" distB="0" distL="0" distR="0" wp14:anchorId="6534AE1F" wp14:editId="515AFFA5">
            <wp:extent cx="2758354" cy="478490"/>
            <wp:effectExtent l="0" t="0" r="0" b="0"/>
            <wp:docPr id="2126030516" name="Bilde 212603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58354" cy="478490"/>
                    </a:xfrm>
                    <a:prstGeom prst="rect">
                      <a:avLst/>
                    </a:prstGeom>
                  </pic:spPr>
                </pic:pic>
              </a:graphicData>
            </a:graphic>
          </wp:inline>
        </w:drawing>
      </w:r>
    </w:p>
    <w:p w14:paraId="4E9B5FE4" w14:textId="432A09E4" w:rsidR="1B6275FF" w:rsidRPr="00420C28" w:rsidRDefault="568E77DA" w:rsidP="45EC30A4">
      <w:pPr>
        <w:spacing w:line="257" w:lineRule="auto"/>
        <w:rPr>
          <w:lang w:val="fr-FR"/>
        </w:rPr>
      </w:pPr>
      <w:r w:rsidRPr="45EC30A4">
        <w:rPr>
          <w:rFonts w:ascii="Calibri" w:eastAsia="Calibri" w:hAnsi="Calibri" w:cs="Calibri"/>
          <w:sz w:val="24"/>
          <w:szCs w:val="24"/>
          <w:lang w:val="fr"/>
        </w:rPr>
        <w:t xml:space="preserve">GNI_disc = 0 sont des observations manquantes.  La proc GLM décrit au-dessus corresponds à un modelé ANOVA a deux facteurs. Le F-test au-dessus conclut que seulement le facteur CONT est significatif après avoir contrôle pour le facteur GNI_disc. Ce modèle repose sur les mêmes hypothèses décrit dans les modèles ANOVA au début de la Partie 4. On repère que les groupes n’ont pas le même numéro d’observation et que l’hypothèse de variance égale ne tient pas. (On avait aussi testé la normalité de taux_deces dans la partie 2) </w:t>
      </w:r>
    </w:p>
    <w:p w14:paraId="6E6BCB37" w14:textId="7FE78486" w:rsidR="1B6275FF" w:rsidRDefault="568E77DA" w:rsidP="45EC30A4">
      <w:pPr>
        <w:rPr>
          <w:rFonts w:ascii="Calibri" w:eastAsia="Calibri" w:hAnsi="Calibri" w:cs="Calibri"/>
          <w:sz w:val="24"/>
          <w:szCs w:val="24"/>
          <w:lang w:val="fr"/>
        </w:rPr>
      </w:pPr>
      <w:r w:rsidRPr="45EC30A4">
        <w:rPr>
          <w:rFonts w:ascii="Calibri" w:eastAsia="Calibri" w:hAnsi="Calibri" w:cs="Calibri"/>
          <w:sz w:val="24"/>
          <w:szCs w:val="24"/>
          <w:lang w:val="fr"/>
        </w:rPr>
        <w:t xml:space="preserve">Figure 7 montre que les pays avec les GNI les plus élevé ont l’air d’être plus fortement touché en termes de décès. En plus le continent 93 (Europe) est celui qui a été le plus touché, alors que le continent 96 (L’Océanie) et le moins touché. Cela donne beaucoup de sens en termes de densité de population et de proximité d’autre pays. Le tableau 16 liste les coefficients de </w:t>
      </w:r>
      <w:r w:rsidRPr="45EC30A4">
        <w:rPr>
          <w:rFonts w:ascii="Calibri" w:eastAsia="Calibri" w:hAnsi="Calibri" w:cs="Calibri"/>
          <w:sz w:val="24"/>
          <w:szCs w:val="24"/>
          <w:lang w:val="fr"/>
        </w:rPr>
        <w:lastRenderedPageBreak/>
        <w:t xml:space="preserve">chaque variable </w:t>
      </w:r>
      <w:r w:rsidR="7CEE2EF8" w:rsidRPr="45EC30A4">
        <w:rPr>
          <w:rFonts w:ascii="Calibri" w:eastAsia="Calibri" w:hAnsi="Calibri" w:cs="Calibri"/>
          <w:sz w:val="24"/>
          <w:szCs w:val="24"/>
          <w:lang w:val="fr"/>
        </w:rPr>
        <w:t>“</w:t>
      </w:r>
      <w:r w:rsidRPr="45EC30A4">
        <w:rPr>
          <w:rFonts w:ascii="Calibri" w:eastAsia="Calibri" w:hAnsi="Calibri" w:cs="Calibri"/>
          <w:sz w:val="24"/>
          <w:szCs w:val="24"/>
          <w:lang w:val="fr"/>
        </w:rPr>
        <w:t>dummy</w:t>
      </w:r>
      <w:r w:rsidR="4B840F32" w:rsidRPr="45EC30A4">
        <w:rPr>
          <w:rFonts w:ascii="Calibri" w:eastAsia="Calibri" w:hAnsi="Calibri" w:cs="Calibri"/>
          <w:sz w:val="24"/>
          <w:szCs w:val="24"/>
          <w:lang w:val="fr"/>
        </w:rPr>
        <w:t>”</w:t>
      </w:r>
      <w:r w:rsidRPr="45EC30A4">
        <w:rPr>
          <w:rFonts w:ascii="Calibri" w:eastAsia="Calibri" w:hAnsi="Calibri" w:cs="Calibri"/>
          <w:sz w:val="24"/>
          <w:szCs w:val="24"/>
          <w:lang w:val="fr"/>
        </w:rPr>
        <w:t xml:space="preserve"> des deux facteur. Les deux catégories de référence sont L’Océanie et le</w:t>
      </w:r>
      <w:r w:rsidR="0E489486" w:rsidRPr="45EC30A4">
        <w:rPr>
          <w:rFonts w:ascii="Calibri" w:eastAsia="Calibri" w:hAnsi="Calibri" w:cs="Calibri"/>
          <w:sz w:val="24"/>
          <w:szCs w:val="24"/>
          <w:lang w:val="fr"/>
        </w:rPr>
        <w:t xml:space="preserve"> GNI_disc 4. Les autres </w:t>
      </w:r>
      <w:r w:rsidR="5B559B2A" w:rsidRPr="45EC30A4">
        <w:rPr>
          <w:rFonts w:ascii="Calibri" w:eastAsia="Calibri" w:hAnsi="Calibri" w:cs="Calibri"/>
          <w:sz w:val="24"/>
          <w:szCs w:val="24"/>
          <w:lang w:val="fr"/>
        </w:rPr>
        <w:t>“</w:t>
      </w:r>
      <w:r w:rsidR="0E489486" w:rsidRPr="45EC30A4">
        <w:rPr>
          <w:rFonts w:ascii="Calibri" w:eastAsia="Calibri" w:hAnsi="Calibri" w:cs="Calibri"/>
          <w:sz w:val="24"/>
          <w:szCs w:val="24"/>
          <w:lang w:val="fr"/>
        </w:rPr>
        <w:t>dummy</w:t>
      </w:r>
      <w:r w:rsidR="1B9663C7" w:rsidRPr="45EC30A4">
        <w:rPr>
          <w:rFonts w:ascii="Calibri" w:eastAsia="Calibri" w:hAnsi="Calibri" w:cs="Calibri"/>
          <w:sz w:val="24"/>
          <w:szCs w:val="24"/>
          <w:lang w:val="fr"/>
        </w:rPr>
        <w:t>”</w:t>
      </w:r>
      <w:r w:rsidR="0E489486" w:rsidRPr="45EC30A4">
        <w:rPr>
          <w:rFonts w:ascii="Calibri" w:eastAsia="Calibri" w:hAnsi="Calibri" w:cs="Calibri"/>
          <w:sz w:val="24"/>
          <w:szCs w:val="24"/>
          <w:lang w:val="fr"/>
        </w:rPr>
        <w:t xml:space="preserve"> indique de combien le taux de cas changera compare à la catégorie de référence. L</w:t>
      </w:r>
      <w:r w:rsidR="764C541B" w:rsidRPr="45EC30A4">
        <w:rPr>
          <w:rFonts w:ascii="Calibri" w:eastAsia="Calibri" w:hAnsi="Calibri" w:cs="Calibri"/>
          <w:sz w:val="24"/>
          <w:szCs w:val="24"/>
          <w:lang w:val="fr"/>
        </w:rPr>
        <w:t>e</w:t>
      </w:r>
      <w:r w:rsidR="0E489486" w:rsidRPr="45EC30A4">
        <w:rPr>
          <w:rFonts w:ascii="Calibri" w:eastAsia="Calibri" w:hAnsi="Calibri" w:cs="Calibri"/>
          <w:sz w:val="24"/>
          <w:szCs w:val="24"/>
          <w:lang w:val="fr"/>
        </w:rPr>
        <w:t xml:space="preserve"> P-value indique quels coefficients ont un effet significatif.</w:t>
      </w:r>
    </w:p>
    <w:p w14:paraId="74231509" w14:textId="20DBE8E2" w:rsidR="1B6275FF" w:rsidRDefault="21C42C68" w:rsidP="45EC30A4">
      <w:pPr>
        <w:rPr>
          <w:rFonts w:ascii="Times New Roman" w:eastAsia="Times New Roman" w:hAnsi="Times New Roman" w:cs="Times New Roman"/>
          <w:color w:val="2F5496" w:themeColor="accent1" w:themeShade="BF"/>
          <w:sz w:val="28"/>
          <w:szCs w:val="28"/>
          <w:lang w:val="fr-CA"/>
        </w:rPr>
      </w:pPr>
      <w:r w:rsidRPr="45EC30A4">
        <w:rPr>
          <w:rFonts w:ascii="Times New Roman" w:eastAsia="Times New Roman" w:hAnsi="Times New Roman" w:cs="Times New Roman"/>
          <w:color w:val="2F5496" w:themeColor="accent1" w:themeShade="BF"/>
          <w:sz w:val="28"/>
          <w:szCs w:val="28"/>
          <w:lang w:val="fr-CA"/>
        </w:rPr>
        <w:t>Partie 5 : Conclusion</w:t>
      </w:r>
    </w:p>
    <w:p w14:paraId="7E3D158B" w14:textId="34FA2463" w:rsidR="1B6275FF" w:rsidRDefault="21C42C68" w:rsidP="45EC30A4">
      <w:pPr>
        <w:rPr>
          <w:rFonts w:ascii="Times New Roman" w:eastAsia="Times New Roman" w:hAnsi="Times New Roman" w:cs="Times New Roman"/>
          <w:color w:val="2F5496" w:themeColor="accent1" w:themeShade="BF"/>
          <w:sz w:val="24"/>
          <w:szCs w:val="24"/>
          <w:lang w:val="fr-CA"/>
        </w:rPr>
      </w:pPr>
      <w:r w:rsidRPr="45EC30A4">
        <w:rPr>
          <w:rFonts w:ascii="Times New Roman" w:eastAsia="Times New Roman" w:hAnsi="Times New Roman" w:cs="Times New Roman"/>
          <w:color w:val="2F5496" w:themeColor="accent1" w:themeShade="BF"/>
          <w:sz w:val="24"/>
          <w:szCs w:val="24"/>
          <w:lang w:val="fr-CA"/>
        </w:rPr>
        <w:t>8</w:t>
      </w:r>
      <w:r w:rsidR="7A1D7C36" w:rsidRPr="45EC30A4">
        <w:rPr>
          <w:rFonts w:ascii="Times New Roman" w:eastAsia="Times New Roman" w:hAnsi="Times New Roman" w:cs="Times New Roman"/>
          <w:color w:val="2F5496" w:themeColor="accent1" w:themeShade="BF"/>
          <w:sz w:val="24"/>
          <w:szCs w:val="24"/>
          <w:lang w:val="fr-CA"/>
        </w:rPr>
        <w:t>)</w:t>
      </w:r>
    </w:p>
    <w:p w14:paraId="1F4E9825" w14:textId="6689383F" w:rsidR="1B6275FF" w:rsidRDefault="7F7B7AB9" w:rsidP="45EC30A4">
      <w:pPr>
        <w:jc w:val="center"/>
        <w:rPr>
          <w:rFonts w:ascii="Times New Roman" w:eastAsia="Times New Roman" w:hAnsi="Times New Roman" w:cs="Times New Roman"/>
          <w:lang w:val="fr-FR"/>
        </w:rPr>
      </w:pPr>
      <w:r>
        <w:rPr>
          <w:noProof/>
        </w:rPr>
        <w:drawing>
          <wp:inline distT="0" distB="0" distL="0" distR="0" wp14:anchorId="641664B8" wp14:editId="08087531">
            <wp:extent cx="4724400" cy="3553142"/>
            <wp:effectExtent l="0" t="0" r="0" b="9525"/>
            <wp:docPr id="1641022754" name="Bilde 164102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739745" cy="3564683"/>
                    </a:xfrm>
                    <a:prstGeom prst="rect">
                      <a:avLst/>
                    </a:prstGeom>
                  </pic:spPr>
                </pic:pic>
              </a:graphicData>
            </a:graphic>
          </wp:inline>
        </w:drawing>
      </w:r>
    </w:p>
    <w:p w14:paraId="55922919" w14:textId="1FC376E6" w:rsidR="1FE6F5A4" w:rsidRDefault="1FE6F5A4" w:rsidP="45EC30A4">
      <w:pPr>
        <w:jc w:val="center"/>
        <w:rPr>
          <w:rFonts w:ascii="Times New Roman" w:eastAsia="Times New Roman" w:hAnsi="Times New Roman" w:cs="Times New Roman"/>
          <w:i/>
          <w:iCs/>
          <w:sz w:val="18"/>
          <w:szCs w:val="18"/>
          <w:lang w:val="fr-FR"/>
        </w:rPr>
      </w:pPr>
      <w:r w:rsidRPr="45EC30A4">
        <w:rPr>
          <w:rFonts w:ascii="Times New Roman" w:eastAsia="Times New Roman" w:hAnsi="Times New Roman" w:cs="Times New Roman"/>
          <w:i/>
          <w:iCs/>
          <w:sz w:val="18"/>
          <w:szCs w:val="18"/>
          <w:lang w:val="fr-FR"/>
        </w:rPr>
        <w:t xml:space="preserve">Figure 8: Scatterplot avec taux de deces et GNI standardiser, l’index represente </w:t>
      </w:r>
      <w:r w:rsidR="699C03EE" w:rsidRPr="45EC30A4">
        <w:rPr>
          <w:rFonts w:ascii="Times New Roman" w:eastAsia="Times New Roman" w:hAnsi="Times New Roman" w:cs="Times New Roman"/>
          <w:i/>
          <w:iCs/>
          <w:sz w:val="18"/>
          <w:szCs w:val="18"/>
          <w:lang w:val="fr-FR"/>
        </w:rPr>
        <w:t>l’interaction de ces deux variables</w:t>
      </w:r>
    </w:p>
    <w:p w14:paraId="3C8B1560" w14:textId="418B7ACB" w:rsidR="14FB9C0C" w:rsidRPr="00420C28" w:rsidRDefault="14FB9C0C" w:rsidP="45EC30A4">
      <w:pPr>
        <w:spacing w:line="257" w:lineRule="auto"/>
        <w:rPr>
          <w:lang w:val="fr-FR"/>
        </w:rPr>
      </w:pPr>
      <w:r w:rsidRPr="45EC30A4">
        <w:rPr>
          <w:rFonts w:ascii="Calibri" w:eastAsia="Calibri" w:hAnsi="Calibri" w:cs="Calibri"/>
          <w:sz w:val="24"/>
          <w:szCs w:val="24"/>
          <w:lang w:val="fr"/>
        </w:rPr>
        <w:t>On estime que le taux_deces reflète le risque de décès d'une meilleure façon que le ratio_cas_deces. On fait ce choix parce qu’on estime que là</w:t>
      </w:r>
      <w:r w:rsidRPr="45EC30A4">
        <w:rPr>
          <w:rFonts w:ascii="Calibri" w:eastAsia="Calibri" w:hAnsi="Calibri" w:cs="Calibri"/>
          <w:color w:val="202124"/>
          <w:sz w:val="24"/>
          <w:szCs w:val="24"/>
          <w:lang w:val="fr"/>
        </w:rPr>
        <w:t xml:space="preserve"> capacité de détecter les cas dépends de la capacité de tester et de tracer, ce qui fausse le taux de l’létalité (Rajgor et al., 2020).  </w:t>
      </w:r>
    </w:p>
    <w:p w14:paraId="34F7703F" w14:textId="21B7CE7D" w:rsidR="14FB9C0C" w:rsidRPr="00420C28" w:rsidRDefault="14FB9C0C" w:rsidP="45EC30A4">
      <w:pPr>
        <w:spacing w:line="257" w:lineRule="auto"/>
        <w:rPr>
          <w:lang w:val="fr-FR"/>
        </w:rPr>
      </w:pPr>
      <w:r w:rsidRPr="45EC30A4">
        <w:rPr>
          <w:rFonts w:ascii="Calibri" w:eastAsia="Calibri" w:hAnsi="Calibri" w:cs="Calibri"/>
          <w:color w:val="202124"/>
          <w:sz w:val="24"/>
          <w:szCs w:val="24"/>
          <w:lang w:val="fr"/>
        </w:rPr>
        <w:t>On aperçoit dans la figure 8 a l’aide de l’index qui est compose d’une interaction entre les deux variable standardiser que les 5 pays avec le risque de décès le plus élevé et le revenu moyen le plus élevé sont:</w:t>
      </w:r>
      <w:r w:rsidRPr="45EC30A4">
        <w:rPr>
          <w:rFonts w:ascii="Calibri" w:eastAsia="Calibri" w:hAnsi="Calibri" w:cs="Calibri"/>
          <w:b/>
          <w:bCs/>
          <w:color w:val="202124"/>
          <w:sz w:val="24"/>
          <w:szCs w:val="24"/>
          <w:lang w:val="fr"/>
        </w:rPr>
        <w:t xml:space="preserve"> Luxembourg, US, Belgium, UK, Switzerland</w:t>
      </w:r>
    </w:p>
    <w:p w14:paraId="35FA7ECD" w14:textId="5F414302" w:rsidR="45EC30A4" w:rsidRPr="00420C28" w:rsidRDefault="45EC30A4" w:rsidP="45EC30A4">
      <w:pPr>
        <w:ind w:firstLine="720"/>
        <w:rPr>
          <w:lang w:val="fr-FR"/>
        </w:rPr>
      </w:pPr>
    </w:p>
    <w:p w14:paraId="4A153A36" w14:textId="22B1ABFC" w:rsidR="45EC30A4" w:rsidRPr="00420C28" w:rsidRDefault="45EC30A4" w:rsidP="45EC30A4">
      <w:pPr>
        <w:ind w:firstLine="720"/>
        <w:rPr>
          <w:lang w:val="fr-FR"/>
        </w:rPr>
      </w:pPr>
    </w:p>
    <w:p w14:paraId="76FD4A15" w14:textId="5FDE9214" w:rsidR="45EC30A4" w:rsidRPr="00420C28" w:rsidRDefault="45EC30A4" w:rsidP="45EC30A4">
      <w:pPr>
        <w:ind w:firstLine="720"/>
        <w:rPr>
          <w:lang w:val="fr-FR"/>
        </w:rPr>
      </w:pPr>
    </w:p>
    <w:p w14:paraId="5D65C2C7" w14:textId="77777777" w:rsidR="00077768" w:rsidRDefault="00077768" w:rsidP="00077768">
      <w:pPr>
        <w:rPr>
          <w:lang w:val="fr-FR"/>
        </w:rPr>
      </w:pPr>
    </w:p>
    <w:p w14:paraId="4D766CD1" w14:textId="6C60ECB5" w:rsidR="342718D6" w:rsidRDefault="342718D6" w:rsidP="00077768">
      <w:pPr>
        <w:rPr>
          <w:rFonts w:ascii="Calibri" w:eastAsia="Calibri" w:hAnsi="Calibri" w:cs="Calibri"/>
          <w:color w:val="202124"/>
          <w:sz w:val="42"/>
          <w:szCs w:val="42"/>
          <w:lang w:val="fr-FR"/>
        </w:rPr>
      </w:pPr>
      <w:r w:rsidRPr="00420C28">
        <w:rPr>
          <w:lang w:val="fr-FR"/>
        </w:rPr>
        <w:lastRenderedPageBreak/>
        <w:br/>
      </w:r>
      <w:r w:rsidRPr="00420C28">
        <w:rPr>
          <w:lang w:val="fr-FR"/>
        </w:rPr>
        <w:tab/>
      </w:r>
      <w:r w:rsidRPr="00420C28">
        <w:rPr>
          <w:lang w:val="fr-FR"/>
        </w:rPr>
        <w:tab/>
      </w:r>
      <w:r w:rsidRPr="00420C28">
        <w:rPr>
          <w:lang w:val="fr-FR"/>
        </w:rPr>
        <w:tab/>
      </w:r>
      <w:r w:rsidRPr="00420C28">
        <w:rPr>
          <w:lang w:val="fr-FR"/>
        </w:rPr>
        <w:tab/>
      </w:r>
      <w:r w:rsidRPr="00420C28">
        <w:rPr>
          <w:lang w:val="fr-FR"/>
        </w:rPr>
        <w:tab/>
      </w:r>
      <w:r w:rsidRPr="45EC30A4">
        <w:rPr>
          <w:rFonts w:ascii="Calibri" w:eastAsia="Calibri" w:hAnsi="Calibri" w:cs="Calibri"/>
          <w:color w:val="202124"/>
          <w:sz w:val="36"/>
          <w:szCs w:val="36"/>
          <w:lang w:val="fr-FR"/>
        </w:rPr>
        <w:t>Bibliographie</w:t>
      </w:r>
    </w:p>
    <w:p w14:paraId="6484AF41" w14:textId="45A3CDF0" w:rsidR="342718D6" w:rsidRDefault="342718D6" w:rsidP="45EC30A4">
      <w:pPr>
        <w:rPr>
          <w:rFonts w:ascii="Times New Roman" w:eastAsia="Times New Roman" w:hAnsi="Times New Roman" w:cs="Times New Roman"/>
          <w:color w:val="323232"/>
          <w:sz w:val="24"/>
          <w:szCs w:val="24"/>
          <w:lang w:val="fr-FR"/>
        </w:rPr>
      </w:pPr>
      <w:r w:rsidRPr="45EC30A4">
        <w:rPr>
          <w:rFonts w:ascii="Times New Roman" w:eastAsia="Times New Roman" w:hAnsi="Times New Roman" w:cs="Times New Roman"/>
          <w:color w:val="323232"/>
          <w:sz w:val="24"/>
          <w:szCs w:val="24"/>
          <w:lang w:val="fr-FR"/>
        </w:rPr>
        <w:t xml:space="preserve">Rajgor, D. D., Lee, M. H., Archuleta, S., Bagdasarian, N., &amp; Quek, S. C. (2020). </w:t>
      </w:r>
      <w:r w:rsidRPr="00420C28">
        <w:rPr>
          <w:rFonts w:ascii="Times New Roman" w:eastAsia="Times New Roman" w:hAnsi="Times New Roman" w:cs="Times New Roman"/>
          <w:color w:val="323232"/>
          <w:sz w:val="24"/>
          <w:szCs w:val="24"/>
        </w:rPr>
        <w:t xml:space="preserve">The many estimates of the COVID-19 case fatality rate [Abstract]. </w:t>
      </w:r>
      <w:r w:rsidRPr="45EC30A4">
        <w:rPr>
          <w:rFonts w:ascii="Times New Roman" w:eastAsia="Times New Roman" w:hAnsi="Times New Roman" w:cs="Times New Roman"/>
          <w:i/>
          <w:iCs/>
          <w:color w:val="323232"/>
          <w:sz w:val="24"/>
          <w:szCs w:val="24"/>
          <w:lang w:val="fr-FR"/>
        </w:rPr>
        <w:t>The Lancet Infectious Diseases,</w:t>
      </w:r>
      <w:r w:rsidRPr="45EC30A4">
        <w:rPr>
          <w:rFonts w:ascii="Times New Roman" w:eastAsia="Times New Roman" w:hAnsi="Times New Roman" w:cs="Times New Roman"/>
          <w:color w:val="323232"/>
          <w:sz w:val="24"/>
          <w:szCs w:val="24"/>
          <w:lang w:val="fr-FR"/>
        </w:rPr>
        <w:t xml:space="preserve"> </w:t>
      </w:r>
      <w:r w:rsidRPr="45EC30A4">
        <w:rPr>
          <w:rFonts w:ascii="Times New Roman" w:eastAsia="Times New Roman" w:hAnsi="Times New Roman" w:cs="Times New Roman"/>
          <w:i/>
          <w:iCs/>
          <w:color w:val="323232"/>
          <w:sz w:val="24"/>
          <w:szCs w:val="24"/>
          <w:lang w:val="fr-FR"/>
        </w:rPr>
        <w:t>20</w:t>
      </w:r>
      <w:r w:rsidRPr="45EC30A4">
        <w:rPr>
          <w:rFonts w:ascii="Times New Roman" w:eastAsia="Times New Roman" w:hAnsi="Times New Roman" w:cs="Times New Roman"/>
          <w:color w:val="323232"/>
          <w:sz w:val="24"/>
          <w:szCs w:val="24"/>
          <w:lang w:val="fr-FR"/>
        </w:rPr>
        <w:t>(7), 776-777. doi:10.1016/s1473-3099(20)30244-9</w:t>
      </w:r>
    </w:p>
    <w:sectPr w:rsidR="342718D6">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F4DA3" w14:textId="77777777" w:rsidR="00216C59" w:rsidRDefault="00216C59" w:rsidP="000D1D4D">
      <w:pPr>
        <w:spacing w:after="0" w:line="240" w:lineRule="auto"/>
      </w:pPr>
      <w:r>
        <w:separator/>
      </w:r>
    </w:p>
  </w:endnote>
  <w:endnote w:type="continuationSeparator" w:id="0">
    <w:p w14:paraId="60DCC41B" w14:textId="77777777" w:rsidR="00216C59" w:rsidRDefault="00216C59" w:rsidP="000D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98708"/>
      <w:docPartObj>
        <w:docPartGallery w:val="Page Numbers (Bottom of Page)"/>
        <w:docPartUnique/>
      </w:docPartObj>
    </w:sdtPr>
    <w:sdtContent>
      <w:p w14:paraId="08FA754E" w14:textId="50090505" w:rsidR="000D1D4D" w:rsidRDefault="000D1D4D">
        <w:pPr>
          <w:pStyle w:val="Bunntekst"/>
          <w:jc w:val="right"/>
        </w:pPr>
        <w:r>
          <w:fldChar w:fldCharType="begin"/>
        </w:r>
        <w:r>
          <w:instrText>PAGE   \* MERGEFORMAT</w:instrText>
        </w:r>
        <w:r>
          <w:fldChar w:fldCharType="separate"/>
        </w:r>
        <w:r>
          <w:rPr>
            <w:lang w:val="nb-NO"/>
          </w:rPr>
          <w:t>2</w:t>
        </w:r>
        <w:r>
          <w:fldChar w:fldCharType="end"/>
        </w:r>
      </w:p>
    </w:sdtContent>
  </w:sdt>
  <w:p w14:paraId="003803B7" w14:textId="77777777" w:rsidR="000D1D4D" w:rsidRDefault="000D1D4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F29B1" w14:textId="77777777" w:rsidR="00216C59" w:rsidRDefault="00216C59" w:rsidP="000D1D4D">
      <w:pPr>
        <w:spacing w:after="0" w:line="240" w:lineRule="auto"/>
      </w:pPr>
      <w:r>
        <w:separator/>
      </w:r>
    </w:p>
  </w:footnote>
  <w:footnote w:type="continuationSeparator" w:id="0">
    <w:p w14:paraId="0B65383C" w14:textId="77777777" w:rsidR="00216C59" w:rsidRDefault="00216C59" w:rsidP="000D1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12D26" w14:textId="292B6194" w:rsidR="000D1D4D" w:rsidRDefault="000D1D4D">
    <w:pPr>
      <w:pStyle w:val="Topptekst"/>
    </w:pPr>
    <w:r>
      <w:t xml:space="preserve">Yann Cerasi </w:t>
    </w:r>
  </w:p>
  <w:p w14:paraId="1CF4C2D5" w14:textId="62DD3AC8" w:rsidR="000D1D4D" w:rsidRDefault="000D1D4D">
    <w:pPr>
      <w:pStyle w:val="Topptekst"/>
    </w:pPr>
    <w:r>
      <w:t xml:space="preserve">Ahmad-Walid </w:t>
    </w:r>
    <w:proofErr w:type="spellStart"/>
    <w:r>
      <w:t>Hammouch</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99039"/>
    <w:rsid w:val="00077768"/>
    <w:rsid w:val="000D1D4D"/>
    <w:rsid w:val="001AE2B8"/>
    <w:rsid w:val="00216C59"/>
    <w:rsid w:val="003FD157"/>
    <w:rsid w:val="00420C28"/>
    <w:rsid w:val="004DFE7F"/>
    <w:rsid w:val="006E7D61"/>
    <w:rsid w:val="006F9140"/>
    <w:rsid w:val="00BC5280"/>
    <w:rsid w:val="00EE4FF8"/>
    <w:rsid w:val="00F4397D"/>
    <w:rsid w:val="011DFFA2"/>
    <w:rsid w:val="01316C8F"/>
    <w:rsid w:val="0153B6E2"/>
    <w:rsid w:val="015D0AFC"/>
    <w:rsid w:val="016C9226"/>
    <w:rsid w:val="01B1EF7B"/>
    <w:rsid w:val="01B6A8AC"/>
    <w:rsid w:val="01C38461"/>
    <w:rsid w:val="01D4B172"/>
    <w:rsid w:val="01F0B665"/>
    <w:rsid w:val="024850DE"/>
    <w:rsid w:val="0249489A"/>
    <w:rsid w:val="0249A06C"/>
    <w:rsid w:val="02BA78C3"/>
    <w:rsid w:val="02D3B10E"/>
    <w:rsid w:val="0306FC5C"/>
    <w:rsid w:val="031B8297"/>
    <w:rsid w:val="032DF89E"/>
    <w:rsid w:val="0376152D"/>
    <w:rsid w:val="03A1D067"/>
    <w:rsid w:val="03EB19DF"/>
    <w:rsid w:val="0401927C"/>
    <w:rsid w:val="0402761B"/>
    <w:rsid w:val="045C3DBC"/>
    <w:rsid w:val="04ABD209"/>
    <w:rsid w:val="04BD515A"/>
    <w:rsid w:val="04C19832"/>
    <w:rsid w:val="04C9C6EB"/>
    <w:rsid w:val="04CB841E"/>
    <w:rsid w:val="0531E8F8"/>
    <w:rsid w:val="0543A2D4"/>
    <w:rsid w:val="05615A63"/>
    <w:rsid w:val="0593BA05"/>
    <w:rsid w:val="05952994"/>
    <w:rsid w:val="05D7536B"/>
    <w:rsid w:val="05E76E3A"/>
    <w:rsid w:val="0601FAC0"/>
    <w:rsid w:val="066FE49D"/>
    <w:rsid w:val="066FF96C"/>
    <w:rsid w:val="06EBEC0B"/>
    <w:rsid w:val="06F5AD04"/>
    <w:rsid w:val="070063E4"/>
    <w:rsid w:val="070457EF"/>
    <w:rsid w:val="0723D379"/>
    <w:rsid w:val="074D8A45"/>
    <w:rsid w:val="074FF911"/>
    <w:rsid w:val="07E46359"/>
    <w:rsid w:val="07E6A973"/>
    <w:rsid w:val="08152A00"/>
    <w:rsid w:val="084784BC"/>
    <w:rsid w:val="08498650"/>
    <w:rsid w:val="0921F5C1"/>
    <w:rsid w:val="092FC050"/>
    <w:rsid w:val="0946C83D"/>
    <w:rsid w:val="0957CAF8"/>
    <w:rsid w:val="0985EA85"/>
    <w:rsid w:val="09C22DDC"/>
    <w:rsid w:val="09DE7AE9"/>
    <w:rsid w:val="0A1C21CA"/>
    <w:rsid w:val="0A233475"/>
    <w:rsid w:val="0A376FC8"/>
    <w:rsid w:val="0A49670A"/>
    <w:rsid w:val="0A7ADAC5"/>
    <w:rsid w:val="0A996882"/>
    <w:rsid w:val="0A9B0E7E"/>
    <w:rsid w:val="0AD86A3E"/>
    <w:rsid w:val="0ADED67D"/>
    <w:rsid w:val="0AF4F0FC"/>
    <w:rsid w:val="0AF9CBD4"/>
    <w:rsid w:val="0B07BCAF"/>
    <w:rsid w:val="0B6194C1"/>
    <w:rsid w:val="0B897F34"/>
    <w:rsid w:val="0BB61E58"/>
    <w:rsid w:val="0BBB47C6"/>
    <w:rsid w:val="0C518B23"/>
    <w:rsid w:val="0C93FBA8"/>
    <w:rsid w:val="0CD7C3A7"/>
    <w:rsid w:val="0D05D4EA"/>
    <w:rsid w:val="0D08FCFF"/>
    <w:rsid w:val="0D160264"/>
    <w:rsid w:val="0D54D4A3"/>
    <w:rsid w:val="0D56CE7D"/>
    <w:rsid w:val="0D582C4B"/>
    <w:rsid w:val="0D84D3C4"/>
    <w:rsid w:val="0E2FCC09"/>
    <w:rsid w:val="0E38BB17"/>
    <w:rsid w:val="0E489486"/>
    <w:rsid w:val="0E81CAD2"/>
    <w:rsid w:val="0ECFA7F6"/>
    <w:rsid w:val="0F09A6D7"/>
    <w:rsid w:val="0F4349EA"/>
    <w:rsid w:val="0FA023EA"/>
    <w:rsid w:val="0FD0897B"/>
    <w:rsid w:val="0FDEBDE0"/>
    <w:rsid w:val="0FF52C09"/>
    <w:rsid w:val="0FFB75C0"/>
    <w:rsid w:val="102F7938"/>
    <w:rsid w:val="1087F083"/>
    <w:rsid w:val="10A9CA87"/>
    <w:rsid w:val="10BC7486"/>
    <w:rsid w:val="10D6A4A6"/>
    <w:rsid w:val="10DB2EFE"/>
    <w:rsid w:val="11469283"/>
    <w:rsid w:val="117D549D"/>
    <w:rsid w:val="11A8A736"/>
    <w:rsid w:val="11ABF4B2"/>
    <w:rsid w:val="1200AD43"/>
    <w:rsid w:val="1202FB73"/>
    <w:rsid w:val="121A6B5F"/>
    <w:rsid w:val="122BC237"/>
    <w:rsid w:val="122D3B86"/>
    <w:rsid w:val="127C79A7"/>
    <w:rsid w:val="129C6D70"/>
    <w:rsid w:val="12A64B98"/>
    <w:rsid w:val="12CDC503"/>
    <w:rsid w:val="12E6B133"/>
    <w:rsid w:val="130287FC"/>
    <w:rsid w:val="1351ECC9"/>
    <w:rsid w:val="136FE9E1"/>
    <w:rsid w:val="137251C1"/>
    <w:rsid w:val="139BF2C8"/>
    <w:rsid w:val="13CB9780"/>
    <w:rsid w:val="13D7801A"/>
    <w:rsid w:val="13F1B768"/>
    <w:rsid w:val="140F82F4"/>
    <w:rsid w:val="143590AB"/>
    <w:rsid w:val="1457F0F8"/>
    <w:rsid w:val="148A05EF"/>
    <w:rsid w:val="14AFB22F"/>
    <w:rsid w:val="14BC2AA6"/>
    <w:rsid w:val="14CEB097"/>
    <w:rsid w:val="14FB9C0C"/>
    <w:rsid w:val="15384E05"/>
    <w:rsid w:val="154BB3EB"/>
    <w:rsid w:val="156624B6"/>
    <w:rsid w:val="157454D4"/>
    <w:rsid w:val="15AB8EEA"/>
    <w:rsid w:val="15B0C7C0"/>
    <w:rsid w:val="1666FA0C"/>
    <w:rsid w:val="1676746C"/>
    <w:rsid w:val="16A49E24"/>
    <w:rsid w:val="16BB8964"/>
    <w:rsid w:val="16E7844C"/>
    <w:rsid w:val="16FD42CC"/>
    <w:rsid w:val="170FB787"/>
    <w:rsid w:val="171B0D93"/>
    <w:rsid w:val="1736F08C"/>
    <w:rsid w:val="17648D71"/>
    <w:rsid w:val="178242CE"/>
    <w:rsid w:val="178892B0"/>
    <w:rsid w:val="17B7B6F1"/>
    <w:rsid w:val="17B8CB16"/>
    <w:rsid w:val="17B941E2"/>
    <w:rsid w:val="17D15D5E"/>
    <w:rsid w:val="17E5BD05"/>
    <w:rsid w:val="181244CD"/>
    <w:rsid w:val="182F80C7"/>
    <w:rsid w:val="183247F1"/>
    <w:rsid w:val="1836437A"/>
    <w:rsid w:val="188455E4"/>
    <w:rsid w:val="18BCE1F1"/>
    <w:rsid w:val="18FAC914"/>
    <w:rsid w:val="19015BBB"/>
    <w:rsid w:val="19210BEC"/>
    <w:rsid w:val="196997B4"/>
    <w:rsid w:val="196D2DBF"/>
    <w:rsid w:val="1970C944"/>
    <w:rsid w:val="199F70EC"/>
    <w:rsid w:val="1AA04F8B"/>
    <w:rsid w:val="1AC28AD7"/>
    <w:rsid w:val="1AE446BD"/>
    <w:rsid w:val="1AFCC162"/>
    <w:rsid w:val="1B0134B4"/>
    <w:rsid w:val="1B11FC5F"/>
    <w:rsid w:val="1B2C1AF5"/>
    <w:rsid w:val="1B35F785"/>
    <w:rsid w:val="1B3D1A12"/>
    <w:rsid w:val="1B51D21A"/>
    <w:rsid w:val="1B6275FF"/>
    <w:rsid w:val="1B6F2507"/>
    <w:rsid w:val="1B9663C7"/>
    <w:rsid w:val="1BBAF56F"/>
    <w:rsid w:val="1BD6C850"/>
    <w:rsid w:val="1BDE1CDD"/>
    <w:rsid w:val="1BE1D885"/>
    <w:rsid w:val="1C0432CC"/>
    <w:rsid w:val="1C08CE8D"/>
    <w:rsid w:val="1C3D8922"/>
    <w:rsid w:val="1C7A7DC8"/>
    <w:rsid w:val="1C9EE0AF"/>
    <w:rsid w:val="1D1243BE"/>
    <w:rsid w:val="1D29B89E"/>
    <w:rsid w:val="1D3E1D2E"/>
    <w:rsid w:val="1D4692B6"/>
    <w:rsid w:val="1D4B4D70"/>
    <w:rsid w:val="1D653A03"/>
    <w:rsid w:val="1D6CBB1F"/>
    <w:rsid w:val="1D9BBC60"/>
    <w:rsid w:val="1DB5F360"/>
    <w:rsid w:val="1DDA3281"/>
    <w:rsid w:val="1DE6B63E"/>
    <w:rsid w:val="1DF0086C"/>
    <w:rsid w:val="1E107562"/>
    <w:rsid w:val="1E17218A"/>
    <w:rsid w:val="1E3CE736"/>
    <w:rsid w:val="1E50B052"/>
    <w:rsid w:val="1E7F4B8A"/>
    <w:rsid w:val="1E8B53A2"/>
    <w:rsid w:val="1EA7F6FF"/>
    <w:rsid w:val="1EBCFC23"/>
    <w:rsid w:val="1EC588FF"/>
    <w:rsid w:val="1ED852BF"/>
    <w:rsid w:val="1EDE19E4"/>
    <w:rsid w:val="1EF8D714"/>
    <w:rsid w:val="1F072215"/>
    <w:rsid w:val="1F0FA2CC"/>
    <w:rsid w:val="1F11A948"/>
    <w:rsid w:val="1F43BDCD"/>
    <w:rsid w:val="1F487B53"/>
    <w:rsid w:val="1F5A58C0"/>
    <w:rsid w:val="1F6B5A4B"/>
    <w:rsid w:val="1F6BBF7E"/>
    <w:rsid w:val="1FBE4BEB"/>
    <w:rsid w:val="1FD0855D"/>
    <w:rsid w:val="1FD7A1AC"/>
    <w:rsid w:val="1FDBB94D"/>
    <w:rsid w:val="1FE33983"/>
    <w:rsid w:val="1FE6F5A4"/>
    <w:rsid w:val="1FF606DF"/>
    <w:rsid w:val="2007B8A1"/>
    <w:rsid w:val="200A6A69"/>
    <w:rsid w:val="203D5BAE"/>
    <w:rsid w:val="2043D0B9"/>
    <w:rsid w:val="204BB86A"/>
    <w:rsid w:val="20628CE1"/>
    <w:rsid w:val="2068A9D9"/>
    <w:rsid w:val="2076F5E8"/>
    <w:rsid w:val="20AD1D24"/>
    <w:rsid w:val="21043761"/>
    <w:rsid w:val="2127A92E"/>
    <w:rsid w:val="21B96764"/>
    <w:rsid w:val="21C003B2"/>
    <w:rsid w:val="21C42C68"/>
    <w:rsid w:val="21D41DE5"/>
    <w:rsid w:val="21DCE9BA"/>
    <w:rsid w:val="21E9B0F0"/>
    <w:rsid w:val="22150BA0"/>
    <w:rsid w:val="2215826C"/>
    <w:rsid w:val="22313137"/>
    <w:rsid w:val="2244C293"/>
    <w:rsid w:val="2249BF09"/>
    <w:rsid w:val="226E3B71"/>
    <w:rsid w:val="22B1911B"/>
    <w:rsid w:val="22BB19E0"/>
    <w:rsid w:val="22EE3DFA"/>
    <w:rsid w:val="22F5DE45"/>
    <w:rsid w:val="2302B426"/>
    <w:rsid w:val="230A1511"/>
    <w:rsid w:val="230C211C"/>
    <w:rsid w:val="2326399F"/>
    <w:rsid w:val="233049D2"/>
    <w:rsid w:val="235BD413"/>
    <w:rsid w:val="235EF2D1"/>
    <w:rsid w:val="2366488E"/>
    <w:rsid w:val="236B6985"/>
    <w:rsid w:val="23757F47"/>
    <w:rsid w:val="23A101F0"/>
    <w:rsid w:val="23A7EB63"/>
    <w:rsid w:val="23A94978"/>
    <w:rsid w:val="23BB80E8"/>
    <w:rsid w:val="23E8280B"/>
    <w:rsid w:val="2450E5F7"/>
    <w:rsid w:val="245E7DB8"/>
    <w:rsid w:val="24670E48"/>
    <w:rsid w:val="247DB7EE"/>
    <w:rsid w:val="247FEBA3"/>
    <w:rsid w:val="24EC712C"/>
    <w:rsid w:val="24F1BB8C"/>
    <w:rsid w:val="24F76761"/>
    <w:rsid w:val="24FD9B94"/>
    <w:rsid w:val="2501EA10"/>
    <w:rsid w:val="25341502"/>
    <w:rsid w:val="25565F55"/>
    <w:rsid w:val="25584FC5"/>
    <w:rsid w:val="2573AC62"/>
    <w:rsid w:val="25916C7A"/>
    <w:rsid w:val="25EA8D1D"/>
    <w:rsid w:val="26173A40"/>
    <w:rsid w:val="269B24BF"/>
    <w:rsid w:val="26C9F116"/>
    <w:rsid w:val="26E877AB"/>
    <w:rsid w:val="26E92BC9"/>
    <w:rsid w:val="26EDF7CF"/>
    <w:rsid w:val="26EEB606"/>
    <w:rsid w:val="2722BAF4"/>
    <w:rsid w:val="2740313B"/>
    <w:rsid w:val="27A9E693"/>
    <w:rsid w:val="27ADA30A"/>
    <w:rsid w:val="27B7A71A"/>
    <w:rsid w:val="27C24278"/>
    <w:rsid w:val="27D8B703"/>
    <w:rsid w:val="2850D680"/>
    <w:rsid w:val="28BAEDE9"/>
    <w:rsid w:val="28DE4828"/>
    <w:rsid w:val="292D3390"/>
    <w:rsid w:val="2960E150"/>
    <w:rsid w:val="29865596"/>
    <w:rsid w:val="29918B0D"/>
    <w:rsid w:val="29A56F91"/>
    <w:rsid w:val="29AA1933"/>
    <w:rsid w:val="29B9B7DC"/>
    <w:rsid w:val="29DA4479"/>
    <w:rsid w:val="29EC68FA"/>
    <w:rsid w:val="29F13A08"/>
    <w:rsid w:val="2A12F64B"/>
    <w:rsid w:val="2A1C3ECC"/>
    <w:rsid w:val="2A765E86"/>
    <w:rsid w:val="2ABDB243"/>
    <w:rsid w:val="2AC4D5B9"/>
    <w:rsid w:val="2AC903F1"/>
    <w:rsid w:val="2AE88EBB"/>
    <w:rsid w:val="2AF274B8"/>
    <w:rsid w:val="2B02F9DA"/>
    <w:rsid w:val="2B14E8A6"/>
    <w:rsid w:val="2B19B419"/>
    <w:rsid w:val="2B66E2EE"/>
    <w:rsid w:val="2B90D1C0"/>
    <w:rsid w:val="2B9DF9B1"/>
    <w:rsid w:val="2BA9CAA4"/>
    <w:rsid w:val="2BC3D3F6"/>
    <w:rsid w:val="2BC603DC"/>
    <w:rsid w:val="2BDFFBCE"/>
    <w:rsid w:val="2BFB8BA8"/>
    <w:rsid w:val="2C178BBC"/>
    <w:rsid w:val="2C3FDE42"/>
    <w:rsid w:val="2CA22573"/>
    <w:rsid w:val="2CD97371"/>
    <w:rsid w:val="2CDAF355"/>
    <w:rsid w:val="2D1651CD"/>
    <w:rsid w:val="2D44CF2D"/>
    <w:rsid w:val="2D7B2BF7"/>
    <w:rsid w:val="2D82159C"/>
    <w:rsid w:val="2D846FC2"/>
    <w:rsid w:val="2D8538F9"/>
    <w:rsid w:val="2DB1FF19"/>
    <w:rsid w:val="2DB3EDB0"/>
    <w:rsid w:val="2DD4D6A7"/>
    <w:rsid w:val="2E498801"/>
    <w:rsid w:val="2E730FD9"/>
    <w:rsid w:val="2E840799"/>
    <w:rsid w:val="2E9B031F"/>
    <w:rsid w:val="2F25CD27"/>
    <w:rsid w:val="2F4296B6"/>
    <w:rsid w:val="2F62DE16"/>
    <w:rsid w:val="2F66BF6C"/>
    <w:rsid w:val="2F863155"/>
    <w:rsid w:val="2F909A82"/>
    <w:rsid w:val="2FD7DC31"/>
    <w:rsid w:val="2FDD4CBA"/>
    <w:rsid w:val="3036C7A3"/>
    <w:rsid w:val="30370B57"/>
    <w:rsid w:val="305D29E3"/>
    <w:rsid w:val="30D3B54B"/>
    <w:rsid w:val="314417E4"/>
    <w:rsid w:val="31AED3AF"/>
    <w:rsid w:val="31EBE0C1"/>
    <w:rsid w:val="31F62713"/>
    <w:rsid w:val="31FEAF2F"/>
    <w:rsid w:val="321E05D2"/>
    <w:rsid w:val="325C5456"/>
    <w:rsid w:val="32766D7F"/>
    <w:rsid w:val="327A74E1"/>
    <w:rsid w:val="3291F61A"/>
    <w:rsid w:val="329433BB"/>
    <w:rsid w:val="32A75F92"/>
    <w:rsid w:val="32ADDB99"/>
    <w:rsid w:val="32EF008F"/>
    <w:rsid w:val="32FC3A2E"/>
    <w:rsid w:val="32FF9332"/>
    <w:rsid w:val="330BEBE8"/>
    <w:rsid w:val="330EF7DE"/>
    <w:rsid w:val="3316283C"/>
    <w:rsid w:val="331F80A0"/>
    <w:rsid w:val="3344C52C"/>
    <w:rsid w:val="3358A1C7"/>
    <w:rsid w:val="33B4F013"/>
    <w:rsid w:val="33ECB2E9"/>
    <w:rsid w:val="33F81C2D"/>
    <w:rsid w:val="340F2F19"/>
    <w:rsid w:val="34118CC1"/>
    <w:rsid w:val="342718D6"/>
    <w:rsid w:val="344A28AB"/>
    <w:rsid w:val="345AD68F"/>
    <w:rsid w:val="3497917C"/>
    <w:rsid w:val="34B91F05"/>
    <w:rsid w:val="34E0958D"/>
    <w:rsid w:val="35009B9B"/>
    <w:rsid w:val="35294D80"/>
    <w:rsid w:val="353245DA"/>
    <w:rsid w:val="355225DD"/>
    <w:rsid w:val="35539710"/>
    <w:rsid w:val="358CF20F"/>
    <w:rsid w:val="3593A911"/>
    <w:rsid w:val="35C63A3F"/>
    <w:rsid w:val="35E35B4A"/>
    <w:rsid w:val="3625FDD5"/>
    <w:rsid w:val="364708C2"/>
    <w:rsid w:val="36495F9D"/>
    <w:rsid w:val="365A87B8"/>
    <w:rsid w:val="365AF7F2"/>
    <w:rsid w:val="366C387A"/>
    <w:rsid w:val="368454F1"/>
    <w:rsid w:val="36A448BE"/>
    <w:rsid w:val="36B2959C"/>
    <w:rsid w:val="371087F5"/>
    <w:rsid w:val="37254487"/>
    <w:rsid w:val="377850E5"/>
    <w:rsid w:val="37D1921A"/>
    <w:rsid w:val="3804DC82"/>
    <w:rsid w:val="3809CCAD"/>
    <w:rsid w:val="38236F36"/>
    <w:rsid w:val="3887A912"/>
    <w:rsid w:val="388EEB3E"/>
    <w:rsid w:val="38BE7033"/>
    <w:rsid w:val="38DD8623"/>
    <w:rsid w:val="390B8019"/>
    <w:rsid w:val="397DEFD7"/>
    <w:rsid w:val="39854AF6"/>
    <w:rsid w:val="3991D5AB"/>
    <w:rsid w:val="39CE9953"/>
    <w:rsid w:val="39F413A0"/>
    <w:rsid w:val="3A152C67"/>
    <w:rsid w:val="3A3E29BD"/>
    <w:rsid w:val="3A5E8B0C"/>
    <w:rsid w:val="3AA963B5"/>
    <w:rsid w:val="3AC7819A"/>
    <w:rsid w:val="3AD34D29"/>
    <w:rsid w:val="3AD42B91"/>
    <w:rsid w:val="3AD8ADB0"/>
    <w:rsid w:val="3B27DD50"/>
    <w:rsid w:val="3B3B861F"/>
    <w:rsid w:val="3B3DFB25"/>
    <w:rsid w:val="3B4810AD"/>
    <w:rsid w:val="3B4827EF"/>
    <w:rsid w:val="3B4AE95D"/>
    <w:rsid w:val="3C34C82B"/>
    <w:rsid w:val="3C3D30EB"/>
    <w:rsid w:val="3C6A58D1"/>
    <w:rsid w:val="3C7C7247"/>
    <w:rsid w:val="3C9D36DC"/>
    <w:rsid w:val="3CA48438"/>
    <w:rsid w:val="3CB65F39"/>
    <w:rsid w:val="3CC07E60"/>
    <w:rsid w:val="3D06A67A"/>
    <w:rsid w:val="3D138A4A"/>
    <w:rsid w:val="3D2953E6"/>
    <w:rsid w:val="3D2E58C2"/>
    <w:rsid w:val="3D56A0A2"/>
    <w:rsid w:val="3DC7DD15"/>
    <w:rsid w:val="3DEBFE60"/>
    <w:rsid w:val="3DF6C74B"/>
    <w:rsid w:val="3E17C49C"/>
    <w:rsid w:val="3E39CD80"/>
    <w:rsid w:val="3E9669A3"/>
    <w:rsid w:val="3ECC6D03"/>
    <w:rsid w:val="3EE136A4"/>
    <w:rsid w:val="3F004561"/>
    <w:rsid w:val="3F1D4611"/>
    <w:rsid w:val="3F201965"/>
    <w:rsid w:val="3F22D537"/>
    <w:rsid w:val="3F5D4023"/>
    <w:rsid w:val="3F7C67F7"/>
    <w:rsid w:val="3FDACCD5"/>
    <w:rsid w:val="40605BF5"/>
    <w:rsid w:val="406403B8"/>
    <w:rsid w:val="409C306A"/>
    <w:rsid w:val="40D5F3A1"/>
    <w:rsid w:val="40ED0202"/>
    <w:rsid w:val="41185F94"/>
    <w:rsid w:val="416CC58B"/>
    <w:rsid w:val="4191351F"/>
    <w:rsid w:val="41EC21AA"/>
    <w:rsid w:val="42098783"/>
    <w:rsid w:val="426318E1"/>
    <w:rsid w:val="42E7D731"/>
    <w:rsid w:val="430DC1B9"/>
    <w:rsid w:val="4325642F"/>
    <w:rsid w:val="43641004"/>
    <w:rsid w:val="4364B49B"/>
    <w:rsid w:val="43C10060"/>
    <w:rsid w:val="43DB82C3"/>
    <w:rsid w:val="440E2E43"/>
    <w:rsid w:val="440FE034"/>
    <w:rsid w:val="44132908"/>
    <w:rsid w:val="442E031E"/>
    <w:rsid w:val="443B521C"/>
    <w:rsid w:val="447B1C78"/>
    <w:rsid w:val="44915EFE"/>
    <w:rsid w:val="457B0CD5"/>
    <w:rsid w:val="45CDF8A3"/>
    <w:rsid w:val="45EC30A4"/>
    <w:rsid w:val="45ED259B"/>
    <w:rsid w:val="46029F53"/>
    <w:rsid w:val="460C169C"/>
    <w:rsid w:val="463359BA"/>
    <w:rsid w:val="463C4D9F"/>
    <w:rsid w:val="46466752"/>
    <w:rsid w:val="46569F46"/>
    <w:rsid w:val="468A2F51"/>
    <w:rsid w:val="469D6DF9"/>
    <w:rsid w:val="46AE7FBA"/>
    <w:rsid w:val="472C8B87"/>
    <w:rsid w:val="47A59378"/>
    <w:rsid w:val="482CC682"/>
    <w:rsid w:val="483D8E14"/>
    <w:rsid w:val="48633224"/>
    <w:rsid w:val="4884DBB7"/>
    <w:rsid w:val="4887F7EC"/>
    <w:rsid w:val="48925449"/>
    <w:rsid w:val="48B32BFB"/>
    <w:rsid w:val="49143295"/>
    <w:rsid w:val="4949F444"/>
    <w:rsid w:val="498F9421"/>
    <w:rsid w:val="49B5DED2"/>
    <w:rsid w:val="49CCD05B"/>
    <w:rsid w:val="4A059812"/>
    <w:rsid w:val="4A24355F"/>
    <w:rsid w:val="4A606694"/>
    <w:rsid w:val="4A665AE1"/>
    <w:rsid w:val="4A6C3FE1"/>
    <w:rsid w:val="4AD0CB3B"/>
    <w:rsid w:val="4AEDE0FC"/>
    <w:rsid w:val="4B0CCFE1"/>
    <w:rsid w:val="4B17AAEE"/>
    <w:rsid w:val="4B3D32B4"/>
    <w:rsid w:val="4B7D40B0"/>
    <w:rsid w:val="4B80DF03"/>
    <w:rsid w:val="4B840F32"/>
    <w:rsid w:val="4B91B132"/>
    <w:rsid w:val="4B91C7AE"/>
    <w:rsid w:val="4BA0E8FF"/>
    <w:rsid w:val="4BA1AF97"/>
    <w:rsid w:val="4BD1A460"/>
    <w:rsid w:val="4C07D4C1"/>
    <w:rsid w:val="4C102245"/>
    <w:rsid w:val="4C15D61E"/>
    <w:rsid w:val="4C2A8DBA"/>
    <w:rsid w:val="4C2F33E2"/>
    <w:rsid w:val="4C82DA48"/>
    <w:rsid w:val="4C8F88D5"/>
    <w:rsid w:val="4CCE35E1"/>
    <w:rsid w:val="4CE2F814"/>
    <w:rsid w:val="4CE3DE7D"/>
    <w:rsid w:val="4D191111"/>
    <w:rsid w:val="4D233603"/>
    <w:rsid w:val="4D4AC844"/>
    <w:rsid w:val="4D5B4B35"/>
    <w:rsid w:val="4D698F2C"/>
    <w:rsid w:val="4D6D74C1"/>
    <w:rsid w:val="4D80A2A7"/>
    <w:rsid w:val="4D87322E"/>
    <w:rsid w:val="4D883EBA"/>
    <w:rsid w:val="4D9650C5"/>
    <w:rsid w:val="4DB1A67F"/>
    <w:rsid w:val="4DB86F34"/>
    <w:rsid w:val="4E0433F2"/>
    <w:rsid w:val="4E3AE108"/>
    <w:rsid w:val="4E3DC310"/>
    <w:rsid w:val="4E481156"/>
    <w:rsid w:val="4E652875"/>
    <w:rsid w:val="4E673CFD"/>
    <w:rsid w:val="4EEC47DD"/>
    <w:rsid w:val="4F091769"/>
    <w:rsid w:val="4F21AB59"/>
    <w:rsid w:val="4F237ECE"/>
    <w:rsid w:val="4FAD5492"/>
    <w:rsid w:val="4FD6C221"/>
    <w:rsid w:val="4FF39455"/>
    <w:rsid w:val="500EC327"/>
    <w:rsid w:val="5025FDDE"/>
    <w:rsid w:val="503BD5F6"/>
    <w:rsid w:val="503DE64F"/>
    <w:rsid w:val="507F05F8"/>
    <w:rsid w:val="509056A0"/>
    <w:rsid w:val="509EB75C"/>
    <w:rsid w:val="50A0056D"/>
    <w:rsid w:val="50C72A90"/>
    <w:rsid w:val="50D2C611"/>
    <w:rsid w:val="510B1445"/>
    <w:rsid w:val="51375AF7"/>
    <w:rsid w:val="51DC5C7D"/>
    <w:rsid w:val="51F8304F"/>
    <w:rsid w:val="51F84BE3"/>
    <w:rsid w:val="51FC5BBF"/>
    <w:rsid w:val="520ADDE3"/>
    <w:rsid w:val="5234FA60"/>
    <w:rsid w:val="524C0BAF"/>
    <w:rsid w:val="527CDCEC"/>
    <w:rsid w:val="52A67664"/>
    <w:rsid w:val="52DC7DC1"/>
    <w:rsid w:val="53053CC2"/>
    <w:rsid w:val="532F4475"/>
    <w:rsid w:val="53360210"/>
    <w:rsid w:val="536F8F54"/>
    <w:rsid w:val="53734B67"/>
    <w:rsid w:val="537B68DF"/>
    <w:rsid w:val="537E555C"/>
    <w:rsid w:val="538C0C98"/>
    <w:rsid w:val="5393991F"/>
    <w:rsid w:val="5397380B"/>
    <w:rsid w:val="53B8373B"/>
    <w:rsid w:val="53BABC2C"/>
    <w:rsid w:val="53C65236"/>
    <w:rsid w:val="53D048EE"/>
    <w:rsid w:val="53EDC892"/>
    <w:rsid w:val="5431A5F6"/>
    <w:rsid w:val="545DA57C"/>
    <w:rsid w:val="54710149"/>
    <w:rsid w:val="547676A7"/>
    <w:rsid w:val="54BD8B34"/>
    <w:rsid w:val="54EFD607"/>
    <w:rsid w:val="55229249"/>
    <w:rsid w:val="5528A0B5"/>
    <w:rsid w:val="5531D1F8"/>
    <w:rsid w:val="55A969F5"/>
    <w:rsid w:val="55AD7EDD"/>
    <w:rsid w:val="55C63AB3"/>
    <w:rsid w:val="55D00B2A"/>
    <w:rsid w:val="55D4F539"/>
    <w:rsid w:val="55E1DAC9"/>
    <w:rsid w:val="55E916E1"/>
    <w:rsid w:val="561480CC"/>
    <w:rsid w:val="56595B2B"/>
    <w:rsid w:val="56724EE2"/>
    <w:rsid w:val="5689A9BC"/>
    <w:rsid w:val="568E77DA"/>
    <w:rsid w:val="5698AC33"/>
    <w:rsid w:val="56B5F61E"/>
    <w:rsid w:val="56B7FA77"/>
    <w:rsid w:val="56D2EAC2"/>
    <w:rsid w:val="57382506"/>
    <w:rsid w:val="575FC7AD"/>
    <w:rsid w:val="5786ABCC"/>
    <w:rsid w:val="57A4EEBC"/>
    <w:rsid w:val="57B86677"/>
    <w:rsid w:val="57F9A484"/>
    <w:rsid w:val="580E1F43"/>
    <w:rsid w:val="582F86C4"/>
    <w:rsid w:val="584D3B32"/>
    <w:rsid w:val="587590F4"/>
    <w:rsid w:val="5880D10D"/>
    <w:rsid w:val="58909D36"/>
    <w:rsid w:val="5891D812"/>
    <w:rsid w:val="58967743"/>
    <w:rsid w:val="58D7F845"/>
    <w:rsid w:val="58FE4496"/>
    <w:rsid w:val="591330F0"/>
    <w:rsid w:val="593B1053"/>
    <w:rsid w:val="596E7F95"/>
    <w:rsid w:val="599783A9"/>
    <w:rsid w:val="5998E5D2"/>
    <w:rsid w:val="59B3FD66"/>
    <w:rsid w:val="59C7644B"/>
    <w:rsid w:val="5A304FA9"/>
    <w:rsid w:val="5A545EF6"/>
    <w:rsid w:val="5A71A04B"/>
    <w:rsid w:val="5A79C6BC"/>
    <w:rsid w:val="5A7C26BA"/>
    <w:rsid w:val="5A8FEB0C"/>
    <w:rsid w:val="5AB6BD86"/>
    <w:rsid w:val="5ABE9EB4"/>
    <w:rsid w:val="5ABF1E35"/>
    <w:rsid w:val="5B08C3E2"/>
    <w:rsid w:val="5B14F4DD"/>
    <w:rsid w:val="5B33D110"/>
    <w:rsid w:val="5B559B2A"/>
    <w:rsid w:val="5B8999A0"/>
    <w:rsid w:val="5B9D910C"/>
    <w:rsid w:val="5BC1E658"/>
    <w:rsid w:val="5BC6CED6"/>
    <w:rsid w:val="5C15506A"/>
    <w:rsid w:val="5C3EA793"/>
    <w:rsid w:val="5C471971"/>
    <w:rsid w:val="5C93E7C0"/>
    <w:rsid w:val="5CA8947B"/>
    <w:rsid w:val="5CCFA171"/>
    <w:rsid w:val="5D2BA4E9"/>
    <w:rsid w:val="5D2D45F1"/>
    <w:rsid w:val="5D658ADF"/>
    <w:rsid w:val="5D7FA446"/>
    <w:rsid w:val="5DA34008"/>
    <w:rsid w:val="5DBAA715"/>
    <w:rsid w:val="5DBCC274"/>
    <w:rsid w:val="5DC86AF2"/>
    <w:rsid w:val="5DF82674"/>
    <w:rsid w:val="5E370C11"/>
    <w:rsid w:val="5EB99CD3"/>
    <w:rsid w:val="5ED0388E"/>
    <w:rsid w:val="5EDBF481"/>
    <w:rsid w:val="5EE3A3A3"/>
    <w:rsid w:val="5F3F8EAA"/>
    <w:rsid w:val="5F53C3A4"/>
    <w:rsid w:val="5F6837BD"/>
    <w:rsid w:val="5F9243EF"/>
    <w:rsid w:val="5FB5B507"/>
    <w:rsid w:val="5FD34F2D"/>
    <w:rsid w:val="5FDF9FAE"/>
    <w:rsid w:val="5FEFE45B"/>
    <w:rsid w:val="5FF9F5B9"/>
    <w:rsid w:val="5FFF2B11"/>
    <w:rsid w:val="601CE6F5"/>
    <w:rsid w:val="606C8CA2"/>
    <w:rsid w:val="608FFC94"/>
    <w:rsid w:val="609A3FF9"/>
    <w:rsid w:val="60E90840"/>
    <w:rsid w:val="61024034"/>
    <w:rsid w:val="6118A9E4"/>
    <w:rsid w:val="612A0AAD"/>
    <w:rsid w:val="61B6A4E7"/>
    <w:rsid w:val="61C2541E"/>
    <w:rsid w:val="61C65AC5"/>
    <w:rsid w:val="61EC334B"/>
    <w:rsid w:val="61F806A9"/>
    <w:rsid w:val="621D64DC"/>
    <w:rsid w:val="62215A83"/>
    <w:rsid w:val="6230487A"/>
    <w:rsid w:val="62606619"/>
    <w:rsid w:val="626AA972"/>
    <w:rsid w:val="627930E0"/>
    <w:rsid w:val="628AF5AD"/>
    <w:rsid w:val="62A35D80"/>
    <w:rsid w:val="62A526B0"/>
    <w:rsid w:val="62DA016D"/>
    <w:rsid w:val="6301E0ED"/>
    <w:rsid w:val="633D5B08"/>
    <w:rsid w:val="6363AC02"/>
    <w:rsid w:val="6375D602"/>
    <w:rsid w:val="63DBAC39"/>
    <w:rsid w:val="640460A9"/>
    <w:rsid w:val="6406867A"/>
    <w:rsid w:val="64620984"/>
    <w:rsid w:val="646915CF"/>
    <w:rsid w:val="6489ACA6"/>
    <w:rsid w:val="64A238C2"/>
    <w:rsid w:val="64EE45A9"/>
    <w:rsid w:val="64FC19BF"/>
    <w:rsid w:val="65066265"/>
    <w:rsid w:val="65238B6C"/>
    <w:rsid w:val="657AE806"/>
    <w:rsid w:val="657FCA09"/>
    <w:rsid w:val="65A4D07F"/>
    <w:rsid w:val="65EE22B6"/>
    <w:rsid w:val="65F482F9"/>
    <w:rsid w:val="66481F9C"/>
    <w:rsid w:val="66573954"/>
    <w:rsid w:val="665B6758"/>
    <w:rsid w:val="665E4CE1"/>
    <w:rsid w:val="6674D48C"/>
    <w:rsid w:val="6699CBE8"/>
    <w:rsid w:val="66A71CD9"/>
    <w:rsid w:val="6717C1A0"/>
    <w:rsid w:val="67340EA9"/>
    <w:rsid w:val="675D71B8"/>
    <w:rsid w:val="676D1C3E"/>
    <w:rsid w:val="67953619"/>
    <w:rsid w:val="67A57DC7"/>
    <w:rsid w:val="67E3A8F4"/>
    <w:rsid w:val="681A250F"/>
    <w:rsid w:val="681ACDD5"/>
    <w:rsid w:val="68301EC8"/>
    <w:rsid w:val="68336731"/>
    <w:rsid w:val="684EC1EC"/>
    <w:rsid w:val="68DC95F1"/>
    <w:rsid w:val="68EE57BB"/>
    <w:rsid w:val="69414E28"/>
    <w:rsid w:val="696CB95F"/>
    <w:rsid w:val="6972E0AD"/>
    <w:rsid w:val="6972FA54"/>
    <w:rsid w:val="69821EF9"/>
    <w:rsid w:val="699C03EE"/>
    <w:rsid w:val="69F99039"/>
    <w:rsid w:val="6A20EBF3"/>
    <w:rsid w:val="6A679D31"/>
    <w:rsid w:val="6A8B4FD7"/>
    <w:rsid w:val="6A98A15A"/>
    <w:rsid w:val="6AB79635"/>
    <w:rsid w:val="6ADD1E89"/>
    <w:rsid w:val="6B0EC531"/>
    <w:rsid w:val="6B35F2CD"/>
    <w:rsid w:val="6B83AD79"/>
    <w:rsid w:val="6B8D197D"/>
    <w:rsid w:val="6BDF1846"/>
    <w:rsid w:val="6C12933F"/>
    <w:rsid w:val="6C2659F5"/>
    <w:rsid w:val="6C366AFA"/>
    <w:rsid w:val="6C5FC68D"/>
    <w:rsid w:val="6C89C55A"/>
    <w:rsid w:val="6C9657DC"/>
    <w:rsid w:val="6C98B079"/>
    <w:rsid w:val="6CA45A21"/>
    <w:rsid w:val="6CA477B6"/>
    <w:rsid w:val="6CB9621B"/>
    <w:rsid w:val="6CCB2EBB"/>
    <w:rsid w:val="6CFBD13B"/>
    <w:rsid w:val="6D0AE745"/>
    <w:rsid w:val="6D0EBC55"/>
    <w:rsid w:val="6D2642D9"/>
    <w:rsid w:val="6D3E8459"/>
    <w:rsid w:val="6D4E0AD6"/>
    <w:rsid w:val="6D937891"/>
    <w:rsid w:val="6DCE4B85"/>
    <w:rsid w:val="6DEBEA69"/>
    <w:rsid w:val="6E15F602"/>
    <w:rsid w:val="6E189027"/>
    <w:rsid w:val="6E4059B9"/>
    <w:rsid w:val="6E42F8AF"/>
    <w:rsid w:val="6E9F364E"/>
    <w:rsid w:val="6EE2A117"/>
    <w:rsid w:val="6F0CF526"/>
    <w:rsid w:val="6F18665B"/>
    <w:rsid w:val="6F1FE6E2"/>
    <w:rsid w:val="6F398CD0"/>
    <w:rsid w:val="6F52026D"/>
    <w:rsid w:val="6F5D21B9"/>
    <w:rsid w:val="6F98520B"/>
    <w:rsid w:val="6FDC7876"/>
    <w:rsid w:val="70085655"/>
    <w:rsid w:val="70413599"/>
    <w:rsid w:val="707EA738"/>
    <w:rsid w:val="708312A7"/>
    <w:rsid w:val="70F9CB18"/>
    <w:rsid w:val="717544C3"/>
    <w:rsid w:val="7175EFAC"/>
    <w:rsid w:val="71C82C17"/>
    <w:rsid w:val="725DB08D"/>
    <w:rsid w:val="72884269"/>
    <w:rsid w:val="72A975B6"/>
    <w:rsid w:val="72D1C25E"/>
    <w:rsid w:val="72E92B7B"/>
    <w:rsid w:val="730382EC"/>
    <w:rsid w:val="730FD779"/>
    <w:rsid w:val="7350B4BE"/>
    <w:rsid w:val="735EDC71"/>
    <w:rsid w:val="73F01794"/>
    <w:rsid w:val="741723D7"/>
    <w:rsid w:val="741AE16F"/>
    <w:rsid w:val="7424362E"/>
    <w:rsid w:val="747D2549"/>
    <w:rsid w:val="74853786"/>
    <w:rsid w:val="74E22D11"/>
    <w:rsid w:val="750D96F7"/>
    <w:rsid w:val="750E0A65"/>
    <w:rsid w:val="751AD366"/>
    <w:rsid w:val="75359912"/>
    <w:rsid w:val="756CD22F"/>
    <w:rsid w:val="75872067"/>
    <w:rsid w:val="75977EB0"/>
    <w:rsid w:val="75AD4FE2"/>
    <w:rsid w:val="75FC2318"/>
    <w:rsid w:val="7613526A"/>
    <w:rsid w:val="7643A387"/>
    <w:rsid w:val="764C541B"/>
    <w:rsid w:val="76CF16F4"/>
    <w:rsid w:val="76E021AA"/>
    <w:rsid w:val="76F0721E"/>
    <w:rsid w:val="770A281F"/>
    <w:rsid w:val="774EE820"/>
    <w:rsid w:val="77972D36"/>
    <w:rsid w:val="77E05728"/>
    <w:rsid w:val="782A3027"/>
    <w:rsid w:val="78343933"/>
    <w:rsid w:val="7836A943"/>
    <w:rsid w:val="783FC814"/>
    <w:rsid w:val="78624018"/>
    <w:rsid w:val="786EECBA"/>
    <w:rsid w:val="78877CC6"/>
    <w:rsid w:val="789B3A03"/>
    <w:rsid w:val="79095653"/>
    <w:rsid w:val="79186716"/>
    <w:rsid w:val="791B6E2E"/>
    <w:rsid w:val="7920B232"/>
    <w:rsid w:val="79F2C223"/>
    <w:rsid w:val="7A1A8E5C"/>
    <w:rsid w:val="7A1D7C36"/>
    <w:rsid w:val="7A4426C1"/>
    <w:rsid w:val="7A5AD7AA"/>
    <w:rsid w:val="7AA03175"/>
    <w:rsid w:val="7AA526B4"/>
    <w:rsid w:val="7AB35E85"/>
    <w:rsid w:val="7AC1B6CA"/>
    <w:rsid w:val="7ACC35BE"/>
    <w:rsid w:val="7AD0A910"/>
    <w:rsid w:val="7B025109"/>
    <w:rsid w:val="7B46C6AB"/>
    <w:rsid w:val="7B47A465"/>
    <w:rsid w:val="7B4C56D7"/>
    <w:rsid w:val="7B7C08CD"/>
    <w:rsid w:val="7B85D0DA"/>
    <w:rsid w:val="7B9A3A57"/>
    <w:rsid w:val="7BA271EC"/>
    <w:rsid w:val="7BBE731A"/>
    <w:rsid w:val="7BBF607C"/>
    <w:rsid w:val="7BDDC2DE"/>
    <w:rsid w:val="7CBF2DB7"/>
    <w:rsid w:val="7CC2DCB4"/>
    <w:rsid w:val="7CE374C6"/>
    <w:rsid w:val="7CEE2EF8"/>
    <w:rsid w:val="7CF7F113"/>
    <w:rsid w:val="7D15C644"/>
    <w:rsid w:val="7D5EE080"/>
    <w:rsid w:val="7D799178"/>
    <w:rsid w:val="7DA49B41"/>
    <w:rsid w:val="7E03D23B"/>
    <w:rsid w:val="7E053BF2"/>
    <w:rsid w:val="7E0F852A"/>
    <w:rsid w:val="7E84CF64"/>
    <w:rsid w:val="7E901EC3"/>
    <w:rsid w:val="7F5AF624"/>
    <w:rsid w:val="7F5BC697"/>
    <w:rsid w:val="7F7B7AB9"/>
    <w:rsid w:val="7F835D9A"/>
    <w:rsid w:val="7FB9F6A3"/>
    <w:rsid w:val="7FDD6431"/>
    <w:rsid w:val="7FE2E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9039"/>
  <w15:chartTrackingRefBased/>
  <w15:docId w15:val="{220031F5-085F-4D4D-8861-9E496CB2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0D1D4D"/>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0D1D4D"/>
  </w:style>
  <w:style w:type="paragraph" w:styleId="Bunntekst">
    <w:name w:val="footer"/>
    <w:basedOn w:val="Normal"/>
    <w:link w:val="BunntekstTegn"/>
    <w:uiPriority w:val="99"/>
    <w:unhideWhenUsed/>
    <w:rsid w:val="000D1D4D"/>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0D1D4D"/>
  </w:style>
  <w:style w:type="character" w:customStyle="1" w:styleId="gd">
    <w:name w:val="gd"/>
    <w:basedOn w:val="Standardskriftforavsnitt"/>
    <w:rsid w:val="000D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4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CERASI</dc:creator>
  <cp:keywords/>
  <dc:description/>
  <cp:lastModifiedBy>Yann Cerasi</cp:lastModifiedBy>
  <cp:revision>2</cp:revision>
  <dcterms:created xsi:type="dcterms:W3CDTF">2021-04-10T20:44:00Z</dcterms:created>
  <dcterms:modified xsi:type="dcterms:W3CDTF">2021-04-10T20:44:00Z</dcterms:modified>
</cp:coreProperties>
</file>