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ESPECIFICAÇÃO FUNCIONAL — SISTEMA DE ANÁLISE DE TERMO DE REFERÊNCIA</w:t>
      </w:r>
    </w:p>
    <w:p>
      <w:pPr>
        <w:spacing w:after="140" w:line="300" w:lineRule="auto"/>
        <w:jc w:val="both"/>
      </w:pPr>
      <w:r>
        <w:rPr>
          <w:b/>
          <w:bCs/>
        </w:rPr>
        <w:t xml:space="preserve">Objeto:</w:t>
      </w:r>
      <w:r>
        <w:rPr>
          <w:b w:val="false"/>
          <w:bCs w:val="false"/>
        </w:rPr>
        <w:t xml:space="preserve"> Securitização de Dívida Ativa</w:t>
      </w:r>
    </w:p>
    <w:p>
      <w:pPr>
        <w:spacing w:after="140" w:line="300" w:lineRule="auto"/>
        <w:jc w:val="both"/>
      </w:pPr>
      <w:r>
        <w:rPr>
          <w:b/>
          <w:bCs/>
          <w:i/>
          <w:iCs/>
        </w:rPr>
        <w:t xml:space="preserve">Versão:</w:t>
      </w:r>
      <w:r>
        <w:rPr>
          <w:b w:val="false"/>
          <w:bCs w:val="false"/>
          <w:i/>
          <w:iCs/>
        </w:rPr>
        <w:t xml:space="preserve"> 1.1 — revisada após validação do solicitante (Yann)</w:t>
      </w:r>
    </w:p>
    <w:p>
      <w:pPr>
        <w:pStyle w:val="Heading2"/>
        <w:spacing w:after="120" w:before="260"/>
      </w:pPr>
      <w:r>
        <w:rPr>
          <w:b/>
          <w:bCs/>
        </w:rPr>
        <w:t xml:space="preserve">Controle de versão — alterações desta revisão</w:t>
      </w:r>
    </w:p>
    <w:p>
      <w:pPr>
        <w:spacing w:after="140" w:line="300" w:lineRule="auto"/>
        <w:jc w:val="both"/>
      </w:pPr>
      <w:r>
        <w:rPr>
          <w:b w:val="false"/>
          <w:bCs w:val="false"/>
        </w:rPr>
        <w:t xml:space="preserve">Esta revisão incorpora as seguintes decisões do solicitante em relação à versão original do documento:</w:t>
      </w:r>
    </w:p>
    <w:p>
      <w:pPr>
        <w:pStyle w:val="ListParagraph"/>
        <w:numPr>
          <w:ilvl w:val="0"/>
          <w:numId w:val="1"/>
        </w:numPr>
        <w:spacing w:after="80" w:line="300" w:lineRule="auto"/>
        <w:jc w:val="both"/>
      </w:pPr>
      <w:r>
        <w:t xml:space="preserve">A ciência do usuário, sempre que solicitada pelo sistema, passa a ser sempre obrigatória — não existem mais ciências "simples" ou opcionais. O preenchimento de todas as ciências e de todos os campos obrigatórios é condição para salvar a análise e para gerar o relatório final.</w:t>
      </w:r>
    </w:p>
    <w:p>
      <w:pPr>
        <w:pStyle w:val="ListParagraph"/>
        <w:numPr>
          <w:ilvl w:val="0"/>
          <w:numId w:val="1"/>
        </w:numPr>
        <w:spacing w:after="80" w:line="300" w:lineRule="auto"/>
        <w:jc w:val="both"/>
      </w:pPr>
      <w:r>
        <w:t xml:space="preserve">O campo de cadastro "cidade" foi removido por ser redundante com "Nome do ente" (Município) e sem aplicação clara para Estado. O campo "Nome do ente" passa a ser suficiente para identificar o ente em ambos os casos.</w:t>
      </w:r>
    </w:p>
    <w:p>
      <w:pPr>
        <w:pStyle w:val="ListParagraph"/>
        <w:numPr>
          <w:ilvl w:val="0"/>
          <w:numId w:val="1"/>
        </w:numPr>
        <w:spacing w:after="80" w:line="300" w:lineRule="auto"/>
        <w:jc w:val="both"/>
      </w:pPr>
      <w:r>
        <w:t xml:space="preserve">O item 3 (Fundamentação) passou a ter regra específica para a verificação da referência legal (LC nº 208/2024 e art. 75, XV, da Lei nº 14.133/2021): citação literal é validada automaticamente pelo sistema; referência inequívoca porém não literal é apresentada ao usuário para validação (com ciência obrigatória); ausência total é tratada como inadequada.</w:t>
      </w:r>
    </w:p>
    <w:p>
      <w:pPr>
        <w:pStyle w:val="ListParagraph"/>
        <w:numPr>
          <w:ilvl w:val="0"/>
          <w:numId w:val="1"/>
        </w:numPr>
        <w:spacing w:after="80" w:line="300" w:lineRule="auto"/>
        <w:jc w:val="both"/>
      </w:pPr>
      <w:r>
        <w:t xml:space="preserve">O item 7-b (atualização monetária em atraso) sempre apresenta o resultado em tela — o que foi encontrado, ou "não previsto" — independentemente do conteúdo, sempre com ciência obrigatória e comentário opcional.</w:t>
      </w:r>
    </w:p>
    <w:p>
      <w:pPr>
        <w:pStyle w:val="ListParagraph"/>
        <w:numPr>
          <w:ilvl w:val="0"/>
          <w:numId w:val="1"/>
        </w:numPr>
        <w:spacing w:after="80" w:line="300" w:lineRule="auto"/>
        <w:jc w:val="both"/>
      </w:pPr>
      <w:r>
        <w:t xml:space="preserve">O rodapé do relatório final, que deve trazer o nome do usuário logado, usará um espaço reservado ("Usuário: [a definir]") até que o módulo de autenticação do sistema seja implementado.</w:t>
      </w:r>
    </w:p>
    <w:p>
      <w:pPr>
        <w:pStyle w:val="ListParagraph"/>
        <w:numPr>
          <w:ilvl w:val="0"/>
          <w:numId w:val="1"/>
        </w:numPr>
        <w:spacing w:after="80" w:line="300" w:lineRule="auto"/>
        <w:jc w:val="both"/>
      </w:pPr>
      <w:r>
        <w:t xml:space="preserve">Todos os 8 itens de análise são exibidos simultaneamente em tela, sem liberação sequencial. A exigência de ciências e campos obrigatórios é validada no momento de salvar a análise e de gerar o relatório, não item a item durante a navegação.</w:t>
      </w:r>
    </w:p>
    <w:p>
      <w:pPr>
        <w:pStyle w:val="ListParagraph"/>
        <w:numPr>
          <w:ilvl w:val="0"/>
          <w:numId w:val="1"/>
        </w:numPr>
        <w:spacing w:after="80" w:line="300" w:lineRule="auto"/>
        <w:jc w:val="both"/>
      </w:pPr>
      <w:r>
        <w:t xml:space="preserve">Nesta primeira versão, o sistema implementa exclusivamente as regras de análise do objeto "Securitização de Dívida Ativa", sem camada de abstração para múltiplos objetos — o campo "Objeto do TR" existe na tela, mas hoje só oferece essa opção.</w:t>
      </w:r>
    </w:p>
    <w:p>
      <w:pPr>
        <w:pStyle w:val="Heading2"/>
        <w:spacing w:after="120" w:before="260"/>
      </w:pPr>
      <w:r>
        <w:rPr>
          <w:b/>
          <w:bCs/>
        </w:rPr>
        <w:t xml:space="preserve">GLOSSÁRIO DE TERMOS (para referência da equipe de desenvolvimento)</w:t>
      </w:r>
    </w:p>
    <w:p>
      <w:pPr>
        <w:spacing w:after="140" w:line="300" w:lineRule="auto"/>
        <w:jc w:val="both"/>
      </w:pPr>
      <w:r>
        <w:rPr>
          <w:b w:val="false"/>
          <w:bCs w:val="false"/>
        </w:rPr>
        <w:t xml:space="preserve">Este glossário tem o objetivo de contextualizar a equipe de desenvolvimento sobre os conceitos centrais que o sistema precisará reconhecer e analisar.</w:t>
      </w:r>
    </w:p>
    <w:p>
      <w:pPr>
        <w:spacing w:after="140" w:line="300" w:lineRule="auto"/>
        <w:jc w:val="both"/>
      </w:pPr>
      <w:r>
        <w:rPr>
          <w:b/>
          <w:bCs/>
        </w:rPr>
        <w:t xml:space="preserve">Termo de Referência (TR):</w:t>
      </w:r>
      <w:r>
        <w:rPr>
          <w:b w:val="false"/>
          <w:bCs w:val="false"/>
        </w:rPr>
        <w:t xml:space="preserve"> documento elaborado por um ente público (prefeitura ou governo estadual) que descreve as condições, requisitos e especificações de um serviço que ele deseja contratar. O TR é o documento que o sistema irá receber como input para análise.</w:t>
      </w:r>
    </w:p>
    <w:p>
      <w:pPr>
        <w:spacing w:after="140" w:line="300" w:lineRule="auto"/>
        <w:jc w:val="both"/>
      </w:pPr>
      <w:r>
        <w:rPr>
          <w:b/>
          <w:bCs/>
        </w:rPr>
        <w:t xml:space="preserve">Securitização de dívida ativa:</w:t>
      </w:r>
      <w:r>
        <w:rPr>
          <w:b w:val="false"/>
          <w:bCs w:val="false"/>
        </w:rPr>
        <w:t xml:space="preserve"> operação financeira por meio da qual um ente público (estado ou município) transforma créditos que tem a receber de contribuintes inadimplentes em ativos financeiros que podem ser negociados no mercado de capitais, antecipando o recebimento desses valores. A dívida ativa é o conjunto de créditos tributários (como impostos não pagos) e não tributários (como multas e aluguéis) que o governo tem a receber e que já foram inscritos formalmente em um cadastro específico.</w:t>
      </w:r>
    </w:p>
    <w:p>
      <w:pPr>
        <w:spacing w:after="140" w:line="300" w:lineRule="auto"/>
        <w:jc w:val="both"/>
      </w:pPr>
      <w:r>
        <w:rPr>
          <w:b/>
          <w:bCs/>
        </w:rPr>
        <w:t xml:space="preserve">Cessão de créditos ou de fluxos:</w:t>
      </w:r>
      <w:r>
        <w:rPr>
          <w:b w:val="false"/>
          <w:bCs w:val="false"/>
        </w:rPr>
        <w:t xml:space="preserve"> ato pelo qual o ente público transfere para uma instituição financeira o direito de receber os valores devidos pelos devedores, em troca de recursos imediatos.</w:t>
      </w:r>
    </w:p>
    <w:p>
      <w:pPr>
        <w:spacing w:after="140" w:line="300" w:lineRule="auto"/>
        <w:jc w:val="both"/>
      </w:pPr>
      <w:r>
        <w:rPr>
          <w:b/>
          <w:bCs/>
        </w:rPr>
        <w:t xml:space="preserve">Ativos financeiros sênior, mezanino e subordinado:</w:t>
      </w:r>
      <w:r>
        <w:rPr>
          <w:b w:val="false"/>
          <w:bCs w:val="false"/>
        </w:rPr>
        <w:t xml:space="preserve"> classificações de títulos financeiros emitidos em uma operação de securitização que indicam a ordem de prioridade de pagamento e o nível de risco de cada classe. Sênior tem prioridade e menor risco; subordinado é o último a ser pago e tem maior risco.</w:t>
      </w:r>
    </w:p>
    <w:p>
      <w:pPr>
        <w:spacing w:after="140" w:line="300" w:lineRule="auto"/>
        <w:jc w:val="both"/>
      </w:pPr>
      <w:r>
        <w:rPr>
          <w:b/>
          <w:bCs/>
        </w:rPr>
        <w:t xml:space="preserve">Fundo Especial:</w:t>
      </w:r>
      <w:r>
        <w:rPr>
          <w:b w:val="false"/>
          <w:bCs w:val="false"/>
        </w:rPr>
        <w:t xml:space="preserve"> estrutura contábil e financeira criada por lei para isolar e gerenciar os recursos da operação de securitização, com transparência e controle, conforme previsto nos artigos 71 a 74 da Lei nº 4.320/64.</w:t>
      </w:r>
    </w:p>
    <w:p>
      <w:pPr>
        <w:spacing w:after="140" w:line="300" w:lineRule="auto"/>
        <w:jc w:val="both"/>
      </w:pPr>
      <w:r>
        <w:rPr>
          <w:b/>
          <w:bCs/>
        </w:rPr>
        <w:t xml:space="preserve">Ordem de Serviço:</w:t>
      </w:r>
      <w:r>
        <w:rPr>
          <w:b w:val="false"/>
          <w:bCs w:val="false"/>
        </w:rPr>
        <w:t xml:space="preserve"> documento formal emitido pelo contratante autorizando o início ou o avanço de uma etapa de trabalho por parte da contratada.</w:t>
      </w:r>
    </w:p>
    <w:p>
      <w:pPr>
        <w:spacing w:after="140" w:line="300" w:lineRule="auto"/>
        <w:jc w:val="both"/>
      </w:pPr>
      <w:r>
        <w:rPr>
          <w:b/>
          <w:bCs/>
        </w:rPr>
        <w:t xml:space="preserve">Dispensa de licitação:</w:t>
      </w:r>
      <w:r>
        <w:rPr>
          <w:b w:val="false"/>
          <w:bCs w:val="false"/>
        </w:rPr>
        <w:t xml:space="preserve"> modalidade de contratação pública prevista em lei que permite ao ente público contratar um serviço sem realizar processo licitatório competitivo, desde que atendidas as condições legais específicas.</w:t>
      </w:r>
    </w:p>
    <w:p>
      <w:pPr>
        <w:spacing w:after="140" w:line="300" w:lineRule="auto"/>
        <w:jc w:val="both"/>
      </w:pPr>
      <w:r>
        <w:rPr>
          <w:b/>
          <w:bCs/>
        </w:rPr>
        <w:t xml:space="preserve">Rating / Agência de Rating:</w:t>
      </w:r>
      <w:r>
        <w:rPr>
          <w:b w:val="false"/>
          <w:bCs w:val="false"/>
        </w:rPr>
        <w:t xml:space="preserve"> avaliação formal do risco de crédito de um ente ou de um ativo financeiro, realizada por empresas especializadas. Determina o chamado "prêmio de risco", que influencia o custo da operação de securitização.</w:t>
      </w:r>
    </w:p>
    <w:p>
      <w:pPr>
        <w:spacing w:after="140" w:line="300" w:lineRule="auto"/>
        <w:jc w:val="both"/>
      </w:pPr>
      <w:r>
        <w:rPr>
          <w:b/>
          <w:bCs/>
        </w:rPr>
        <w:t xml:space="preserve">CVM (Comissão de Valores Mobiliários):</w:t>
      </w:r>
      <w:r>
        <w:rPr>
          <w:b w:val="false"/>
          <w:bCs w:val="false"/>
        </w:rPr>
        <w:t xml:space="preserve"> órgão regulador do mercado de capitais brasileiro, responsável por normatizar a emissão e negociação de ativos financeiros.</w:t>
      </w:r>
    </w:p>
    <w:p>
      <w:pPr>
        <w:spacing w:after="140" w:line="300" w:lineRule="auto"/>
        <w:jc w:val="both"/>
      </w:pPr>
      <w:r>
        <w:rPr>
          <w:b/>
          <w:bCs/>
        </w:rPr>
        <w:t xml:space="preserve">BACEN (Banco Central do Brasil):</w:t>
      </w:r>
      <w:r>
        <w:rPr>
          <w:b w:val="false"/>
          <w:bCs w:val="false"/>
        </w:rPr>
        <w:t xml:space="preserve"> autoridade monetária que regula e supervisiona o sistema financeiro nacional, incluindo as instituições autorizadas a realizar operações de mercado de capitais.</w:t>
      </w:r>
    </w:p>
    <w:p>
      <w:pPr>
        <w:spacing w:after="140" w:line="300" w:lineRule="auto"/>
        <w:jc w:val="both"/>
      </w:pPr>
      <w:r>
        <w:rPr>
          <w:b/>
          <w:bCs/>
        </w:rPr>
        <w:t xml:space="preserve">Lei Complementar nº 208/2024:</w:t>
      </w:r>
      <w:r>
        <w:rPr>
          <w:b w:val="false"/>
          <w:bCs w:val="false"/>
        </w:rPr>
        <w:t xml:space="preserve"> lei que alterou a Lei nº 4.320/64 e criou o marco legal que permite aos entes públicos realizarem operações de securitização de créditos.</w:t>
      </w:r>
    </w:p>
    <w:p>
      <w:pPr>
        <w:spacing w:after="140" w:line="300" w:lineRule="auto"/>
        <w:jc w:val="both"/>
      </w:pPr>
      <w:r>
        <w:rPr>
          <w:b/>
          <w:bCs/>
        </w:rPr>
        <w:t xml:space="preserve">Lei Federal nº 14.133/2021:</w:t>
      </w:r>
      <w:r>
        <w:rPr>
          <w:b w:val="false"/>
          <w:bCs w:val="false"/>
        </w:rPr>
        <w:t xml:space="preserve"> nova Lei de Licitações e Contratos Administrativos, que no seu artigo 75, inciso XV, trata da contratação por dispensa de licitação para serviços especializados como os de assessoria para operações de securitização.</w:t>
      </w:r>
    </w:p>
    <w:p>
      <w:pPr>
        <w:pStyle w:val="Heading2"/>
        <w:spacing w:after="120" w:before="260"/>
      </w:pPr>
      <w:r>
        <w:rPr>
          <w:b/>
          <w:bCs/>
        </w:rPr>
        <w:t xml:space="preserve">COMO O SISTEMA DEVE FUNCIONAR — VISÃO GERAL</w:t>
      </w:r>
    </w:p>
    <w:p>
      <w:pPr>
        <w:spacing w:after="140" w:line="300" w:lineRule="auto"/>
        <w:jc w:val="both"/>
      </w:pPr>
      <w:r>
        <w:rPr>
          <w:b w:val="false"/>
          <w:bCs w:val="false"/>
        </w:rPr>
        <w:t xml:space="preserve">O sistema receberá como entrada um arquivo contendo o Termo de Referência (TR) emitido por um ente público interessado em contratar serviços de assessoria para realização de operação de securitização de sua dívida ativa. A partir desse documento, o sistema deverá realizar uma análise automatizada com os seguintes objetivos:</w:t>
      </w:r>
    </w:p>
    <w:p>
      <w:pPr>
        <w:pStyle w:val="ListParagraph"/>
        <w:numPr>
          <w:ilvl w:val="0"/>
          <w:numId w:val="1"/>
        </w:numPr>
        <w:spacing w:after="80" w:line="300" w:lineRule="auto"/>
        <w:jc w:val="both"/>
      </w:pPr>
      <w:r>
        <w:t xml:space="preserve">Identificar a ausência de dados e informações que deveriam obrigatoriamente constar no TR.</w:t>
      </w:r>
    </w:p>
    <w:p>
      <w:pPr>
        <w:pStyle w:val="ListParagraph"/>
        <w:numPr>
          <w:ilvl w:val="0"/>
          <w:numId w:val="1"/>
        </w:numPr>
        <w:spacing w:after="80" w:line="300" w:lineRule="auto"/>
        <w:jc w:val="both"/>
      </w:pPr>
      <w:r>
        <w:t xml:space="preserve">Identificar a existência de dados, condições ou cláusulas que possam prejudicar a prestação dos serviços pela contratada ou gerar riscos e prejuízos para ela.</w:t>
      </w:r>
    </w:p>
    <w:p>
      <w:pPr>
        <w:pStyle w:val="ListParagraph"/>
        <w:numPr>
          <w:ilvl w:val="0"/>
          <w:numId w:val="1"/>
        </w:numPr>
        <w:spacing w:after="80" w:line="300" w:lineRule="auto"/>
        <w:jc w:val="both"/>
      </w:pPr>
      <w:r>
        <w:t xml:space="preserve">Realizar críticas, indicar pontos de atenção e destacar informações relevantes para facilitar a análise e a tomada de decisão pela equipe interna.</w:t>
      </w:r>
    </w:p>
    <w:p>
      <w:pPr>
        <w:spacing w:after="140" w:line="300" w:lineRule="auto"/>
        <w:jc w:val="both"/>
      </w:pPr>
      <w:r>
        <w:rPr>
          <w:b w:val="false"/>
          <w:bCs w:val="false"/>
        </w:rPr>
        <w:t xml:space="preserve">A análise deve ser semântica, ou seja, o sistema deve ser capaz de reconhecer o sentido e a intenção do conteúdo do TR, e não apenas correspondências exatas de palavras ou frases. Cada TR será redigido de forma diferente, com vocabulário variado, mas poderá tratar dos mesmos temas e ter os mesmos objetivos. O sistema deve ser capaz de identificar essas equivalências de significado.</w:t>
      </w:r>
    </w:p>
    <w:p>
      <w:pPr>
        <w:spacing w:after="140" w:line="300" w:lineRule="auto"/>
        <w:jc w:val="both"/>
      </w:pPr>
      <w:r>
        <w:rPr>
          <w:b w:val="false"/>
          <w:bCs w:val="false"/>
        </w:rPr>
        <w:t xml:space="preserve">A seguir estão descritos os pontos de análise que o sistema deve executar, as regras de apresentação dos resultados, as interações com o usuário e as regras para geração do relatório final.</w:t>
      </w:r>
    </w:p>
    <w:p>
      <w:pPr>
        <w:pStyle w:val="Heading2"/>
        <w:spacing w:after="120" w:before="260"/>
      </w:pPr>
      <w:r>
        <w:rPr>
          <w:b/>
          <w:bCs/>
        </w:rPr>
        <w:t xml:space="preserve">REGRAS GERAIS DE INTERFACE E INTERAÇÃO COM O USUÁRIO</w:t>
      </w:r>
    </w:p>
    <w:p>
      <w:pPr>
        <w:spacing w:after="140" w:line="300" w:lineRule="auto"/>
        <w:jc w:val="both"/>
      </w:pPr>
      <w:r>
        <w:rPr>
          <w:b w:val="false"/>
          <w:bCs w:val="false"/>
        </w:rPr>
        <w:t xml:space="preserve">Estas regras se aplicam a todos os itens de análise descritos neste documento:</w:t>
      </w:r>
    </w:p>
    <w:p>
      <w:pPr>
        <w:spacing w:after="140" w:line="300" w:lineRule="auto"/>
        <w:jc w:val="both"/>
      </w:pPr>
      <w:r>
        <w:rPr>
          <w:b/>
          <w:bCs/>
        </w:rPr>
        <w:t xml:space="preserve">Campos de cadastro:</w:t>
      </w:r>
      <w:r>
        <w:rPr>
          <w:b w:val="false"/>
          <w:bCs w:val="false"/>
        </w:rPr>
        <w:t xml:space="preserve"> o sistema deve ter no início um campo de cadastro para inclusão dos dados do emissor do TR: Classificação* (Estado ou Município); Nome do ente*; UF*; Nome completo do responsável*; cargo*; telefone; e-mail*. Deve ser obrigatório o preenchimento de todos os campos marcados com *. O campo UF deve ser do tipo lista suspensa com a relação de todas as UFs do Brasil em ordem alfabética.</w:t>
      </w:r>
    </w:p>
    <w:p>
      <w:pPr>
        <w:shd w:fill="F2F2F2" w:val="clear"/>
        <w:spacing w:after="140" w:line="300" w:lineRule="auto"/>
        <w:jc w:val="both"/>
      </w:pPr>
      <w:r>
        <w:rPr>
          <w:i/>
          <w:iCs/>
          <w:sz w:val="20"/>
          <w:szCs w:val="20"/>
        </w:rPr>
        <w:t xml:space="preserve">Nota de revisão: o campo "cidade", presente na versão original deste documento, foi removido. Para Município, o nome do ente já identifica a cidade; para Estado, o campo não tinha aplicação clara. Caso surja necessidade futura de registrar uma cidade específica (ex.: sede de órgão estadual), o campo poderá ser reintroduzido de forma opcional.</w:t>
      </w:r>
    </w:p>
    <w:p>
      <w:pPr>
        <w:spacing w:after="140" w:line="300" w:lineRule="auto"/>
        <w:jc w:val="both"/>
      </w:pPr>
      <w:r>
        <w:rPr>
          <w:b/>
          <w:bCs/>
        </w:rPr>
        <w:t xml:space="preserve">Objeto do TR:</w:t>
      </w:r>
      <w:r>
        <w:rPr>
          <w:b w:val="false"/>
          <w:bCs w:val="false"/>
        </w:rPr>
        <w:t xml:space="preserve"> o sistema deve ter um campo "Objeto" para que o usuário indique qual objeto de TR será analisado, para que o sistema busque e utilize a base do que deve ser analisado de acordo com cada objeto. Nesta versão, o campo deve trazer somente a opção "Securitização", e o sistema implementa exclusivamente as regras de análise para esse objeto, sem qualquer camada de abstração para múltiplos objetos. Caso no futuro sejam configurados outros objetos de análise, essa generalização deverá ser construída nesse momento.</w:t>
      </w:r>
    </w:p>
    <w:p>
      <w:pPr>
        <w:spacing w:after="140" w:line="300" w:lineRule="auto"/>
        <w:jc w:val="both"/>
      </w:pPr>
      <w:r>
        <w:rPr>
          <w:b/>
          <w:bCs/>
        </w:rPr>
        <w:t xml:space="preserve">Campos digitáveis obrigatórios:</w:t>
      </w:r>
      <w:r>
        <w:rPr>
          <w:b w:val="false"/>
          <w:bCs w:val="false"/>
        </w:rPr>
        <w:t xml:space="preserve"> devem aparecer diretamente na tela, sem necessidade de ação do usuário para exibi-los. O sistema não deve permitir salvar a análise nem gerar o relatório final enquanto esses campos não estiverem preenchidos.</w:t>
      </w:r>
    </w:p>
    <w:p>
      <w:pPr>
        <w:spacing w:after="140" w:line="300" w:lineRule="auto"/>
        <w:jc w:val="both"/>
      </w:pPr>
      <w:r>
        <w:rPr>
          <w:b/>
          <w:bCs/>
        </w:rPr>
        <w:t xml:space="preserve">Campos digitáveis não obrigatórios:</w:t>
      </w:r>
      <w:r>
        <w:rPr>
          <w:b w:val="false"/>
          <w:bCs w:val="false"/>
        </w:rPr>
        <w:t xml:space="preserve"> devem ser apresentados como um botão com o rótulo "Incluir justificativa / comentário". Ao clicar no botão, o campo digitável é exibido para preenchimento opcional.</w:t>
      </w:r>
    </w:p>
    <w:p>
      <w:pPr>
        <w:spacing w:after="140" w:line="300" w:lineRule="auto"/>
        <w:jc w:val="both"/>
      </w:pPr>
      <w:r>
        <w:rPr>
          <w:b/>
          <w:bCs/>
        </w:rPr>
        <w:t xml:space="preserve">Ciência do usuário:</w:t>
      </w:r>
      <w:r>
        <w:rPr>
          <w:b w:val="false"/>
          <w:bCs w:val="false"/>
        </w:rPr>
        <w:t xml:space="preserve"> sempre que o sistema solicitar a ciência do usuário sobre um achado, essa ciência é obrigatória, devendo haver um mecanismo explícito de confirmação (por exemplo, um botão ou checkbox com o texto "Estou ciente").</w:t>
      </w:r>
    </w:p>
    <w:p>
      <w:pPr>
        <w:spacing w:after="140" w:line="300" w:lineRule="auto"/>
        <w:jc w:val="both"/>
      </w:pPr>
      <w:r>
        <w:rPr>
          <w:b/>
          <w:bCs/>
        </w:rPr>
        <w:t xml:space="preserve">Validação para salvar e para gerar o relatório:</w:t>
      </w:r>
      <w:r>
        <w:rPr>
          <w:b w:val="false"/>
          <w:bCs w:val="false"/>
        </w:rPr>
        <w:t xml:space="preserve"> o preenchimento de todos os campos obrigatórios e a confirmação de todas as ciências solicitadas são condição tanto para salvar a análise quanto para gerar o relatório final em PDF. Enquanto houver qualquer pendência, os botões de salvar e de gerar relatório devem permanecer bloqueados, com indicação clara ao usuário do que ainda falta preencher ou confirmar.</w:t>
      </w:r>
    </w:p>
    <w:p>
      <w:pPr>
        <w:spacing w:after="140" w:line="300" w:lineRule="auto"/>
        <w:jc w:val="both"/>
      </w:pPr>
      <w:r>
        <w:rPr>
          <w:b/>
          <w:bCs/>
        </w:rPr>
        <w:t xml:space="preserve">Apresentação dos itens:</w:t>
      </w:r>
      <w:r>
        <w:rPr>
          <w:b w:val="false"/>
          <w:bCs w:val="false"/>
        </w:rPr>
        <w:t xml:space="preserve"> todos os itens de análise (1 a 8, descritos adiante) são apresentados simultaneamente em tela após o processamento do TR — não há liberação sequencial item a item.</w:t>
      </w:r>
    </w:p>
    <w:p>
      <w:pPr>
        <w:spacing w:after="140" w:line="300" w:lineRule="auto"/>
        <w:jc w:val="both"/>
      </w:pPr>
      <w:r>
        <w:rPr>
          <w:b/>
          <w:bCs/>
        </w:rPr>
        <w:t xml:space="preserve">Relatório final em PDF:</w:t>
      </w:r>
      <w:r>
        <w:rPr>
          <w:b w:val="false"/>
          <w:bCs w:val="false"/>
        </w:rPr>
        <w:t xml:space="preserve"> após o preenchimento de todos os campos e ciências obrigatórias, o sistema deve gerar um relatório em PDF contendo todos os apontamentos realizados pelo sistema, as ciências registradas pelo usuário, e o conteúdo inserido pelo usuário nos campos digitáveis. O nome do usuário logado deve constar no rodapé de cada página do relatório, acompanhado de data e horário no formato DD/MM/AAAA HH:MM.</w:t>
      </w:r>
    </w:p>
    <w:p>
      <w:pPr>
        <w:shd w:fill="F2F2F2" w:val="clear"/>
        <w:spacing w:after="140" w:line="300" w:lineRule="auto"/>
        <w:jc w:val="both"/>
      </w:pPr>
      <w:r>
        <w:rPr>
          <w:i/>
          <w:iCs/>
          <w:sz w:val="20"/>
          <w:szCs w:val="20"/>
        </w:rPr>
        <w:t xml:space="preserve">Nota de revisão: como o módulo de autenticação/login ainda não foi implementado, o rodapé do relatório usará nesta fase um espaço reservado ("Usuário: [a definir]") no lugar do nome do usuário logado. O campo será conectado ao usuário autenticado assim que esse módulo existir.</w:t>
      </w:r>
    </w:p>
    <w:p>
      <w:pPr>
        <w:spacing w:after="140" w:line="300" w:lineRule="auto"/>
        <w:jc w:val="both"/>
      </w:pPr>
      <w:r>
        <w:rPr>
          <w:b w:val="false"/>
          <w:bCs w:val="false"/>
        </w:rPr>
        <w:t xml:space="preserve">O sistema deverá armazenar todos os apontamentos, comentários, justificativas e ciências para consulta em tela ao abrir um cadastro.</w:t>
      </w:r>
    </w:p>
    <w:p>
      <w:pPr>
        <w:spacing w:after="140" w:line="300" w:lineRule="auto"/>
        <w:jc w:val="both"/>
      </w:pPr>
      <w:r>
        <w:rPr>
          <w:b/>
          <w:bCs/>
        </w:rPr>
        <w:t xml:space="preserve">Criação de usuários:</w:t>
      </w:r>
      <w:r>
        <w:rPr>
          <w:b w:val="false"/>
          <w:bCs w:val="false"/>
        </w:rPr>
        <w:t xml:space="preserve"> o sistema deverá permitir a criação de usuários com regras de permissões distintas — usuários que podem editar os comentários e ciências após serem salvos e remover cadastros, e usuários que somente utilizarão a ferramenta para cadastro e análise.</w:t>
      </w:r>
    </w:p>
    <w:p>
      <w:pPr>
        <w:pStyle w:val="Heading2"/>
        <w:spacing w:after="120" w:before="260"/>
      </w:pPr>
      <w:r>
        <w:rPr>
          <w:b/>
          <w:bCs/>
        </w:rPr>
        <w:t xml:space="preserve">ITENS DE ANÁLISE</w:t>
      </w:r>
    </w:p>
    <w:p>
      <w:pPr>
        <w:pStyle w:val="Heading2"/>
        <w:spacing w:after="120" w:before="260"/>
      </w:pPr>
      <w:r>
        <w:rPr>
          <w:b/>
          <w:bCs/>
        </w:rPr>
        <w:t xml:space="preserve">1. OBJETO / CONDIÇÕES GERAIS DE CONTRATAÇÃO</w:t>
      </w:r>
    </w:p>
    <w:p>
      <w:pPr>
        <w:spacing w:after="140" w:line="300" w:lineRule="auto"/>
        <w:jc w:val="both"/>
      </w:pPr>
      <w:r>
        <w:rPr>
          <w:b w:val="false"/>
          <w:bCs w:val="false"/>
        </w:rPr>
        <w:t xml:space="preserve">O sistema deve analisar semanticamente o TR para verificar se a descrição do objeto da contratação está alinhada ao escopo esperado para um serviço de assessoria em securitização de dívida ativa. Os elementos que devem estar presentes, de forma direta ou equivalente, são os seguintes: contratação de instituição para realização de estudos técnicos e financeiros para fortalecimento das capacidades orçamentárias e financeiras do ente público; estudos para elaboração de minuta de projeto de lei, decreto regulamentador e regimento interno do fundo especial; levantamento de créditos tributários e não tributários inadimplidos; estruturação de modelo para cessão de fluxos no mercado de capitais; assessoria nos processos licitatórios; estudos para elaboração de minutas de edital, termo de referência e anexos; e atuação no relacionamento com instituição financeira.</w:t>
      </w:r>
    </w:p>
    <w:p>
      <w:pPr>
        <w:spacing w:after="140" w:line="300" w:lineRule="auto"/>
        <w:jc w:val="both"/>
      </w:pPr>
      <w:r>
        <w:rPr>
          <w:b/>
          <w:bCs/>
        </w:rPr>
        <w:t xml:space="preserve">Regra de apresentação:</w:t>
      </w:r>
    </w:p>
    <w:p>
      <w:pPr>
        <w:spacing w:after="140" w:line="300" w:lineRule="auto"/>
        <w:jc w:val="both"/>
      </w:pPr>
      <w:r>
        <w:rPr>
          <w:b w:val="false"/>
          <w:bCs w:val="false"/>
        </w:rPr>
        <w:t xml:space="preserve">Se o sistema identificar diferenças substanciais entre o objeto descrito no TR e os elementos acima — ou seja, se a descrição do objeto se afastar de forma relevante do escopo esperado de um serviço de securitização — deve apresentar em tela os achados de forma detalhada, solicitar a ciência obrigatória do usuário e exibir um campo digitável de preenchimento obrigatório para que o usuário registre uma observação ou justificativa.</w:t>
      </w:r>
    </w:p>
    <w:p>
      <w:pPr>
        <w:spacing w:after="140" w:line="300" w:lineRule="auto"/>
        <w:jc w:val="both"/>
      </w:pPr>
      <w:r>
        <w:rPr>
          <w:b w:val="false"/>
          <w:bCs w:val="false"/>
        </w:rPr>
        <w:t xml:space="preserve">Se o objeto estiver alinhado aos elementos esperados, o sistema deve registrar que o objeto está condizente com o escopo do serviço, sem necessidade de ciência ou de qualquer ação adicional do usuário neste item.</w:t>
      </w:r>
    </w:p>
    <w:p>
      <w:pPr>
        <w:pStyle w:val="Heading2"/>
        <w:spacing w:after="120" w:before="260"/>
      </w:pPr>
      <w:r>
        <w:rPr>
          <w:b/>
          <w:bCs/>
        </w:rPr>
        <w:t xml:space="preserve">2. PRAZO DE VIGÊNCIA</w:t>
      </w:r>
    </w:p>
    <w:p>
      <w:pPr>
        <w:spacing w:after="140" w:line="300" w:lineRule="auto"/>
        <w:jc w:val="both"/>
      </w:pPr>
      <w:r>
        <w:rPr>
          <w:b w:val="false"/>
          <w:bCs w:val="false"/>
        </w:rPr>
        <w:t xml:space="preserve">O sistema deve localizar e apresentar em tela o prazo de vigência do contrato descrito no TR, independentemente de como esteja redigido (prazo de duração, período de execução, vigência contratual, etc.). Em seguida, deve solicitar a ciência obrigatória do usuário e apresentar botão para inclusão de observação não obrigatória.</w:t>
      </w:r>
    </w:p>
    <w:p>
      <w:pPr>
        <w:spacing w:after="140" w:line="300" w:lineRule="auto"/>
        <w:jc w:val="both"/>
      </w:pPr>
      <w:r>
        <w:rPr>
          <w:b w:val="false"/>
          <w:bCs w:val="false"/>
        </w:rPr>
        <w:t xml:space="preserve">O sistema também deve verificar se o TR contém alguma previsão sobre a possibilidade de prorrogação do contrato. Deve apresentar em tela se essa previsão existe ou não e qual é a previsão, solicitar a ciência obrigatória do usuário e apresentar botão para inclusão de observação não obrigatória.</w:t>
      </w:r>
    </w:p>
    <w:p>
      <w:pPr>
        <w:pStyle w:val="Heading2"/>
        <w:spacing w:after="120" w:before="260"/>
      </w:pPr>
      <w:r>
        <w:rPr>
          <w:b/>
          <w:bCs/>
        </w:rPr>
        <w:t xml:space="preserve">3. FUNDAMENTAÇÃO E DESCRIÇÃO DA NECESSIDADE DE CONTRATAÇÃO</w:t>
      </w:r>
    </w:p>
    <w:p>
      <w:pPr>
        <w:spacing w:after="140" w:line="300" w:lineRule="auto"/>
        <w:jc w:val="both"/>
      </w:pPr>
      <w:r>
        <w:rPr>
          <w:b w:val="false"/>
          <w:bCs w:val="false"/>
        </w:rPr>
        <w:t xml:space="preserve">O sistema deve analisar semanticamente o trecho do TR que trata da fundamentação e descrição da necessidade de contratação, verificando dois aspectos: (a) se o conteúdo é condizente com o objeto (ou seja, se justifica adequadamente a contratação de assessoria para securitização); e (b) se há referência à Lei Complementar nº 208/2024 (que alterou a Lei nº 4.320/64 e criou o marco legal da securitização pública) e ao artigo 75, inciso XV, da Lei Federal nº 14.133/2021 (que trata da dispensa de licitação para esse tipo de serviço).</w:t>
      </w:r>
    </w:p>
    <w:p>
      <w:pPr>
        <w:spacing w:after="140" w:line="300" w:lineRule="auto"/>
        <w:jc w:val="both"/>
      </w:pPr>
      <w:r>
        <w:rPr>
          <w:b/>
          <w:bCs/>
        </w:rPr>
        <w:t xml:space="preserve">Regras específicas para o aspecto (b) — referência legal:</w:t>
      </w:r>
    </w:p>
    <w:p>
      <w:pPr>
        <w:pStyle w:val="ListParagraph"/>
        <w:numPr>
          <w:ilvl w:val="0"/>
          <w:numId w:val="1"/>
        </w:numPr>
        <w:spacing w:after="80" w:line="300" w:lineRule="auto"/>
        <w:jc w:val="both"/>
      </w:pPr>
      <w:r>
        <w:t xml:space="preserve">Se o TR citar literalmente o número da lei e do artigo/inciso (ex.: "LC nº 208/2024", "art. 75, XV, da Lei nº 14.133/2021"), o sistema deve validar esse aspecto automaticamente, sem necessidade de ciência do usuário.</w:t>
      </w:r>
    </w:p>
    <w:p>
      <w:pPr>
        <w:pStyle w:val="ListParagraph"/>
        <w:numPr>
          <w:ilvl w:val="0"/>
          <w:numId w:val="1"/>
        </w:numPr>
        <w:spacing w:after="80" w:line="300" w:lineRule="auto"/>
        <w:jc w:val="both"/>
      </w:pPr>
      <w:r>
        <w:t xml:space="preserve">Se o TR fizer referência inequívoca ao mesmo conteúdo legal, porém sem citar o número da lei ou do artigo de forma literal, o sistema deve apresentar o achado em tela para validação do usuário, solicitando a ciência obrigatória e exibindo campo digitável não obrigatório para comentário.</w:t>
      </w:r>
    </w:p>
    <w:p>
      <w:pPr>
        <w:pStyle w:val="ListParagraph"/>
        <w:numPr>
          <w:ilvl w:val="0"/>
          <w:numId w:val="1"/>
        </w:numPr>
        <w:spacing w:after="80" w:line="300" w:lineRule="auto"/>
        <w:jc w:val="both"/>
      </w:pPr>
      <w:r>
        <w:t xml:space="preserve">Se nenhuma referência — literal ou equivalente — for identificada, esse aspecto é considerado ausente.</w:t>
      </w:r>
    </w:p>
    <w:p>
      <w:pPr>
        <w:spacing w:after="140" w:line="300" w:lineRule="auto"/>
        <w:jc w:val="both"/>
      </w:pPr>
      <w:r>
        <w:rPr>
          <w:b/>
          <w:bCs/>
        </w:rPr>
        <w:t xml:space="preserve">Regra de apresentação geral do item:</w:t>
      </w:r>
    </w:p>
    <w:p>
      <w:pPr>
        <w:spacing w:after="140" w:line="300" w:lineRule="auto"/>
        <w:jc w:val="both"/>
      </w:pPr>
      <w:r>
        <w:rPr>
          <w:b w:val="false"/>
          <w:bCs w:val="false"/>
        </w:rPr>
        <w:t xml:space="preserve">Se o aspecto (a) estiver condizente e o aspecto (b) tiver sido validado como presente (automaticamente pelo sistema ou pelo usuário), o sistema deve apresentar em tela que a fundamentação e a descrição da necessidade de contratação estão adequadas.</w:t>
      </w:r>
    </w:p>
    <w:p>
      <w:pPr>
        <w:spacing w:after="140" w:line="300" w:lineRule="auto"/>
        <w:jc w:val="both"/>
      </w:pPr>
      <w:r>
        <w:rPr>
          <w:b w:val="false"/>
          <w:bCs w:val="false"/>
        </w:rPr>
        <w:t xml:space="preserve">Se o aspecto (a) não estiver condizente, ou se o aspecto (b) não for identificado de nenhuma forma (nem literal, nem equivalente), o sistema deve informar que a fundamentação não está adequada, apresentar uma justificativa indicando o que está ausente ou inadequado, solicitar a ciência obrigatória do usuário e exibir campo digitável não obrigatório para inclusão de observação.</w:t>
      </w:r>
    </w:p>
    <w:p>
      <w:pPr>
        <w:pStyle w:val="Heading2"/>
        <w:spacing w:after="120" w:before="260"/>
      </w:pPr>
      <w:r>
        <w:rPr>
          <w:b/>
          <w:bCs/>
        </w:rPr>
        <w:t xml:space="preserve">4. ETAPAS DA PRESTAÇÃO DOS SERVIÇOS</w:t>
      </w:r>
    </w:p>
    <w:p>
      <w:pPr>
        <w:spacing w:after="140" w:line="300" w:lineRule="auto"/>
        <w:jc w:val="both"/>
      </w:pPr>
      <w:r>
        <w:rPr>
          <w:b w:val="false"/>
          <w:bCs w:val="false"/>
        </w:rPr>
        <w:t xml:space="preserve">O sistema deve analisar semanticamente as etapas da prestação dos serviços descritas no TR e compará-las com as etapas de referência descritas abaixo. A comparação deve verificar eventuais divergências no conteúdo de cada etapa e na ordem em que aparecem.</w:t>
      </w:r>
    </w:p>
    <w:p>
      <w:pPr>
        <w:spacing w:after="140" w:line="300" w:lineRule="auto"/>
        <w:jc w:val="both"/>
      </w:pPr>
      <w:r>
        <w:rPr>
          <w:b w:val="false"/>
          <w:bCs w:val="false"/>
        </w:rPr>
        <w:t xml:space="preserve">Os resultados devem ser apresentados em tela separados por etapa. Em caso de divergência identificada em uma etapa, ao final dessa etapa o sistema deve solicitar a ciência obrigatória do usuário e exibir campo digitável de preenchimento obrigatório. Caso não sejam encontradas divergências em uma etapa, o sistema deve apenas registrar que não foram encontradas divergências naquela etapa.</w:t>
      </w:r>
    </w:p>
    <w:p>
      <w:pPr>
        <w:shd w:fill="F2F2F2" w:val="clear"/>
        <w:spacing w:after="140" w:line="300" w:lineRule="auto"/>
        <w:jc w:val="both"/>
      </w:pPr>
      <w:r>
        <w:rPr>
          <w:i/>
          <w:iCs/>
          <w:sz w:val="20"/>
          <w:szCs w:val="20"/>
        </w:rPr>
        <w:t xml:space="preserve">Nota para o sistema: o conteúdo descritivo das etapas abaixo deve ser utilizado como referência fiel para a comparação com o que constar no TR analisado. Na descrição das etapas a seguir é utilizado o termo "contratante"; no TR a ser analisado poderá constar, em substituição a esse termo, algo como "do Estado de São Paulo" ou "do Município de Jundiaí" — isso não deve ser interpretado como erro, e sim como uma simples especificação a depender de cada ente.</w:t>
      </w:r>
    </w:p>
    <w:p>
      <w:pPr>
        <w:pStyle w:val="Heading2"/>
        <w:spacing w:after="120" w:before="260"/>
      </w:pPr>
      <w:r>
        <w:rPr>
          <w:b/>
          <w:bCs/>
        </w:rPr>
        <w:t xml:space="preserve">ETAPA 1:</w:t>
      </w:r>
    </w:p>
    <w:p>
      <w:pPr>
        <w:spacing w:after="140" w:line="300" w:lineRule="auto"/>
        <w:jc w:val="both"/>
      </w:pPr>
      <w:r>
        <w:rPr>
          <w:b w:val="false"/>
          <w:bCs w:val="false"/>
        </w:rPr>
        <w:t xml:space="preserve">Levantamento e sistematização de toda a base legal e normativa aplicável à securitização de créditos públicos; 1.1. Análise da aderência da legislação local à legislação federal vigente; 1.2. Identificação de possíveis lacunas ou necessidade de regulamentação local; 1.3. Apresentação de relatório final consolidado contendo todas as análises realizadas; e 1.4. Reuniões de apresentação e esclarecimento junto à equipe técnica do órgão/entidade.</w:t>
      </w:r>
    </w:p>
    <w:p>
      <w:pPr>
        <w:spacing w:after="140" w:line="300" w:lineRule="auto"/>
        <w:jc w:val="both"/>
      </w:pPr>
      <w:r>
        <w:rPr>
          <w:b w:val="false"/>
          <w:bCs w:val="false"/>
        </w:rPr>
        <w:t xml:space="preserve">Estudos e pesquisas para auxiliar o Estado na elaboração de: 2.1. minuta de projeto de lei para a realização de operação de securitização, considerando a necessária autorização legislativa, a autorização para a contratação de instituição do sistema financeiro nacional para a realização da operação, a criação da estrutura jurídico legal interna para o gerenciamento e transparência do processo, com o isolamento contábil e financeiro em fundo especial previsto nos artigos 71 a 74 da Lei nº 4.320/64, considerando, ainda, a abertura de rubricas orçamentárias necessárias para a contabilização de todo o procedimento; 2.2. minuta com justificativas para encaminhamento do projeto de lei para a Câmara Estadual; 2.3. minuta de decreto regulamentador detalhando a operação e considerando todos os pontos abordados no item "iii" acima; 2.4. minuta de regimento interno do fundo especial, com todo o detalhamento necessário para atender a legislação vigente, desde a constituição do conselho de gestão até a prestação de contas para o Estado, para o legislativo e o controle externo, com a máxima transparência.</w:t>
      </w:r>
    </w:p>
    <w:p>
      <w:pPr>
        <w:spacing w:after="140" w:line="300" w:lineRule="auto"/>
        <w:jc w:val="both"/>
      </w:pPr>
      <w:r>
        <w:rPr>
          <w:b w:val="false"/>
          <w:bCs w:val="false"/>
        </w:rPr>
        <w:t xml:space="preserve">Apresentação do escopo de extração de dados necessários aos estudos e às análises, dos créditos de natureza tributária e/ou não tributária da contratante, assim como em relação aos fluxos financeiros oriundos dessas carteiras, esclarecer as dúvidas sobre os créditos e o fluxo financeiro, inclusive sobre a legislação, processos e estruturas existentes; 3.1. Planejamento e Coleta de Dados, incluindo o alinhamento entre as equipes da Instituição e do Estado; 3.2. Realizar reunião inicial entre as equipes da Instituição e da contratante, a fim de realizar o desenvolvimento das seguintes atividades: i. Receber e detalhar os dados dos ativos e da contratante, analisando a consistência e esclarecendo dúvidas sobre eles, inclusive sobre a legislação, processos e estruturas existentes que envolvam os mesmos; ii. Receber e analisar os dados dos recebíveis provenientes dos ativos do Estado, incluindo a carteira de inadimplentes e sua composição, e os fluxos financeiros decorrentes da recuperação de tais carteiras nos últimos 10 (dez) anos; e iii. Receber e analisar os dados dos projetos com necessidade de captação de recursos, valores estimados e prioridades. 3.3. Análise de dados dos fluxos dos recebíveis provenientes dos créditos de natureza tributária e/ou não tributária e da contratante, incluindo a carteira de inadimplentes e sua composição, com objetivo de definir e apresentar os valores e metas de prazos para emissão de ativos financeiros de natureza sênior, mezanino e subordinada; a. Apresentação de estimativa de valores para cada classe de ativos a serem emitidos com o processo de securitização, através da análise dos fluxos de recebíveis provenientes dos créditos, conforme descrito no item b. b. Realização de estudos de aderência dos ativos do Estado às regras do Sistema Financeiro Nacional e normas CVM - Comissão de Valores Mobiliários, com o objetivo de orientar as tomadas de decisão e da contratante.</w:t>
      </w:r>
    </w:p>
    <w:p>
      <w:pPr>
        <w:spacing w:after="140" w:line="300" w:lineRule="auto"/>
        <w:jc w:val="both"/>
      </w:pPr>
      <w:r>
        <w:rPr>
          <w:b w:val="false"/>
          <w:bCs w:val="false"/>
        </w:rPr>
        <w:t xml:space="preserve">Emissão de relatórios dos fluxos financeiros e dos créditos de natureza tributária e/ou não tributária e da contratante, segmentando-os de acordo com a utilidade pretendida, atendendo às normas do Sistema Financeiro Nacional; 4.1. Emissão de relatórios contemplando o plano de uso dos direitos creditórios de natureza tributária e/ou não tributária e da contratante, incluindo as necessidades de lei e regulamentos infralegais para o uso ou cessão destes créditos: 4.2. Apresentação inicial de estudos para definição dos ativos financeiros, a fim de auxiliar a contratante a definir a linha de utilização que entender ser mais benéfica para a Administração, através da compilação dos documentos finais, apresentação e entrega dos resultados.</w:t>
      </w:r>
    </w:p>
    <w:p>
      <w:pPr>
        <w:pStyle w:val="Heading2"/>
        <w:spacing w:after="120" w:before="260"/>
      </w:pPr>
      <w:r>
        <w:rPr>
          <w:b/>
          <w:bCs/>
        </w:rPr>
        <w:t xml:space="preserve">ETAPA 2:</w:t>
      </w:r>
    </w:p>
    <w:p>
      <w:pPr>
        <w:spacing w:after="140" w:line="300" w:lineRule="auto"/>
        <w:jc w:val="both"/>
      </w:pPr>
      <w:r>
        <w:rPr>
          <w:b w:val="false"/>
          <w:bCs w:val="false"/>
        </w:rPr>
        <w:t xml:space="preserve">Apresentação de estudos e sugestão de modelagem completa para licitação para contratação de Instituição Financeira e/ou Instituição do Sistema financeiro, que irá realizar a cessão dos fluxos de créditos e fluxos financeiros de natureza tributária e/ou não tributária, incluindo minutas de Estudo Técnico Preliminar, Termo de Referência e Edital, a fim de permitir o uso destes recursos em prol do desenvolvimento local. 5.1. Apresentação de estudos e relatórios sobre o Processo Licitatório para a contratação de Instituição Financeira e/ou Instituição do Sistema Financeiro. 5.2. Realização de estudos para apoiar a contratante, na estruturação do mapeamento integrado das necessidades de investimentos, carteira de ativos disponíveis, classificação dos ativos disponíveis e sugestão da melhor e mais eficaz destinação dos ativos financeiros emitidos;</w:t>
      </w:r>
    </w:p>
    <w:p>
      <w:pPr>
        <w:spacing w:after="140" w:line="300" w:lineRule="auto"/>
        <w:jc w:val="both"/>
      </w:pPr>
      <w:r>
        <w:rPr>
          <w:b w:val="false"/>
          <w:bCs w:val="false"/>
        </w:rPr>
        <w:t xml:space="preserve">Realização de estudos de aderência dos ativos e da contratante, em especial o fluxo financeiro histórico recebido, abrangendo as informações acerca dos créditos que foram recebidos administrativamente antes da inscrição em dívida ativa, assim como após a inscrição, incluindo, os créditos que foram recebidos após a inscrição e ajuizados. 6.1. Realização de estudos e pesquisas a fim de sugerir os procedimentos necessários para a contratação de agência para classificação de risco e da contratante e dos ativos a serem gerados, denominado Rating, a fim de determinar o prêmio de risco e precificação dos ativos, e de instituição financeira credenciada ao BACEN para as atividades necessárias a fim de distribuí-los no mercado de capitais, incluindo a qualificação dos dados corporativos (relatórios de gestão fiscal, contabilidade e controle interno do Estado) e treinamento da equipe de gestão do Estado para as entrevistas que a agência de rating realizará para estabelecimento da capacidade de gestão. 6.2. Emissão de relatório com sugestão de modelagem de estruturação dos ativos da contratante, considerando os que possam se tornar instrumentos financeiros a fim de serem distribuídos no mercado de capitais, incluindo os tipos de instrumentos e formas de colocação e/ou distribuição, seguindo as regras do Sistema Financeiro Nacional - SFN, em especial aquelas da Comissão de Valores Mobiliários - CVM; 6.3. Apresentação de relatório com sugestões de "prêmio de risco" de acordo com as agências de rating a serem apresentadas à contratante; 6.4. Elaboração de estudos para embasar o Estado no desenvolvimento de minutas de projeto de lei e regulamentações, conforme orientações e definições apresentadas pelo ente, considerando os estudos e pesquisas realizadas durante a execução do objeto;</w:t>
      </w:r>
    </w:p>
    <w:p>
      <w:pPr>
        <w:pStyle w:val="Heading2"/>
        <w:spacing w:after="120" w:before="260"/>
      </w:pPr>
      <w:r>
        <w:rPr>
          <w:b/>
          <w:bCs/>
        </w:rPr>
        <w:t xml:space="preserve">ETAPA 3:</w:t>
      </w:r>
    </w:p>
    <w:p>
      <w:pPr>
        <w:spacing w:after="140" w:line="300" w:lineRule="auto"/>
        <w:jc w:val="both"/>
      </w:pPr>
      <w:r>
        <w:rPr>
          <w:b w:val="false"/>
          <w:bCs w:val="false"/>
        </w:rPr>
        <w:t xml:space="preserve">Apresentação de relatório com estudos, embasamento e opiniões, apresentando comparativos entre os estudos realizados na Etapa 1 e as atividades que estiverem sendo desenvolvidas pela Instituição Financeira e/ou Instituição do Sistema Financeiro, bem como realizar menção aos dados e condições atualizados para emissão.</w:t>
      </w:r>
    </w:p>
    <w:p>
      <w:pPr>
        <w:spacing w:after="140" w:line="300" w:lineRule="auto"/>
        <w:jc w:val="both"/>
      </w:pPr>
      <w:r>
        <w:rPr>
          <w:b w:val="false"/>
          <w:bCs w:val="false"/>
        </w:rPr>
        <w:t xml:space="preserve">Realização de apoio ao Estado com o intuito de tornar mais eficiente o processo de cobrança, contemplando: 8.1. Treinamento e capacitação dos funcionários das diferentes áreas ligadas ao processo de cobrança; 8.2. Levantamento e análise dos procedimentos e a proposição de uma rotina mais racional e simplificada nas distintas fases de cobrança: antes da inscrição em dívida ativa, após a inscrição em dívida ativa e após o ajuizamento da ação de cobrança; 8.3. Análise, correção e enriquecimento das bases de dados e cadastros de devedores e dos débitos, com adoção de novas ferramentas de comunicação com o contribuinte.</w:t>
      </w:r>
    </w:p>
    <w:p>
      <w:pPr>
        <w:spacing w:after="140" w:line="300" w:lineRule="auto"/>
        <w:jc w:val="both"/>
      </w:pPr>
      <w:r>
        <w:rPr>
          <w:b w:val="false"/>
          <w:bCs w:val="false"/>
        </w:rPr>
        <w:t xml:space="preserve">Emissão de relatório com todas as atividades desenvolvidas no âmbito das atividades, com as sugestões de processos de acordo com os objetivos acima elencados.</w:t>
      </w:r>
    </w:p>
    <w:p>
      <w:pPr>
        <w:pStyle w:val="Heading2"/>
        <w:spacing w:after="120" w:before="260"/>
      </w:pPr>
      <w:r>
        <w:rPr>
          <w:b/>
          <w:bCs/>
        </w:rPr>
        <w:t xml:space="preserve">5. ORDEM DE SERVIÇO</w:t>
      </w:r>
    </w:p>
    <w:p>
      <w:pPr>
        <w:spacing w:after="140" w:line="300" w:lineRule="auto"/>
        <w:jc w:val="both"/>
      </w:pPr>
      <w:r>
        <w:rPr>
          <w:b w:val="false"/>
          <w:bCs w:val="false"/>
        </w:rPr>
        <w:t xml:space="preserve">O sistema deve identificar no TR a existência de item que trate sobre a emissão de ordem de serviço para início dos trabalhos, incluindo o prazo para sua emissão pelo contratante e o prazo para início dos trabalhos pela contratada após o recebimento. O sistema deve apresentar os achados em tela, solicitar a ciência obrigatória do usuário e apresentar botão para inclusão de observação não obrigatória.</w:t>
      </w:r>
    </w:p>
    <w:p>
      <w:pPr>
        <w:spacing w:after="140" w:line="300" w:lineRule="auto"/>
        <w:jc w:val="both"/>
      </w:pPr>
      <w:r>
        <w:rPr>
          <w:b w:val="false"/>
          <w:bCs w:val="false"/>
        </w:rPr>
        <w:t xml:space="preserve">Adicionalmente, o sistema deve identificar e alertar caso o TR contenha previsão de que a contratada deva aguardar a emissão de uma nova ordem de serviço para avançar de uma etapa para a seguinte, bem como qualquer condicionamento que vincule a emissão dessa nova ordem de serviço à aprovação formal da etapa anterior pela contratante. Trata-se de um ponto de risco relevante para a contratada, pois pode impactar o cronograma e o fluxo de faturamento. Caso seja identificado, o sistema deve solicitar a ciência obrigatória do usuário e exibir campo digitável de preenchimento obrigatório.</w:t>
      </w:r>
    </w:p>
    <w:p>
      <w:pPr>
        <w:pStyle w:val="Heading2"/>
        <w:spacing w:after="120" w:before="260"/>
      </w:pPr>
      <w:r>
        <w:rPr>
          <w:b/>
          <w:bCs/>
        </w:rPr>
        <w:t xml:space="preserve">6. GARANTIA CONTRATUAL</w:t>
      </w:r>
    </w:p>
    <w:p>
      <w:pPr>
        <w:spacing w:after="140" w:line="300" w:lineRule="auto"/>
        <w:jc w:val="both"/>
      </w:pPr>
      <w:r>
        <w:rPr>
          <w:b w:val="false"/>
          <w:bCs w:val="false"/>
        </w:rPr>
        <w:t xml:space="preserve">O sistema deve verificar se o TR exige da contratada a prestação de alguma garantia contratual (também chamada de caução ou garantia de execução). Trata-se de uma exigência que obriga a contratada a depositar ou apresentar algum tipo de garantia financeira como condição para assinatura do contrato.</w:t>
      </w:r>
    </w:p>
    <w:p>
      <w:pPr>
        <w:spacing w:after="140" w:line="300" w:lineRule="auto"/>
        <w:jc w:val="both"/>
      </w:pPr>
      <w:r>
        <w:rPr>
          <w:b w:val="false"/>
          <w:bCs w:val="false"/>
        </w:rPr>
        <w:t xml:space="preserve">Se for identificada a exigência de garantia: o sistema deve alertar sobre essa condição, descrever como está prevista no TR, solicitar a ciência obrigatória do usuário e exibir campo digitável de preenchimento obrigatório.</w:t>
      </w:r>
    </w:p>
    <w:p>
      <w:pPr>
        <w:spacing w:after="140" w:line="300" w:lineRule="auto"/>
        <w:jc w:val="both"/>
      </w:pPr>
      <w:r>
        <w:rPr>
          <w:b w:val="false"/>
          <w:bCs w:val="false"/>
        </w:rPr>
        <w:t xml:space="preserve">Se não for identificada nenhuma exigência de garantia: o sistema deve apenas registrar que não foi identificada exigência de garantia contratual neste TR.</w:t>
      </w:r>
    </w:p>
    <w:p>
      <w:pPr>
        <w:pStyle w:val="Heading2"/>
        <w:spacing w:after="120" w:before="260"/>
      </w:pPr>
      <w:r>
        <w:rPr>
          <w:b/>
          <w:bCs/>
        </w:rPr>
        <w:t xml:space="preserve">7. CONDIÇÕES DE FATURAMENTO E PAGAMENTO</w:t>
      </w:r>
    </w:p>
    <w:p>
      <w:pPr>
        <w:spacing w:after="140" w:line="300" w:lineRule="auto"/>
        <w:jc w:val="both"/>
      </w:pPr>
      <w:r>
        <w:rPr>
          <w:b w:val="false"/>
          <w:bCs w:val="false"/>
        </w:rPr>
        <w:t xml:space="preserve">Este item abrange quatro verificações distintas, cada uma com sua própria regra de apresentação.</w:t>
      </w:r>
    </w:p>
    <w:p>
      <w:pPr>
        <w:spacing w:after="140" w:line="300" w:lineRule="auto"/>
        <w:jc w:val="both"/>
      </w:pPr>
      <w:r>
        <w:rPr>
          <w:b/>
          <w:bCs/>
        </w:rPr>
        <w:t xml:space="preserve">a) Condição para emissão de nota fiscal e prazo de pagamento:</w:t>
      </w:r>
      <w:r>
        <w:rPr>
          <w:b w:val="false"/>
          <w:bCs w:val="false"/>
        </w:rPr>
        <w:t xml:space="preserve"> o sistema deve identificar e apresentar em tela a condição que o TR estabelece para que a contratada possa emitir a nota fiscal (por exemplo, se o pagamento está condicionado à aprovação formal da entrega pelo contratante, ou se não há condição específica), bem como o prazo previsto para pagamento após a emissão. Em seguida, deve solicitar a ciência obrigatória do usuário e apresentar botão para inclusão de observação não obrigatória.</w:t>
      </w:r>
    </w:p>
    <w:p>
      <w:pPr>
        <w:spacing w:after="140" w:line="300" w:lineRule="auto"/>
        <w:jc w:val="both"/>
      </w:pPr>
      <w:r>
        <w:rPr>
          <w:b/>
          <w:bCs/>
        </w:rPr>
        <w:t xml:space="preserve">b) Atualização monetária em caso de atraso no pagamento:</w:t>
      </w:r>
      <w:r>
        <w:rPr>
          <w:b w:val="false"/>
          <w:bCs w:val="false"/>
        </w:rPr>
        <w:t xml:space="preserve"> o sistema deve sempre apresentar em tela o que foi identificado a esse respeito — o mecanismo de atualização monetária ou correção financeira previsto, ou a informação de que não há previsão ("não previsto") — independentemente do resultado da verificação. Em seguida, deve solicitar a ciência obrigatória do usuário e apresentar botão para inclusão de observação não obrigatória.</w:t>
      </w:r>
    </w:p>
    <w:p>
      <w:pPr>
        <w:spacing w:after="140" w:line="300" w:lineRule="auto"/>
        <w:jc w:val="both"/>
      </w:pPr>
      <w:r>
        <w:rPr>
          <w:b/>
          <w:bCs/>
        </w:rPr>
        <w:t xml:space="preserve">c) Regras sobre banco para crédito dos pagamentos:</w:t>
      </w:r>
      <w:r>
        <w:rPr>
          <w:b w:val="false"/>
          <w:bCs w:val="false"/>
        </w:rPr>
        <w:t xml:space="preserve"> o sistema deve identificar se o TR contém alguma regra que imponha condições ou custos à contratada relacionados à conta bancária utilizada para recebimento dos pagamentos — como, por exemplo, a previsão de que a contratada arca com os custos de transferência caso não utilize conta em determinado banco. Caso seja identificado: apresentar o achado em tela, solicitar a ciência obrigatória do usuário e apresentar botão para inclusão de observação não obrigatória. Caso não seja identificado: registrar que não foi detectada nenhuma regra dessa natureza.</w:t>
      </w:r>
    </w:p>
    <w:p>
      <w:pPr>
        <w:spacing w:after="140" w:line="300" w:lineRule="auto"/>
        <w:jc w:val="both"/>
      </w:pPr>
      <w:r>
        <w:rPr>
          <w:b/>
          <w:bCs/>
        </w:rPr>
        <w:t xml:space="preserve">d) Metodologia e critério de medição dos serviços:</w:t>
      </w:r>
      <w:r>
        <w:rPr>
          <w:b w:val="false"/>
          <w:bCs w:val="false"/>
        </w:rPr>
        <w:t xml:space="preserve"> o sistema deve identificar se o TR descreve alguma metodologia ou critério para medição e avaliação dos serviços prestados antes do pagamento, apresentando as regras e condições descritas. Caso seja identificado: apresentar o achado em tela, solicitar a ciência obrigatória do usuário e exibir campo digitável de preenchimento obrigatório. Caso não seja identificado: registrar que não foi detectada nenhuma metodologia de medição.</w:t>
      </w:r>
    </w:p>
    <w:p>
      <w:pPr>
        <w:pStyle w:val="Heading2"/>
        <w:spacing w:after="120" w:before="260"/>
      </w:pPr>
      <w:r>
        <w:rPr>
          <w:b/>
          <w:bCs/>
        </w:rPr>
        <w:t xml:space="preserve">8. PENALIDADES E BLOQUEIO DE PAGAMENTO</w:t>
      </w:r>
    </w:p>
    <w:p>
      <w:pPr>
        <w:spacing w:after="140" w:line="300" w:lineRule="auto"/>
        <w:jc w:val="both"/>
      </w:pPr>
      <w:r>
        <w:rPr>
          <w:b w:val="false"/>
          <w:bCs w:val="false"/>
        </w:rPr>
        <w:t xml:space="preserve">O sistema deve identificar e apresentar em tela todos os itens do TR que tratem de penalidades, sanções ou restrições aplicáveis à contratada. Isso inclui, mas não se limita a: multas por atraso na entrega de etapas ou relatórios; impedimento de avanço para a próxima etapa em caso de não aprovação da entrega anterior; suspensão ou bloqueio de pagamentos vinculados a condições de desempenho; e quaisquer outras sanções contratuais.</w:t>
      </w:r>
    </w:p>
    <w:p>
      <w:pPr>
        <w:spacing w:after="140" w:line="300" w:lineRule="auto"/>
        <w:jc w:val="both"/>
      </w:pPr>
      <w:r>
        <w:rPr>
          <w:b w:val="false"/>
          <w:bCs w:val="false"/>
        </w:rPr>
        <w:t xml:space="preserve">Cada penalidade ou restrição identificada deve ser apresentada individualmente em tela. Para cada uma delas, o sistema deve solicitar a ciência obrigatória do usuário e exibir campo digitável de preenchimento obrigatório separado.</w:t>
      </w:r>
    </w:p>
    <w:p>
      <w:pPr>
        <w:spacing w:after="140" w:line="300" w:lineRule="auto"/>
        <w:jc w:val="both"/>
      </w:pPr>
      <w:r>
        <w:rPr>
          <w:b w:val="false"/>
          <w:bCs w:val="false"/>
        </w:rPr>
        <w:t xml:space="preserve">Caso nenhuma penalidade ou restrição seja identificada no TR, o sistema deve registrar que não foram detectados itens dessa natureza.</w:t>
      </w:r>
    </w:p>
    <w:p>
      <w:pPr>
        <w:pStyle w:val="Heading2"/>
        <w:spacing w:after="120" w:before="260"/>
      </w:pPr>
      <w:r>
        <w:rPr>
          <w:b/>
          <w:bCs/>
        </w:rPr>
        <w:t xml:space="preserve">INSTRUÇÕES TÉCNICAS GERAIS</w:t>
      </w:r>
    </w:p>
    <w:p>
      <w:pPr>
        <w:spacing w:after="140" w:line="300" w:lineRule="auto"/>
        <w:jc w:val="both"/>
      </w:pPr>
      <w:r>
        <w:rPr>
          <w:b/>
          <w:bCs/>
        </w:rPr>
        <w:t xml:space="preserve">Análise semântica:</w:t>
      </w:r>
      <w:r>
        <w:rPr>
          <w:b w:val="false"/>
          <w:bCs w:val="false"/>
        </w:rPr>
        <w:t xml:space="preserve"> a análise do TR deve ser realizada por meio de processamento de linguagem natural com capacidade de compreensão semântica. O sistema deve ser capaz de reconhecer que diferentes TRs podem abordar os mesmos temas com vocabulário, estrutura e redação distintos, e ainda assim identificar a equivalência de sentido e intenção entre os conteúdos. A correspondência não deve ser baseada em palavras-chave exatas.</w:t>
      </w:r>
    </w:p>
    <w:p>
      <w:pPr>
        <w:spacing w:after="140" w:line="300" w:lineRule="auto"/>
        <w:jc w:val="both"/>
      </w:pPr>
      <w:r>
        <w:rPr>
          <w:b/>
          <w:bCs/>
        </w:rPr>
        <w:t xml:space="preserve">Campos digitáveis:</w:t>
      </w:r>
      <w:r>
        <w:rPr>
          <w:b w:val="false"/>
          <w:bCs w:val="false"/>
        </w:rPr>
        <w:t xml:space="preserve"> conforme detalhado nas Regras Gerais de Interface, campos obrigatórios são exibidos diretamente na tela; campos não obrigatórios são acessados por meio do botão "Incluir justificativa / observação".</w:t>
      </w:r>
    </w:p>
    <w:p>
      <w:pPr>
        <w:spacing w:after="140" w:line="300" w:lineRule="auto"/>
        <w:jc w:val="both"/>
      </w:pPr>
      <w:r>
        <w:rPr>
          <w:b/>
          <w:bCs/>
        </w:rPr>
        <w:t xml:space="preserve">Ciência do usuário:</w:t>
      </w:r>
      <w:r>
        <w:rPr>
          <w:b w:val="false"/>
          <w:bCs w:val="false"/>
        </w:rPr>
        <w:t xml:space="preserve"> conforme detalhado nas Regras Gerais de Interface, toda ciência solicitada pelo sistema é obrigatória. Nenhuma análise pode ser salva, e nenhum relatório pode ser gerado, enquanto houver ciência pendente de confirmação ou campo obrigatório não preenchido.</w:t>
      </w:r>
    </w:p>
    <w:p>
      <w:pPr>
        <w:spacing w:after="140" w:line="300" w:lineRule="auto"/>
        <w:jc w:val="both"/>
      </w:pPr>
      <w:r>
        <w:rPr>
          <w:b/>
          <w:bCs/>
        </w:rPr>
        <w:t xml:space="preserve">Relatório final em PDF:</w:t>
      </w:r>
      <w:r>
        <w:rPr>
          <w:b w:val="false"/>
          <w:bCs w:val="false"/>
        </w:rPr>
        <w:t xml:space="preserve"> gerado automaticamente após o preenchimento de todos os campos e ciências obrigatórias. Deve conter todos os apontamentos do sistema, registros de ciência do usuário e conteúdo inserido nos campos digitáveis. O nome do usuário logado deve aparecer no rodapé de cada página acompanhado de data e horário no formato DD/MM/AAAA HH:MM (espaço reservado até a implementação do módulo de login, conforme nota de revisão acima).</w:t>
      </w:r>
    </w:p>
    <w:p>
      <w:pPr>
        <w:spacing w:after="140" w:line="300" w:lineRule="auto"/>
        <w:jc w:val="both"/>
      </w:pPr>
      <w:r>
        <w:rPr>
          <w:b/>
          <w:bCs/>
        </w:rPr>
        <w:t xml:space="preserve">Objeto do TR:</w:t>
      </w:r>
      <w:r>
        <w:rPr>
          <w:b w:val="false"/>
          <w:bCs w:val="false"/>
        </w:rPr>
        <w:t xml:space="preserve"> nesta versão, o sistema implementa exclusivamente as regras de análise para o objeto "Securitização de Dívida Ativa", descritas neste documento, sem camada de abstração para múltiplos objetos. Caso no futuro sejam adicionados novos objetos de análise, a estrutura de regras deverá ser generalizada nesse momento.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2026-07-15T17:37:34.476Z</dcterms:created>
  <dcterms:modified xsi:type="dcterms:W3CDTF">2026-07-15T17:37:34.476Z</dcterms:modified>
</cp:coreProperties>
</file>

<file path=docProps/custom.xml><?xml version="1.0" encoding="utf-8"?>
<Properties xmlns="http://schemas.openxmlformats.org/officeDocument/2006/custom-properties" xmlns:vt="http://schemas.openxmlformats.org/officeDocument/2006/docPropsVTypes"/>
</file>