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A2A4A"/>
          <w:sz w:val="44"/>
        </w:rPr>
        <w:t>YAN NAING KYAW</w:t>
      </w:r>
    </w:p>
    <w:p>
      <w:pPr>
        <w:spacing w:before="0" w:after="0"/>
      </w:pPr>
      <w:r>
        <w:rPr>
          <w:b w:val="0"/>
          <w:color w:val="4A6A8A"/>
          <w:sz w:val="22"/>
        </w:rPr>
        <w:t>Senior Network &amp; Solution Engineer</w:t>
      </w:r>
    </w:p>
    <w:p>
      <w:pPr>
        <w:spacing w:before="40" w:after="0"/>
      </w:pPr>
      <w:r>
        <w:rPr>
          <w:b w:val="0"/>
          <w:color w:val="999999"/>
          <w:sz w:val="17"/>
        </w:rPr>
        <w:t>Bangkok, Thailand  |  ynk.engineer@gmail.com  |  +66 06-3327-5176  |  Line: ynk139</w:t>
      </w:r>
    </w:p>
    <w:p>
      <w:pPr>
        <w:spacing w:before="0" w:after="160"/>
      </w:pPr>
      <w:r>
        <w:rPr>
          <w:b w:val="0"/>
          <w:color w:val="999999"/>
          <w:sz w:val="17"/>
        </w:rPr>
        <w:t>linkedin.com/in/yann-naing-kyaw-3ba69a10a  |  yannaingkyaw.github.io/portfolio</w:t>
      </w:r>
    </w:p>
    <w:p>
      <w:pPr>
        <w:spacing w:before="0" w:after="0"/>
        <w:pBdr>
          <w:bottom w:val="single" w:sz="12" w:space="1" w:color="1A2A4A"/>
        </w:pBdr>
      </w:pPr>
    </w:p>
    <w:p>
      <w:pPr>
        <w:spacing w:before="280" w:after="80"/>
        <w:pBdr>
          <w:bottom w:val="single" w:sz="8" w:space="1" w:color="1A2A4A"/>
        </w:pBdr>
      </w:pPr>
      <w:r>
        <w:rPr>
          <w:b/>
          <w:color w:val="1A2A4A"/>
          <w:sz w:val="20"/>
        </w:rPr>
        <w:t>PROFESSIONAL SUMMARY</w:t>
      </w:r>
    </w:p>
    <w:p>
      <w:pPr>
        <w:spacing w:before="0" w:after="80" w:line="276" w:lineRule="auto"/>
      </w:pPr>
      <w:r>
        <w:rPr>
          <w:b w:val="0"/>
          <w:color w:val="555555"/>
          <w:sz w:val="17"/>
        </w:rPr>
        <w:t>Senior Network, Cloud &amp; Infrastructure Engineer with 10+ years of experience across ISP, system integrator, private cloud, and Smart City environments. Expert in Cisco HyperFlex (HCI), VMware vCenter, Cisco UCS, Cisco ACI, and MicroCloud implementation. Proven success designing, deploying, and operating large-scale, high-availability networks and Smart City platforms integrating video surveillance, IoT, and AI analytics.</w:t>
      </w:r>
    </w:p>
    <w:p>
      <w:pPr>
        <w:spacing w:before="280" w:after="80"/>
        <w:pBdr>
          <w:bottom w:val="single" w:sz="8" w:space="1" w:color="1A2A4A"/>
        </w:pBdr>
      </w:pPr>
      <w:r>
        <w:rPr>
          <w:b/>
          <w:color w:val="1A2A4A"/>
          <w:sz w:val="20"/>
        </w:rPr>
        <w:t>CORE SKILLS &amp; TECHNOLOGIES</w:t>
      </w:r>
    </w:p>
    <w:p>
      <w:pPr>
        <w:spacing w:before="0" w:after="20"/>
        <w:ind w:left="170"/>
      </w:pPr>
      <w:r>
        <w:rPr>
          <w:b/>
          <w:color w:val="1A2A4A"/>
          <w:sz w:val="17"/>
        </w:rPr>
        <w:t xml:space="preserve">Networking: </w:t>
      </w:r>
      <w:r>
        <w:rPr>
          <w:b w:val="0"/>
          <w:color w:val="555555"/>
          <w:sz w:val="17"/>
        </w:rPr>
        <w:t>BGP, OSPF, IS-IS, MPLS, MP-BGP, SD-WAN, VPN, VLAN, L2/L3 design</w:t>
      </w:r>
    </w:p>
    <w:p>
      <w:pPr>
        <w:spacing w:before="0" w:after="20"/>
        <w:ind w:left="170"/>
      </w:pPr>
      <w:r>
        <w:rPr>
          <w:b/>
          <w:color w:val="1A2A4A"/>
          <w:sz w:val="17"/>
        </w:rPr>
        <w:t xml:space="preserve">Cloud &amp; Virtualization: </w:t>
      </w:r>
      <w:r>
        <w:rPr>
          <w:b w:val="0"/>
          <w:color w:val="555555"/>
          <w:sz w:val="17"/>
        </w:rPr>
        <w:t>Cisco HyperFlex (HCI), Cisco UCS, VMware vCenter/ESXi, Private Cloud, MicroCloud</w:t>
      </w:r>
    </w:p>
    <w:p>
      <w:pPr>
        <w:spacing w:before="0" w:after="20"/>
        <w:ind w:left="170"/>
      </w:pPr>
      <w:r>
        <w:rPr>
          <w:b/>
          <w:color w:val="1A2A4A"/>
          <w:sz w:val="17"/>
        </w:rPr>
        <w:t xml:space="preserve">Data Center &amp; Automation: </w:t>
      </w:r>
      <w:r>
        <w:rPr>
          <w:b w:val="0"/>
          <w:color w:val="555555"/>
          <w:sz w:val="17"/>
        </w:rPr>
        <w:t>Cisco ACI, UCS Manager, Firewall-as-a-Service (FWaaS)</w:t>
      </w:r>
    </w:p>
    <w:p>
      <w:pPr>
        <w:spacing w:before="0" w:after="20"/>
        <w:ind w:left="170"/>
      </w:pPr>
      <w:r>
        <w:rPr>
          <w:b/>
          <w:color w:val="1A2A4A"/>
          <w:sz w:val="17"/>
        </w:rPr>
        <w:t xml:space="preserve">Security: </w:t>
      </w:r>
      <w:r>
        <w:rPr>
          <w:b w:val="0"/>
          <w:color w:val="555555"/>
          <w:sz w:val="17"/>
        </w:rPr>
        <w:t>Cisco FTD/ASA/FMC, FortiGate</w:t>
      </w:r>
    </w:p>
    <w:p>
      <w:pPr>
        <w:spacing w:before="0" w:after="20"/>
        <w:ind w:left="170"/>
      </w:pPr>
      <w:r>
        <w:rPr>
          <w:b/>
          <w:color w:val="1A2A4A"/>
          <w:sz w:val="17"/>
        </w:rPr>
        <w:t xml:space="preserve">Smart City &amp; IoT: </w:t>
      </w:r>
      <w:r>
        <w:rPr>
          <w:b w:val="0"/>
          <w:color w:val="555555"/>
          <w:sz w:val="17"/>
        </w:rPr>
        <w:t>AI VMS (Eocortex, Scylla AI), IoT connectivity, GPU infrastructure</w:t>
      </w:r>
    </w:p>
    <w:p>
      <w:pPr>
        <w:spacing w:before="0" w:after="20"/>
        <w:ind w:left="170"/>
      </w:pPr>
      <w:r>
        <w:rPr>
          <w:b/>
          <w:color w:val="1A2A4A"/>
          <w:sz w:val="17"/>
        </w:rPr>
        <w:t xml:space="preserve">Monitoring: </w:t>
      </w:r>
      <w:r>
        <w:rPr>
          <w:b w:val="0"/>
          <w:color w:val="555555"/>
          <w:sz w:val="17"/>
        </w:rPr>
        <w:t>Zabbix, SNMP, Cacti</w:t>
      </w:r>
    </w:p>
    <w:p>
      <w:pPr>
        <w:spacing w:before="0" w:after="20"/>
        <w:ind w:left="170"/>
      </w:pPr>
      <w:r>
        <w:rPr>
          <w:b/>
          <w:color w:val="1A2A4A"/>
          <w:sz w:val="17"/>
        </w:rPr>
        <w:t xml:space="preserve">Voice &amp; PBX: </w:t>
      </w:r>
      <w:r>
        <w:rPr>
          <w:b w:val="0"/>
          <w:color w:val="555555"/>
          <w:sz w:val="17"/>
        </w:rPr>
        <w:t>Cloud PBX, VoIP, SIP Trunking</w:t>
      </w:r>
    </w:p>
    <w:p>
      <w:pPr>
        <w:spacing w:before="280" w:after="80"/>
        <w:pBdr>
          <w:bottom w:val="single" w:sz="8" w:space="1" w:color="1A2A4A"/>
        </w:pBdr>
      </w:pPr>
      <w:r>
        <w:rPr>
          <w:b/>
          <w:color w:val="1A2A4A"/>
          <w:sz w:val="20"/>
        </w:rPr>
        <w:t>PROFESSIONAL EXPERIENCE</w:t>
      </w:r>
    </w:p>
    <w:p>
      <w:pPr>
        <w:spacing w:before="160" w:after="0"/>
      </w:pPr>
      <w:r>
        <w:rPr>
          <w:b/>
          <w:color w:val="1A2A4A"/>
          <w:sz w:val="20"/>
        </w:rPr>
        <w:t>Network &amp; Solution Engineer</w:t>
      </w:r>
      <w:r>
        <w:rPr>
          <w:b w:val="0"/>
          <w:color w:val="999999"/>
          <w:sz w:val="16"/>
        </w:rPr>
        <w:t xml:space="preserve">    June 2024 – Present</w:t>
      </w:r>
    </w:p>
    <w:p>
      <w:pPr>
        <w:spacing w:before="0" w:after="40"/>
      </w:pPr>
      <w:r>
        <w:rPr>
          <w:b w:val="0"/>
          <w:color w:val="4A6A8A"/>
          <w:sz w:val="18"/>
        </w:rPr>
        <w:t>PLANETCOMM / PLANETCLOUD — Bangkok, Thailand</w:t>
      </w:r>
    </w:p>
    <w:p>
      <w:pPr>
        <w:spacing w:before="0" w:after="20"/>
        <w:ind w:left="283" w:hanging="170"/>
      </w:pPr>
      <w:r>
        <w:rPr>
          <w:b w:val="0"/>
          <w:color w:val="555555"/>
          <w:sz w:val="17"/>
        </w:rPr>
        <w:t>▸  Designed and operated Cisco HyperFlex HCI and UCS-based private cloud environments</w:t>
      </w:r>
    </w:p>
    <w:p>
      <w:pPr>
        <w:spacing w:before="0" w:after="20"/>
        <w:ind w:left="283" w:hanging="170"/>
      </w:pPr>
      <w:r>
        <w:rPr>
          <w:b w:val="0"/>
          <w:color w:val="555555"/>
          <w:sz w:val="17"/>
        </w:rPr>
        <w:t>▸  Managed virtualization infrastructure using VMware vCenter and automated provisioning workflows</w:t>
      </w:r>
    </w:p>
    <w:p>
      <w:pPr>
        <w:spacing w:before="0" w:after="20"/>
        <w:ind w:left="283" w:hanging="170"/>
      </w:pPr>
      <w:r>
        <w:rPr>
          <w:b w:val="0"/>
          <w:color w:val="555555"/>
          <w:sz w:val="17"/>
        </w:rPr>
        <w:t>▸  Implemented MicroCloud environments for rapid POC and edge deployments</w:t>
      </w:r>
    </w:p>
    <w:p>
      <w:pPr>
        <w:spacing w:before="0" w:after="20"/>
        <w:ind w:left="283" w:hanging="170"/>
      </w:pPr>
      <w:r>
        <w:rPr>
          <w:b w:val="0"/>
          <w:color w:val="555555"/>
          <w:sz w:val="17"/>
        </w:rPr>
        <w:t>▸  Engineered multi-tenant network architecture (VLANs, VPNs, firewalls, routing) ensuring isolation and scalability</w:t>
      </w:r>
    </w:p>
    <w:p>
      <w:pPr>
        <w:spacing w:before="0" w:after="20"/>
        <w:ind w:left="283" w:hanging="170"/>
      </w:pPr>
      <w:r>
        <w:rPr>
          <w:b w:val="0"/>
          <w:color w:val="555555"/>
          <w:sz w:val="17"/>
        </w:rPr>
        <w:t>▸  Applied Cisco ACI for policy-driven data center networking</w:t>
      </w:r>
    </w:p>
    <w:p>
      <w:pPr>
        <w:spacing w:before="0" w:after="20"/>
        <w:ind w:left="283" w:hanging="170"/>
      </w:pPr>
      <w:r>
        <w:rPr>
          <w:b w:val="0"/>
          <w:color w:val="555555"/>
          <w:sz w:val="17"/>
        </w:rPr>
        <w:t>▸  Delivered Smart City network solutions integrating video surveillance, IoT, and central management</w:t>
      </w:r>
    </w:p>
    <w:p>
      <w:pPr>
        <w:spacing w:before="0" w:after="20"/>
        <w:ind w:left="283" w:hanging="170"/>
      </w:pPr>
      <w:r>
        <w:rPr>
          <w:b w:val="0"/>
          <w:color w:val="555555"/>
          <w:sz w:val="17"/>
        </w:rPr>
        <w:t>▸  Designed and implemented SPDC Data Center and FWaaS solutions</w:t>
      </w:r>
    </w:p>
    <w:p>
      <w:pPr>
        <w:spacing w:before="0" w:after="20"/>
        <w:ind w:left="283" w:hanging="170"/>
      </w:pPr>
      <w:r>
        <w:rPr>
          <w:b w:val="0"/>
          <w:color w:val="555555"/>
          <w:sz w:val="17"/>
        </w:rPr>
        <w:t>▸  Collaborated with cross-vendor teams for integrated cloud and Smart City deployments</w:t>
      </w:r>
    </w:p>
    <w:p>
      <w:pPr>
        <w:spacing w:before="160" w:after="0"/>
      </w:pPr>
      <w:r>
        <w:rPr>
          <w:b/>
          <w:color w:val="1A2A4A"/>
          <w:sz w:val="20"/>
        </w:rPr>
        <w:t>Senior Core Network Engineer</w:t>
      </w:r>
      <w:r>
        <w:rPr>
          <w:b w:val="0"/>
          <w:color w:val="999999"/>
          <w:sz w:val="16"/>
        </w:rPr>
        <w:t xml:space="preserve">    December 2011 – June 2024</w:t>
      </w:r>
    </w:p>
    <w:p>
      <w:pPr>
        <w:spacing w:before="0" w:after="40"/>
      </w:pPr>
      <w:r>
        <w:rPr>
          <w:b w:val="0"/>
          <w:color w:val="4A6A8A"/>
          <w:sz w:val="18"/>
        </w:rPr>
        <w:t>GLOBAL TECHNOLOGY CO., LTD. — Myanmar</w:t>
      </w:r>
    </w:p>
    <w:p>
      <w:pPr>
        <w:spacing w:before="0" w:after="20"/>
        <w:ind w:left="283" w:hanging="170"/>
      </w:pPr>
      <w:r>
        <w:rPr>
          <w:b w:val="0"/>
          <w:color w:val="555555"/>
          <w:sz w:val="17"/>
        </w:rPr>
        <w:t>▸  Operated and maintained nationwide ISP core network infrastructure supporting millions of users</w:t>
      </w:r>
    </w:p>
    <w:p>
      <w:pPr>
        <w:spacing w:before="0" w:after="20"/>
        <w:ind w:left="283" w:hanging="170"/>
      </w:pPr>
      <w:r>
        <w:rPr>
          <w:b w:val="0"/>
          <w:color w:val="555555"/>
          <w:sz w:val="17"/>
        </w:rPr>
        <w:t>▸  Designed and implemented IP Transit, MPLS VPN, FTTH, DIA, and WAN services</w:t>
      </w:r>
    </w:p>
    <w:p>
      <w:pPr>
        <w:spacing w:before="0" w:after="20"/>
        <w:ind w:left="283" w:hanging="170"/>
      </w:pPr>
      <w:r>
        <w:rPr>
          <w:b w:val="0"/>
          <w:color w:val="555555"/>
          <w:sz w:val="17"/>
        </w:rPr>
        <w:t>▸  Led L2/L3 escalation response for critical nationwide network outages</w:t>
      </w:r>
    </w:p>
    <w:p>
      <w:pPr>
        <w:spacing w:before="0" w:after="20"/>
        <w:ind w:left="283" w:hanging="170"/>
      </w:pPr>
      <w:r>
        <w:rPr>
          <w:b w:val="0"/>
          <w:color w:val="555555"/>
          <w:sz w:val="17"/>
        </w:rPr>
        <w:t>▸  Built International Gateway (IGW) networks with eBGP/iBGP peering and global CDNs (Google, Facebook, Netflix)</w:t>
      </w:r>
    </w:p>
    <w:p>
      <w:pPr>
        <w:spacing w:before="0" w:after="20"/>
        <w:ind w:left="283" w:hanging="170"/>
      </w:pPr>
      <w:r>
        <w:rPr>
          <w:b w:val="0"/>
          <w:color w:val="555555"/>
          <w:sz w:val="17"/>
        </w:rPr>
        <w:t>▸  Designed and deployed MPLS core network using IS-IS, MP-BGP, TE, and QoS</w:t>
      </w:r>
    </w:p>
    <w:p>
      <w:pPr>
        <w:spacing w:before="0" w:after="20"/>
        <w:ind w:left="283" w:hanging="170"/>
      </w:pPr>
      <w:r>
        <w:rPr>
          <w:b w:val="0"/>
          <w:color w:val="555555"/>
          <w:sz w:val="17"/>
        </w:rPr>
        <w:t>▸  Conducted capacity planning and 160G–400G backbone upgrades</w:t>
      </w:r>
    </w:p>
    <w:p>
      <w:pPr>
        <w:spacing w:before="0" w:after="20"/>
        <w:ind w:left="283" w:hanging="170"/>
      </w:pPr>
      <w:r>
        <w:rPr>
          <w:b w:val="0"/>
          <w:color w:val="555555"/>
          <w:sz w:val="17"/>
        </w:rPr>
        <w:t>▸  Expanded POP sites and multi-service platforms for high availability and redundancy</w:t>
      </w:r>
    </w:p>
    <w:p>
      <w:pPr>
        <w:spacing w:before="160" w:after="0"/>
      </w:pPr>
      <w:r>
        <w:rPr>
          <w:b/>
          <w:color w:val="1A2A4A"/>
          <w:sz w:val="20"/>
        </w:rPr>
        <w:t>Smart City &amp; AI Platform Projects</w:t>
      </w:r>
    </w:p>
    <w:p>
      <w:pPr>
        <w:spacing w:before="0" w:after="20"/>
        <w:ind w:left="283" w:hanging="170"/>
      </w:pPr>
      <w:r>
        <w:rPr>
          <w:b w:val="0"/>
          <w:color w:val="555555"/>
          <w:sz w:val="17"/>
        </w:rPr>
        <w:t>▸  Designed Smart City network infrastructure for urban surveillance and IoT integration</w:t>
      </w:r>
    </w:p>
    <w:p>
      <w:pPr>
        <w:spacing w:before="0" w:after="20"/>
        <w:ind w:left="283" w:hanging="170"/>
      </w:pPr>
      <w:r>
        <w:rPr>
          <w:b w:val="0"/>
          <w:color w:val="555555"/>
          <w:sz w:val="17"/>
        </w:rPr>
        <w:t>▸  Deployed AI VMS (Eocortex, Scylla AI) with facial recognition, object detection, and behavior analytics</w:t>
      </w:r>
    </w:p>
    <w:p>
      <w:pPr>
        <w:spacing w:before="0" w:after="20"/>
        <w:ind w:left="283" w:hanging="170"/>
      </w:pPr>
      <w:r>
        <w:rPr>
          <w:b w:val="0"/>
          <w:color w:val="555555"/>
          <w:sz w:val="17"/>
        </w:rPr>
        <w:t>▸  Architected GPU-enabled edge and data center environments for real-time AI inference</w:t>
      </w:r>
    </w:p>
    <w:p>
      <w:pPr>
        <w:spacing w:before="0" w:after="20"/>
        <w:ind w:left="283" w:hanging="170"/>
      </w:pPr>
      <w:r>
        <w:rPr>
          <w:b w:val="0"/>
          <w:color w:val="555555"/>
          <w:sz w:val="17"/>
        </w:rPr>
        <w:t>▸  Built secure, high-availability connectivity between edge devices, data centers, and private clouds</w:t>
      </w:r>
    </w:p>
    <w:p>
      <w:r>
        <w:br w:type="page"/>
      </w:r>
    </w:p>
    <w:p>
      <w:pPr>
        <w:spacing w:before="280" w:after="80"/>
        <w:pBdr>
          <w:bottom w:val="single" w:sz="8" w:space="1" w:color="1A2A4A"/>
        </w:pBdr>
      </w:pPr>
      <w:r>
        <w:rPr>
          <w:b/>
          <w:color w:val="1A2A4A"/>
          <w:sz w:val="20"/>
        </w:rPr>
        <w:t>CERTIFICATIONS</w:t>
      </w:r>
    </w:p>
    <w:p>
      <w:pPr>
        <w:spacing w:before="0" w:after="80"/>
        <w:ind w:left="170"/>
      </w:pPr>
      <w:r>
        <w:rPr>
          <w:b w:val="0"/>
          <w:color w:val="4A6A8A"/>
          <w:sz w:val="17"/>
        </w:rPr>
        <w:t xml:space="preserve">▸  </w:t>
      </w:r>
      <w:r>
        <w:rPr>
          <w:b/>
          <w:color w:val="1A2A4A"/>
          <w:sz w:val="17"/>
        </w:rPr>
        <w:t>Cisco Certified Specialist – ENARSI</w:t>
      </w:r>
    </w:p>
    <w:p>
      <w:pPr>
        <w:spacing w:before="280" w:after="80"/>
        <w:pBdr>
          <w:bottom w:val="single" w:sz="8" w:space="1" w:color="1A2A4A"/>
        </w:pBdr>
      </w:pPr>
      <w:r>
        <w:rPr>
          <w:b/>
          <w:color w:val="1A2A4A"/>
          <w:sz w:val="20"/>
        </w:rPr>
        <w:t>TRAINING &amp; PROFESSIONAL DEVELOPMENT</w:t>
      </w:r>
    </w:p>
    <w:p>
      <w:pPr>
        <w:spacing w:before="0" w:after="40"/>
        <w:ind w:left="170"/>
      </w:pPr>
      <w:r>
        <w:rPr>
          <w:b w:val="0"/>
          <w:color w:val="4A6A8A"/>
          <w:sz w:val="17"/>
        </w:rPr>
        <w:t xml:space="preserve">▸  </w:t>
      </w:r>
      <w:r>
        <w:rPr>
          <w:b w:val="0"/>
          <w:color w:val="555555"/>
          <w:sz w:val="17"/>
        </w:rPr>
        <w:t>CCIE Service Provider Training – BIM</w:t>
      </w:r>
    </w:p>
    <w:p>
      <w:pPr>
        <w:spacing w:before="0" w:after="40"/>
        <w:ind w:left="170"/>
      </w:pPr>
      <w:r>
        <w:rPr>
          <w:b w:val="0"/>
          <w:color w:val="4A6A8A"/>
          <w:sz w:val="17"/>
        </w:rPr>
        <w:t xml:space="preserve">▸  </w:t>
      </w:r>
      <w:r>
        <w:rPr>
          <w:b w:val="0"/>
          <w:color w:val="555555"/>
          <w:sz w:val="17"/>
        </w:rPr>
        <w:t>CCIE Enterprise Infrastructure Training – Sai Nyan Lynn (3× CCIE #38501 – R&amp;S, SP, DC)</w:t>
      </w:r>
    </w:p>
    <w:p>
      <w:pPr>
        <w:spacing w:before="0" w:after="40"/>
        <w:ind w:left="170"/>
      </w:pPr>
      <w:r>
        <w:rPr>
          <w:b w:val="0"/>
          <w:color w:val="4A6A8A"/>
          <w:sz w:val="17"/>
        </w:rPr>
        <w:t xml:space="preserve">▸  </w:t>
      </w:r>
      <w:r>
        <w:rPr>
          <w:b w:val="0"/>
          <w:color w:val="555555"/>
          <w:sz w:val="17"/>
        </w:rPr>
        <w:t>CCNP Routing &amp; Switching Training – Aung Naing Moe</w:t>
      </w:r>
    </w:p>
    <w:p>
      <w:pPr>
        <w:spacing w:before="280" w:after="80"/>
        <w:pBdr>
          <w:bottom w:val="single" w:sz="8" w:space="1" w:color="1A2A4A"/>
        </w:pBdr>
      </w:pPr>
      <w:r>
        <w:rPr>
          <w:b/>
          <w:color w:val="1A2A4A"/>
          <w:sz w:val="20"/>
        </w:rPr>
        <w:t>HANDS-ON DEVICES</w:t>
      </w:r>
    </w:p>
    <w:p>
      <w:pPr>
        <w:spacing w:before="0" w:after="80" w:line="276" w:lineRule="auto"/>
      </w:pPr>
      <w:r>
        <w:rPr>
          <w:b w:val="0"/>
          <w:color w:val="555555"/>
          <w:sz w:val="17"/>
        </w:rPr>
        <w:t>Cisco ASR 9010/9006/7710/1001/903/920 | Cisco NCS 540/520 | Cisco ISR 4321 | Cisco Catalyst 3650/4508/6504/C8300 | Cisco Nexus 3524 | Cisco ASA/FTD/FMC | FortiGate 30E/60E | Huawei NetEngine 8000 | SIP &amp; Voice Platforms</w:t>
      </w:r>
    </w:p>
    <w:p>
      <w:pPr>
        <w:spacing w:before="280" w:after="80"/>
        <w:pBdr>
          <w:bottom w:val="single" w:sz="8" w:space="1" w:color="1A2A4A"/>
        </w:pBdr>
      </w:pPr>
      <w:r>
        <w:rPr>
          <w:b/>
          <w:color w:val="1A2A4A"/>
          <w:sz w:val="20"/>
        </w:rPr>
        <w:t>EDUCATION</w:t>
      </w:r>
    </w:p>
    <w:p>
      <w:pPr>
        <w:spacing w:before="0" w:after="40"/>
        <w:ind w:left="170"/>
      </w:pPr>
      <w:r>
        <w:rPr>
          <w:b w:val="0"/>
          <w:color w:val="4A6A8A"/>
          <w:sz w:val="17"/>
        </w:rPr>
        <w:t xml:space="preserve">▸  </w:t>
      </w:r>
      <w:r>
        <w:rPr>
          <w:b/>
          <w:color w:val="1A2A4A"/>
          <w:sz w:val="17"/>
        </w:rPr>
        <w:t>Bachelor of Arts in English</w:t>
      </w:r>
      <w:r>
        <w:rPr>
          <w:b w:val="0"/>
          <w:color w:val="555555"/>
          <w:sz w:val="17"/>
        </w:rPr>
        <w:t xml:space="preserve"> — Mandalaya University, Myanmar (2011–2016)</w:t>
      </w:r>
    </w:p>
    <w:p>
      <w:pPr>
        <w:spacing w:before="280" w:after="80"/>
        <w:pBdr>
          <w:bottom w:val="single" w:sz="8" w:space="1" w:color="1A2A4A"/>
        </w:pBdr>
      </w:pPr>
      <w:r>
        <w:rPr>
          <w:b/>
          <w:color w:val="1A2A4A"/>
          <w:sz w:val="20"/>
        </w:rPr>
        <w:t>LANGUAGES</w:t>
      </w:r>
    </w:p>
    <w:p>
      <w:pPr>
        <w:spacing w:before="0" w:after="40"/>
        <w:ind w:left="170"/>
      </w:pPr>
      <w:r>
        <w:rPr>
          <w:b w:val="0"/>
          <w:color w:val="4A6A8A"/>
          <w:sz w:val="17"/>
        </w:rPr>
        <w:t xml:space="preserve">▸  </w:t>
      </w:r>
      <w:r>
        <w:rPr>
          <w:b w:val="0"/>
          <w:color w:val="555555"/>
          <w:sz w:val="17"/>
        </w:rPr>
        <w:t>English: Professional Working</w:t>
      </w:r>
    </w:p>
    <w:p>
      <w:pPr>
        <w:spacing w:before="0" w:after="40"/>
        <w:ind w:left="170"/>
      </w:pPr>
      <w:r>
        <w:rPr>
          <w:b w:val="0"/>
          <w:color w:val="4A6A8A"/>
          <w:sz w:val="17"/>
        </w:rPr>
        <w:t xml:space="preserve">▸  </w:t>
      </w:r>
      <w:r>
        <w:rPr>
          <w:b w:val="0"/>
          <w:color w:val="555555"/>
          <w:sz w:val="17"/>
        </w:rPr>
        <w:t>Burmese: Native</w:t>
      </w:r>
    </w:p>
    <w:sectPr w:rsidR="00FC693F" w:rsidRPr="0006063C" w:rsidSect="00034616">
      <w:pgSz w:w="12240" w:h="15840"/>
      <w:pgMar w:top="567"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