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left"/>
      </w:pPr>
      <w:r>
        <w:rPr>
          <w:rFonts w:ascii="Calibri" w:hAnsi="Calibri"/>
          <w:b/>
          <w:color w:val="1B365D"/>
          <w:sz w:val="52"/>
        </w:rPr>
        <w:t>GUIDE DE PROJET &amp; SYNTHÈSE DES CONCEPTS CLÉS</w:t>
      </w:r>
    </w:p>
    <w:p>
      <w:pPr>
        <w:spacing w:after="800"/>
      </w:pPr>
      <w:r>
        <w:rPr>
          <w:color w:val="4A777A"/>
          <w:sz w:val="28"/>
        </w:rPr>
        <w:t>Intelligence Artificielle, Optimisation et Prétraitement des Données</w:t>
      </w:r>
    </w:p>
    <w:p>
      <w:pPr>
        <w:pBdr>
          <w:bottom w:val="single" w:sz="24" w:color="4A777A"/>
        </w:pBdr>
      </w:pPr>
    </w:p>
    <w:p>
      <w:pPr>
        <w:spacing w:before="3600"/>
      </w:pPr>
      <w:r>
        <w:rPr>
          <w:b/>
          <w:color w:val="6E6E6E"/>
        </w:rPr>
        <w:t>Document de Référence</w:t>
        <w:br/>
      </w:r>
      <w:r>
        <w:t>Date de génération : 20/05/2026</w:t>
        <w:br/>
      </w:r>
      <w:r>
        <w:t>Cours : Intelligence Artificielle &amp; Optimisation</w:t>
      </w:r>
    </w:p>
    <w:p>
      <w:r>
        <w:br w:type="page"/>
      </w:r>
    </w:p>
    <w:p>
      <w:pPr>
        <w:keepNext/>
        <w:spacing w:before="360" w:after="160"/>
        <w:pBdr>
          <w:bottom w:val="single" w:sz="12" w:space="4" w:color="1B365D"/>
        </w:pBdr>
      </w:pPr>
      <w:r>
        <w:rPr>
          <w:rFonts w:ascii="Calibri" w:hAnsi="Calibri"/>
          <w:b/>
          <w:color w:val="1B365D"/>
          <w:sz w:val="36"/>
        </w:rPr>
        <w:t>Partie 1 : Guide du Projet d'IA et d'Optimisation</w:t>
      </w:r>
    </w:p>
    <w:p>
      <w:r>
        <w:t>Ce guide détaille les exigences, la structure et les modalités d'évaluation pour le projet pratique de classification automatique d'images histologiques.</w:t>
      </w:r>
    </w:p>
    <w:p>
      <w:pPr>
        <w:keepNext/>
        <w:spacing w:before="280" w:after="80"/>
      </w:pPr>
      <w:r>
        <w:rPr>
          <w:rFonts w:ascii="Calibri" w:hAnsi="Calibri"/>
          <w:b/>
          <w:color w:val="4A777A"/>
          <w:sz w:val="28"/>
        </w:rPr>
        <w:t>1. Objectif Principal et Organisation</w:t>
      </w:r>
    </w:p>
    <w:p>
      <w:r>
        <w:t>L'objectif est de développer de bout en bout un modèle d'apprentissage automatique (Machine Learning) capable de classifier automatiquement des cellules à partir d'images histologiques de même résolution.</w:t>
      </w:r>
    </w:p>
    <w:p>
      <w:pPr>
        <w:pStyle w:val="ListBullet"/>
        <w:spacing w:after="60" w:before="0"/>
      </w:pPr>
      <w:r>
        <w:rPr>
          <w:b/>
          <w:color w:val="333333"/>
        </w:rPr>
        <w:t xml:space="preserve">Structure : </w:t>
      </w:r>
      <w:r>
        <w:t xml:space="preserve"> Vous pouvez travailler seul ou en équipe de 2 à 3 étudiants.</w:t>
      </w:r>
    </w:p>
    <w:p>
      <w:pPr>
        <w:pStyle w:val="ListBullet"/>
        <w:spacing w:after="60" w:before="0"/>
      </w:pPr>
      <w:r>
        <w:rPr>
          <w:b/>
          <w:color w:val="333333"/>
        </w:rPr>
        <w:t xml:space="preserve">Date limite : </w:t>
      </w:r>
      <w:r>
        <w:t xml:space="preserve"> Le projet doit être impérativement rendu le mardi 2 juin à 11h30.</w:t>
      </w:r>
    </w:p>
    <w:p>
      <w:pPr>
        <w:keepNext/>
        <w:spacing w:before="280" w:after="80"/>
      </w:pPr>
      <w:r>
        <w:rPr>
          <w:rFonts w:ascii="Calibri" w:hAnsi="Calibri"/>
          <w:b/>
          <w:color w:val="4A777A"/>
          <w:sz w:val="28"/>
        </w:rPr>
        <w:t>2. Les Étapes du Projet</w:t>
      </w:r>
    </w:p>
    <w:p>
      <w:r>
        <w:t>Le travail se divise de manière stricte en deux grandes phases successives :</w:t>
      </w:r>
    </w:p>
    <w:p>
      <w:pPr>
        <w:keepNext/>
        <w:spacing w:before="200" w:after="40"/>
      </w:pPr>
      <w:r>
        <w:rPr>
          <w:rFonts w:ascii="Calibri" w:hAnsi="Calibri"/>
          <w:b/>
          <w:i/>
          <w:color w:val="333333"/>
          <w:sz w:val="24"/>
        </w:rPr>
        <w:t>Phase 1 : L'Entraînement (Séances de laboratoire 9 et 10)</w:t>
      </w:r>
    </w:p>
    <w:p>
      <w:pPr>
        <w:pStyle w:val="ListBullet"/>
        <w:spacing w:after="60" w:before="0"/>
      </w:pPr>
      <w:r>
        <w:rPr>
          <w:b/>
          <w:color w:val="333333"/>
        </w:rPr>
        <w:t xml:space="preserve">Exploration des données : </w:t>
      </w:r>
      <w:r>
        <w:t xml:space="preserve"> Familiarisation approfondie avec le jeu de données d'entraînement. Il est obligatoire de consigner dans le notebook le nombre total d'échantillons, le nom des étiquettes (labels), leur distribution exacte, ainsi que l'apparence visuelle typique d'une image pour chaque classe.</w:t>
      </w:r>
    </w:p>
    <w:p>
      <w:pPr>
        <w:pStyle w:val="ListBullet"/>
        <w:spacing w:after="60" w:before="0"/>
      </w:pPr>
      <w:r>
        <w:rPr>
          <w:b/>
          <w:color w:val="333333"/>
        </w:rPr>
        <w:t xml:space="preserve">Extraction de caractéristiques : </w:t>
      </w:r>
      <w:r>
        <w:t xml:space="preserve"> Implémentation manuelle (sans outils standard clés en main) des algorithmes d'extraction de caractéristiques. Vos descripteurs doivent obligatoirement inclure la surface, la forme et les valeurs d'intensité des images cellules.</w:t>
      </w:r>
    </w:p>
    <w:p>
      <w:pPr>
        <w:pStyle w:val="ListBullet"/>
        <w:spacing w:after="60" w:before="0"/>
      </w:pPr>
      <w:r>
        <w:rPr>
          <w:b/>
          <w:color w:val="333333"/>
        </w:rPr>
        <w:t xml:space="preserve">Entraînement des algorithmes : </w:t>
      </w:r>
      <w:r>
        <w:t xml:space="preserve"> Utilisation d'au moins deux algorithmes de classification étudiés en cours. Une attention rigoureuse doit être portée à la sélection et à la normalisation des caractéristiques, au réglage fin des hyperparamètres, et à la validation croisée.</w:t>
      </w:r>
    </w:p>
    <w:p>
      <w:pPr>
        <w:keepNext/>
        <w:spacing w:before="200" w:after="40"/>
      </w:pPr>
      <w:r>
        <w:rPr>
          <w:rFonts w:ascii="Calibri" w:hAnsi="Calibri"/>
          <w:b/>
          <w:i/>
          <w:color w:val="333333"/>
          <w:sz w:val="24"/>
        </w:rPr>
        <w:t>Phase 2 : Le Test (Séance de laboratoire 11)</w:t>
      </w:r>
    </w:p>
    <w:p>
      <w:pPr>
        <w:pStyle w:val="ListBullet"/>
        <w:spacing w:after="60" w:before="0"/>
      </w:pPr>
      <w:r>
        <w:rPr>
          <w:b/>
          <w:color w:val="333333"/>
        </w:rPr>
        <w:t xml:space="preserve">Timing : </w:t>
      </w:r>
      <w:r>
        <w:t xml:space="preserve"> Cette phase se déroulera durant les 30 dernières minutes de la séance de laboratoire 11.</w:t>
      </w:r>
    </w:p>
    <w:p>
      <w:pPr>
        <w:pStyle w:val="ListBullet"/>
        <w:spacing w:after="60" w:before="0"/>
      </w:pPr>
      <w:r>
        <w:rPr>
          <w:b/>
          <w:color w:val="333333"/>
        </w:rPr>
        <w:t xml:space="preserve">Mission : </w:t>
      </w:r>
      <w:r>
        <w:t xml:space="preserve"> Un nouveau dossier d'images de test non étiquetées sera publié sur Moodle. Vous devrez y appliquer votre modèle final entraîné et exporter vos prédictions.</w:t>
      </w:r>
    </w:p>
    <w:p>
      <w:pPr>
        <w:keepNext/>
        <w:spacing w:before="280" w:after="80"/>
      </w:pPr>
      <w:r>
        <w:rPr>
          <w:rFonts w:ascii="Calibri" w:hAnsi="Calibri"/>
          <w:b/>
          <w:color w:val="4A777A"/>
          <w:sz w:val="28"/>
        </w:rPr>
        <w:t>3. Les Livrables Attendus</w:t>
      </w:r>
    </w:p>
    <w:p>
      <w:r>
        <w:t>À la fin de la séance 11, un seul membre du groupe doit déposer deux fichiers précis sur Moodle :</w:t>
      </w:r>
    </w:p>
    <w:tbl>
      <w:tblPr>
        <w:tblW w:type="auto" w:w="0"/>
        <w:jc w:val="center"/>
        <w:tblLayout w:type="fixed"/>
        <w:tblLook w:firstColumn="1" w:firstRow="1" w:lastColumn="0" w:lastRow="0" w:noHBand="0" w:noVBand="1" w:val="04A0"/>
      </w:tblPr>
      <w:tblGrid>
        <w:gridCol w:w="2160"/>
        <w:gridCol w:w="2160"/>
        <w:gridCol w:w="5040"/>
      </w:tblGrid>
      <w:tr>
        <w:tc>
          <w:tcPr>
            <w:tcW w:type="dxa" w:w="3120"/>
            <w:shd w:fill="1B365D"/>
          </w:tcPr>
          <w:p>
            <w:pPr>
              <w:spacing w:before="80" w:after="80"/>
              <w:jc w:val="center"/>
            </w:pPr>
            <w:r>
              <w:rPr>
                <w:b/>
                <w:color w:val="FFFFFF"/>
                <w:sz w:val="20"/>
              </w:rPr>
              <w:t>Type de Fichier</w:t>
            </w:r>
          </w:p>
        </w:tc>
        <w:tc>
          <w:tcPr>
            <w:tcW w:type="dxa" w:w="3120"/>
            <w:shd w:fill="1B365D"/>
          </w:tcPr>
          <w:p>
            <w:pPr>
              <w:spacing w:before="80" w:after="80"/>
              <w:jc w:val="center"/>
            </w:pPr>
            <w:r>
              <w:rPr>
                <w:b/>
                <w:color w:val="FFFFFF"/>
                <w:sz w:val="20"/>
              </w:rPr>
              <w:t>Nom Obligatoire</w:t>
            </w:r>
          </w:p>
        </w:tc>
        <w:tc>
          <w:tcPr>
            <w:tcW w:type="dxa" w:w="3120"/>
            <w:shd w:fill="1B365D"/>
          </w:tcPr>
          <w:p>
            <w:pPr>
              <w:spacing w:before="80" w:after="80"/>
              <w:jc w:val="center"/>
            </w:pPr>
            <w:r>
              <w:rPr>
                <w:b/>
                <w:color w:val="FFFFFF"/>
                <w:sz w:val="20"/>
              </w:rPr>
              <w:t>Exigences Spécifiques</w:t>
            </w:r>
          </w:p>
        </w:tc>
      </w:tr>
      <w:tr>
        <w:tc>
          <w:tcPr>
            <w:tcW w:type="dxa" w:w="3120"/>
            <w:shd w:fill="FFFFFF"/>
            <w:tcBorders>
              <w:top w:val="single" w:sz="4" w:space="0" w:color="E0E0E0"/>
              <w:left w:val="none"/>
              <w:bottom w:val="single" w:sz="4" w:space="0" w:color="E0E0E0"/>
              <w:right w:val="none"/>
            </w:tcBorders>
          </w:tcPr>
          <w:p>
            <w:pPr>
              <w:spacing w:before="80" w:after="80"/>
              <w:jc w:val="left"/>
            </w:pPr>
            <w:r>
              <w:rPr>
                <w:sz w:val="19"/>
              </w:rPr>
              <w:t>Notebook Python</w:t>
            </w:r>
          </w:p>
        </w:tc>
        <w:tc>
          <w:tcPr>
            <w:tcW w:type="dxa" w:w="3120"/>
            <w:shd w:fill="FFFFFF"/>
            <w:tcBorders>
              <w:top w:val="single" w:sz="4" w:space="0" w:color="E0E0E0"/>
              <w:left w:val="none"/>
              <w:bottom w:val="single" w:sz="4" w:space="0" w:color="E0E0E0"/>
              <w:right w:val="none"/>
            </w:tcBorders>
          </w:tcPr>
          <w:p>
            <w:pPr>
              <w:spacing w:before="80" w:after="80"/>
              <w:jc w:val="center"/>
            </w:pPr>
            <w:r>
              <w:rPr>
                <w:sz w:val="19"/>
              </w:rPr>
              <w:t>[Nom].ipynb</w:t>
            </w:r>
          </w:p>
        </w:tc>
        <w:tc>
          <w:tcPr>
            <w:tcW w:type="dxa" w:w="3120"/>
            <w:shd w:fill="FFFFFF"/>
            <w:tcBorders>
              <w:top w:val="single" w:sz="4" w:space="0" w:color="E0E0E0"/>
              <w:left w:val="none"/>
              <w:bottom w:val="single" w:sz="4" w:space="0" w:color="E0E0E0"/>
              <w:right w:val="none"/>
            </w:tcBorders>
          </w:tcPr>
          <w:p>
            <w:pPr>
              <w:spacing w:before="80" w:after="80"/>
              <w:jc w:val="left"/>
            </w:pPr>
            <w:r>
              <w:rPr>
                <w:sz w:val="19"/>
              </w:rPr>
              <w:t>Fichier unique contenant l'intégralité du code (entraînement et test). Structuré, commenté, avec cellules Markdown justifiant vos choix. Doit s'exécuter de bout en bout sans aucune erreur.</w:t>
            </w:r>
          </w:p>
        </w:tc>
      </w:tr>
      <w:tr>
        <w:tc>
          <w:tcPr>
            <w:tcW w:type="dxa" w:w="3120"/>
            <w:shd w:fill="F5F7FA"/>
            <w:tcBorders>
              <w:top w:val="single" w:sz="4" w:space="0" w:color="E0E0E0"/>
              <w:left w:val="none"/>
              <w:bottom w:val="single" w:sz="4" w:space="0" w:color="E0E0E0"/>
              <w:right w:val="none"/>
            </w:tcBorders>
          </w:tcPr>
          <w:p>
            <w:pPr>
              <w:spacing w:before="80" w:after="80"/>
              <w:jc w:val="left"/>
            </w:pPr>
            <w:r>
              <w:rPr>
                <w:sz w:val="19"/>
              </w:rPr>
              <w:t>Fichier de prédiction</w:t>
            </w:r>
          </w:p>
        </w:tc>
        <w:tc>
          <w:tcPr>
            <w:tcW w:type="dxa" w:w="3120"/>
            <w:shd w:fill="F5F7FA"/>
            <w:tcBorders>
              <w:top w:val="single" w:sz="4" w:space="0" w:color="E0E0E0"/>
              <w:left w:val="none"/>
              <w:bottom w:val="single" w:sz="4" w:space="0" w:color="E0E0E0"/>
              <w:right w:val="none"/>
            </w:tcBorders>
          </w:tcPr>
          <w:p>
            <w:pPr>
              <w:spacing w:before="80" w:after="80"/>
              <w:jc w:val="center"/>
            </w:pPr>
            <w:r>
              <w:rPr>
                <w:sz w:val="19"/>
              </w:rPr>
              <w:t>test.csv</w:t>
            </w:r>
          </w:p>
        </w:tc>
        <w:tc>
          <w:tcPr>
            <w:tcW w:type="dxa" w:w="3120"/>
            <w:shd w:fill="F5F7FA"/>
            <w:tcBorders>
              <w:top w:val="single" w:sz="4" w:space="0" w:color="E0E0E0"/>
              <w:left w:val="none"/>
              <w:bottom w:val="single" w:sz="4" w:space="0" w:color="E0E0E0"/>
              <w:right w:val="none"/>
            </w:tcBorders>
          </w:tcPr>
          <w:p>
            <w:pPr>
              <w:spacing w:before="80" w:after="80"/>
              <w:jc w:val="left"/>
            </w:pPr>
            <w:r>
              <w:rPr>
                <w:sz w:val="19"/>
              </w:rPr>
              <w:t>Contient exactement deux colonnes : la première pour les identifiants des images de test, la seconde pour les étiquettes prédites par votre modèle.</w:t>
            </w:r>
          </w:p>
        </w:tc>
      </w:tr>
    </w:tbl>
    <w:p>
      <w:pPr>
        <w:spacing w:after="120"/>
      </w:pPr>
    </w:p>
    <w:p>
      <w:pPr>
        <w:keepNext/>
        <w:spacing w:before="280" w:after="80"/>
      </w:pPr>
      <w:r>
        <w:rPr>
          <w:rFonts w:ascii="Calibri" w:hAnsi="Calibri"/>
          <w:b/>
          <w:color w:val="4A777A"/>
          <w:sz w:val="28"/>
        </w:rPr>
        <w:t>4. Critères de Notation</w:t>
      </w:r>
    </w:p>
    <w:p>
      <w:pPr>
        <w:pStyle w:val="ListBullet"/>
        <w:spacing w:after="60" w:before="0"/>
      </w:pPr>
      <w:r>
        <w:rPr>
          <w:b/>
          <w:color w:val="333333"/>
        </w:rPr>
        <w:t xml:space="preserve">15 Points : </w:t>
      </w:r>
      <w:r>
        <w:t xml:space="preserve"> Accordés pour la pertinence et la justification de vos choix de caractéristiques et d'algorithmes, le respect strict des consignes, ainsi que la clarté et la qualité rédactionnelle du notebook.</w:t>
      </w:r>
    </w:p>
    <w:p>
      <w:pPr>
        <w:pStyle w:val="ListBullet"/>
        <w:spacing w:after="60" w:before="0"/>
      </w:pPr>
      <w:r>
        <w:rPr>
          <w:b/>
          <w:color w:val="333333"/>
        </w:rPr>
        <w:t xml:space="preserve">5 Points : </w:t>
      </w:r>
      <w:r>
        <w:t xml:space="preserve"> Attribués en fonction de la précision relative (accuracy) obtenue par votre groupe sur le jeu de test caché, comparée proportionnellement au meilleur score de la promotion.</w:t>
      </w:r>
    </w:p>
    <w:p>
      <w:r>
        <w:br w:type="page"/>
      </w:r>
    </w:p>
    <w:p>
      <w:pPr>
        <w:keepNext/>
        <w:spacing w:before="360" w:after="160"/>
        <w:pBdr>
          <w:bottom w:val="single" w:sz="12" w:space="4" w:color="1B365D"/>
        </w:pBdr>
      </w:pPr>
      <w:r>
        <w:rPr>
          <w:rFonts w:ascii="Calibri" w:hAnsi="Calibri"/>
          <w:b/>
          <w:color w:val="1B365D"/>
          <w:sz w:val="36"/>
        </w:rPr>
        <w:t>Partie 2 : Concepts Clés - Optimisation sans Contrainte</w:t>
      </w:r>
    </w:p>
    <w:p>
      <w:r>
        <w:t>Synthèse du cours portant sur les méthodes de recherche locale basées sur le calcul différentiel et les variations du gradient.</w:t>
      </w:r>
    </w:p>
    <w:p>
      <w:pPr>
        <w:keepNext/>
        <w:spacing w:before="280" w:after="80"/>
      </w:pPr>
      <w:r>
        <w:rPr>
          <w:rFonts w:ascii="Calibri" w:hAnsi="Calibri"/>
          <w:b/>
          <w:color w:val="4A777A"/>
          <w:sz w:val="28"/>
        </w:rPr>
        <w:t>1. Rappels Mathématiques Fondamentaux</w:t>
      </w:r>
    </w:p>
    <w:p>
      <w:pPr>
        <w:pStyle w:val="ListBullet"/>
        <w:spacing w:after="60" w:before="0"/>
      </w:pPr>
      <w:r>
        <w:rPr>
          <w:b/>
          <w:color w:val="333333"/>
        </w:rPr>
        <w:t xml:space="preserve">Gradient (∇f(x)) : </w:t>
      </w:r>
      <w:r>
        <w:t xml:space="preserve"> Vecteur des dérivées partielles premières d'une fonction à plusieurs variables. Il pointe vers la direction de la plus forte pente ascendante.</w:t>
      </w:r>
    </w:p>
    <w:p>
      <w:pPr>
        <w:pStyle w:val="ListBullet"/>
        <w:spacing w:after="60" w:before="0"/>
      </w:pPr>
      <w:r>
        <w:rPr>
          <w:b/>
          <w:color w:val="333333"/>
        </w:rPr>
        <w:t xml:space="preserve">Jacobienne (J(f)(x)) : </w:t>
      </w:r>
      <w:r>
        <w:t xml:space="preserve"> Matrice regroupant les dérivées partielles premières d'une fonction à valeurs vectorielles.</w:t>
      </w:r>
    </w:p>
    <w:p>
      <w:pPr>
        <w:pStyle w:val="ListBullet"/>
        <w:spacing w:after="60" w:before="0"/>
      </w:pPr>
      <w:r>
        <w:rPr>
          <w:b/>
          <w:color w:val="333333"/>
        </w:rPr>
        <w:t xml:space="preserve">Hessienne (H(f)(x)) : </w:t>
      </w:r>
      <w:r>
        <w:t xml:space="preserve"> Matrice carrée symétrique des dérivées partielles secondes, mesurant localement la courbure de la fonction.</w:t>
      </w:r>
    </w:p>
    <w:p>
      <w:pPr>
        <w:keepNext/>
        <w:spacing w:before="280" w:after="80"/>
      </w:pPr>
      <w:r>
        <w:rPr>
          <w:rFonts w:ascii="Calibri" w:hAnsi="Calibri"/>
          <w:b/>
          <w:color w:val="4A777A"/>
          <w:sz w:val="28"/>
        </w:rPr>
        <w:t>2. Optimisation via le Gradient et la Hessienne</w:t>
      </w:r>
    </w:p>
    <w:p>
      <w:pPr>
        <w:pStyle w:val="ListBullet"/>
        <w:spacing w:after="60" w:before="0"/>
      </w:pPr>
      <w:r>
        <w:rPr>
          <w:b/>
          <w:color w:val="333333"/>
        </w:rPr>
        <w:t xml:space="preserve">Points critiques : </w:t>
      </w:r>
      <w:r>
        <w:t xml:space="preserve"> Un point x est dit critique si le gradient y est nul : ∇f(x) = 0.</w:t>
      </w:r>
    </w:p>
    <w:p>
      <w:pPr>
        <w:pStyle w:val="ListBullet"/>
        <w:spacing w:after="60" w:before="0"/>
      </w:pPr>
      <w:r>
        <w:rPr>
          <w:b/>
          <w:color w:val="333333"/>
        </w:rPr>
        <w:t xml:space="preserve">Test de la dérivée seconde : </w:t>
      </w:r>
      <w:r>
        <w:t xml:space="preserve"> Permet de classifier la nature d'un point critique grâce aux valeurs propres de la Hessienne :</w:t>
      </w:r>
    </w:p>
    <w:p>
      <w:pPr>
        <w:pStyle w:val="ListBullet2"/>
        <w:spacing w:after="60" w:before="0"/>
      </w:pPr>
      <w:r>
        <w:rPr>
          <w:b/>
          <w:color w:val="333333"/>
        </w:rPr>
        <w:t xml:space="preserve">• Hessienne définie positive (valeurs propres &gt; 0) : </w:t>
      </w:r>
      <w:r>
        <w:t xml:space="preserve"> Minimum local.</w:t>
      </w:r>
    </w:p>
    <w:p>
      <w:pPr>
        <w:pStyle w:val="ListBullet2"/>
        <w:spacing w:after="60" w:before="0"/>
      </w:pPr>
      <w:r>
        <w:rPr>
          <w:b/>
          <w:color w:val="333333"/>
        </w:rPr>
        <w:t xml:space="preserve">• Hessienne définie négative (valeurs propres &lt; 0) : </w:t>
      </w:r>
      <w:r>
        <w:t xml:space="preserve"> Maximum local.</w:t>
      </w:r>
    </w:p>
    <w:p>
      <w:pPr>
        <w:pStyle w:val="ListBullet2"/>
        <w:spacing w:after="60" w:before="0"/>
      </w:pPr>
      <w:r>
        <w:rPr>
          <w:b/>
          <w:color w:val="333333"/>
        </w:rPr>
        <w:t xml:space="preserve">• Valeurs propres de signes opposés : </w:t>
      </w:r>
      <w:r>
        <w:t xml:space="preserve"> Point selle (Saddle point).</w:t>
      </w:r>
    </w:p>
    <w:p>
      <w:pPr>
        <w:keepNext/>
        <w:spacing w:before="280" w:after="80"/>
      </w:pPr>
      <w:r>
        <w:rPr>
          <w:rFonts w:ascii="Calibri" w:hAnsi="Calibri"/>
          <w:b/>
          <w:color w:val="4A777A"/>
          <w:sz w:val="28"/>
        </w:rPr>
        <w:t>3. Méthodes de Recherche Linéaire (Line Search)</w:t>
      </w:r>
    </w:p>
    <w:p>
      <w:r>
        <w:t>À chaque itération k, l'algorithme met à jour sa position selon la formule : x_{k+1} = x_k + ε_k * d_k, où d_k est la direction de recherche et ε_k est le taux d'apprentissage (learning rate).</w:t>
      </w:r>
    </w:p>
    <w:tbl>
      <w:tblPr>
        <w:tblW w:type="auto" w:w="0"/>
        <w:jc w:val="center"/>
        <w:tblLayout w:type="fixed"/>
        <w:tblLook w:firstColumn="1" w:firstRow="1" w:lastColumn="0" w:lastRow="0" w:noHBand="0" w:noVBand="1" w:val="04A0"/>
      </w:tblPr>
      <w:tblGrid>
        <w:gridCol w:w="9360"/>
      </w:tblGrid>
      <w:tr>
        <w:tc>
          <w:tcPr>
            <w:tcW w:type="dxa" w:w="9360"/>
            <w:shd w:fill="F5F7FA"/>
            <w:tcBorders>
              <w:top w:val="none"/>
              <w:left w:val="single" w:sz="36" w:space="0" w:color="1B365D"/>
              <w:bottom w:val="none"/>
              <w:right w:val="none"/>
            </w:tcBorders>
          </w:tcPr>
          <w:p>
            <w:pPr>
              <w:spacing w:before="120" w:after="120"/>
              <w:ind w:left="144" w:right="144"/>
            </w:pPr>
            <w:r>
              <w:rPr>
                <w:b/>
                <w:color w:val="1B365D"/>
                <w:sz w:val="22"/>
              </w:rPr>
              <w:t>Les Conditions de Wolfe</w:t>
              <w:br/>
            </w:r>
            <w:r>
              <w:rPr>
                <w:i/>
                <w:color w:val="333333"/>
                <w:sz w:val="21"/>
              </w:rPr>
              <w:t>Critères mathématiques combinant la condition d'Armijo (décroissance suffisante) et la condition de courbure. Elles permettent d'automatiser le choix du pas de déplacement pour garantir une convergence globale efficace.</w:t>
            </w:r>
          </w:p>
        </w:tc>
      </w:tr>
    </w:tbl>
    <w:p>
      <w:pPr>
        <w:spacing w:before="0" w:after="120"/>
      </w:pPr>
    </w:p>
    <w:p>
      <w:pPr>
        <w:keepNext/>
        <w:spacing w:before="280" w:after="80"/>
      </w:pPr>
      <w:r>
        <w:rPr>
          <w:rFonts w:ascii="Calibri" w:hAnsi="Calibri"/>
          <w:b/>
          <w:color w:val="4A777A"/>
          <w:sz w:val="28"/>
        </w:rPr>
        <w:t>4. Descente de Gradient (Gradient Descent)</w:t>
      </w:r>
    </w:p>
    <w:p>
      <w:pPr>
        <w:pStyle w:val="ListBullet"/>
        <w:spacing w:after="60" w:before="0"/>
      </w:pPr>
      <w:r>
        <w:rPr>
          <w:b/>
          <w:color w:val="333333"/>
        </w:rPr>
        <w:t xml:space="preserve">Principe : </w:t>
      </w:r>
      <w:r>
        <w:t xml:space="preserve"> La direction choisie est systématiquement le gradient négatif (d_k = -∇f(x_k)), direction de la plus forte descente locale.</w:t>
      </w:r>
    </w:p>
    <w:p>
      <w:pPr>
        <w:pStyle w:val="ListBullet"/>
        <w:spacing w:after="60" w:before="0"/>
      </w:pPr>
      <w:r>
        <w:rPr>
          <w:b/>
          <w:color w:val="333333"/>
        </w:rPr>
        <w:t xml:space="preserve">Importance du pas (ε) : </w:t>
      </w:r>
      <w:r>
        <w:t xml:space="preserve"> S'il est trop petit, la convergence est extrêmement lente. S'il est trop grand, l'algorithme oscille de manière divergente et manque le minimum.</w:t>
      </w:r>
    </w:p>
    <w:p>
      <w:pPr>
        <w:pStyle w:val="ListBullet"/>
        <w:spacing w:after="60" w:before="0"/>
      </w:pPr>
      <w:r>
        <w:rPr>
          <w:b/>
          <w:color w:val="333333"/>
        </w:rPr>
        <w:t xml:space="preserve">Conditionnement : </w:t>
      </w:r>
      <w:r>
        <w:t xml:space="preserve"> Très sensible au conditionnement du problème. Sur des fonctions mal conditionnées contenant des vallées étroites (ex : fonction de Rosenbrock), la méthode classique avance inefficacement en zigzaguant.</w:t>
      </w:r>
    </w:p>
    <w:p>
      <w:pPr>
        <w:keepNext/>
        <w:spacing w:before="280" w:after="80"/>
      </w:pPr>
      <w:r>
        <w:rPr>
          <w:rFonts w:ascii="Calibri" w:hAnsi="Calibri"/>
          <w:b/>
          <w:color w:val="4A777A"/>
          <w:sz w:val="28"/>
        </w:rPr>
        <w:t>5. Méthode des Gradients Conjugués (Conjugate Gradients)</w:t>
      </w:r>
    </w:p>
    <w:p>
      <w:pPr>
        <w:pStyle w:val="ListBullet"/>
        <w:spacing w:after="60" w:before="0"/>
      </w:pPr>
      <w:r>
        <w:rPr>
          <w:b/>
          <w:color w:val="333333"/>
        </w:rPr>
        <w:t xml:space="preserve">Objectif : </w:t>
      </w:r>
      <w:r>
        <w:t xml:space="preserve"> Conçue explicitement pour éliminer le comportement en zigzag de la descente de gradient standard.</w:t>
      </w:r>
    </w:p>
    <w:p>
      <w:pPr>
        <w:pStyle w:val="ListBullet"/>
        <w:spacing w:after="60" w:before="0"/>
      </w:pPr>
      <w:r>
        <w:rPr>
          <w:b/>
          <w:color w:val="333333"/>
        </w:rPr>
        <w:t xml:space="preserve">Directions conjuguées : </w:t>
      </w:r>
      <w:r>
        <w:t xml:space="preserve"> Générer des directions de recherche orthogonales par rapport au produit matriciel induit par la Hessienne, évitant d'annuler les optimisations des étapes précédentes.</w:t>
      </w:r>
    </w:p>
    <w:p>
      <w:pPr>
        <w:pStyle w:val="ListBullet"/>
        <w:spacing w:after="60" w:before="0"/>
      </w:pPr>
      <w:r>
        <w:rPr>
          <w:b/>
          <w:color w:val="333333"/>
        </w:rPr>
        <w:t xml:space="preserve">Mise à jour : </w:t>
      </w:r>
      <w:r>
        <w:t xml:space="preserve"> La nouvelle direction intègre un facteur de correction β de la direction précédente : d_{k+1} = -∇f(x_{k+1}) + β_{k+1} * d_k. Le paramètre β est évalué via des formules célèbres (Fletcher-Reeves ou Polak-Ribière).</w:t>
      </w:r>
    </w:p>
    <w:p>
      <w:pPr>
        <w:keepNext/>
        <w:spacing w:before="200" w:after="40"/>
      </w:pPr>
      <w:r>
        <w:rPr>
          <w:rFonts w:ascii="Calibri" w:hAnsi="Calibri"/>
          <w:b/>
          <w:i/>
          <w:color w:val="333333"/>
          <w:sz w:val="24"/>
        </w:rPr>
        <w:t>Applications concrètes :</w:t>
      </w:r>
    </w:p>
    <w:p>
      <w:r>
        <w:t>Ces algorithmes sont massivement exploités dans le traitement d'images réelles, notamment pour le recalage (registration) d'images médicales IRM et pour la restauration/débruitage de signaux visuels détériorés.</w:t>
      </w:r>
    </w:p>
    <w:p>
      <w:r>
        <w:br w:type="page"/>
      </w:r>
    </w:p>
    <w:p>
      <w:pPr>
        <w:keepNext/>
        <w:spacing w:before="360" w:after="160"/>
        <w:pBdr>
          <w:bottom w:val="single" w:sz="12" w:space="4" w:color="1B365D"/>
        </w:pBdr>
      </w:pPr>
      <w:r>
        <w:rPr>
          <w:rFonts w:ascii="Calibri" w:hAnsi="Calibri"/>
          <w:b/>
          <w:color w:val="1B365D"/>
          <w:sz w:val="36"/>
        </w:rPr>
        <w:t>Partie 3 : Optimisation sous Contraintes &amp; Programmation Linéaire</w:t>
      </w:r>
    </w:p>
    <w:p>
      <w:pPr>
        <w:keepNext/>
        <w:spacing w:before="280" w:after="80"/>
      </w:pPr>
      <w:r>
        <w:rPr>
          <w:rFonts w:ascii="Calibri" w:hAnsi="Calibri"/>
          <w:b/>
          <w:color w:val="4A777A"/>
          <w:sz w:val="28"/>
        </w:rPr>
        <w:t>1. Introduction à l'Optimisation sous Contraintes</w:t>
      </w:r>
    </w:p>
    <w:p>
      <w:r>
        <w:t>Ici, l'espace de recherche est restreint à une région géométrique précise définie par des équations d'égalité et des inéquations.</w:t>
      </w:r>
    </w:p>
    <w:p>
      <w:pPr>
        <w:pStyle w:val="ListBullet"/>
        <w:spacing w:after="60" w:before="0"/>
      </w:pPr>
      <w:r>
        <w:rPr>
          <w:b/>
          <w:color w:val="333333"/>
        </w:rPr>
        <w:t xml:space="preserve">Ensemble réalisable (Feasible set) : </w:t>
      </w:r>
      <w:r>
        <w:t xml:space="preserve"> Ensemble de tous les points satisfaisant simultanément l'ensemble des contraintes.</w:t>
      </w:r>
    </w:p>
    <w:p>
      <w:pPr>
        <w:pStyle w:val="ListBullet"/>
        <w:spacing w:after="60" w:before="0"/>
      </w:pPr>
      <w:r>
        <w:rPr>
          <w:b/>
          <w:color w:val="333333"/>
        </w:rPr>
        <w:t xml:space="preserve">Contrainte active : </w:t>
      </w:r>
      <w:r>
        <w:t xml:space="preserve"> Une contrainte d'inégalité g_i(x) ≤ 0 est dite active en un point donné si elle s'y réalise avec une égalité stricte, soit g_i(x) = 0.</w:t>
      </w:r>
    </w:p>
    <w:p>
      <w:pPr>
        <w:keepNext/>
        <w:spacing w:before="280" w:after="80"/>
      </w:pPr>
      <w:r>
        <w:rPr>
          <w:rFonts w:ascii="Calibri" w:hAnsi="Calibri"/>
          <w:b/>
          <w:color w:val="4A777A"/>
          <w:sz w:val="28"/>
        </w:rPr>
        <w:t>2. Conditions d'Optimalité</w:t>
      </w:r>
    </w:p>
    <w:tbl>
      <w:tblPr>
        <w:tblW w:type="auto" w:w="0"/>
        <w:jc w:val="center"/>
        <w:tblLayout w:type="fixed"/>
        <w:tblLook w:firstColumn="1" w:firstRow="1" w:lastColumn="0" w:lastRow="0" w:noHBand="0" w:noVBand="1" w:val="04A0"/>
      </w:tblPr>
      <w:tblGrid>
        <w:gridCol w:w="9360"/>
      </w:tblGrid>
      <w:tr>
        <w:tc>
          <w:tcPr>
            <w:tcW w:type="dxa" w:w="9360"/>
            <w:shd w:fill="F5F7FA"/>
            <w:tcBorders>
              <w:top w:val="none"/>
              <w:left w:val="single" w:sz="36" w:space="0" w:color="1B365D"/>
              <w:bottom w:val="none"/>
              <w:right w:val="none"/>
            </w:tcBorders>
          </w:tcPr>
          <w:p>
            <w:pPr>
              <w:spacing w:before="120" w:after="120"/>
              <w:ind w:left="144" w:right="144"/>
            </w:pPr>
            <w:r>
              <w:rPr>
                <w:b/>
                <w:color w:val="1B365D"/>
                <w:sz w:val="22"/>
              </w:rPr>
              <w:t>Conditions du Premier Ordre (KKT)</w:t>
              <w:br/>
            </w:r>
            <w:r>
              <w:rPr>
                <w:i/>
                <w:color w:val="333333"/>
                <w:sz w:val="21"/>
              </w:rPr>
              <w:t>Les conditions de Karush-Kuhn-Tucker (KKT) définissent les exigences nécessaires du premier ordre pour l'optimalité locale. Elles lient le gradient de la fonction objectif aux gradients des contraintes via les multiplicateurs de Lagrange, en y associant des conditions de complémentarité pour les contraintes d'inégalité.</w:t>
            </w:r>
          </w:p>
        </w:tc>
      </w:tr>
    </w:tbl>
    <w:p>
      <w:pPr>
        <w:spacing w:before="0" w:after="120"/>
      </w:pPr>
    </w:p>
    <w:p>
      <w:pPr>
        <w:pStyle w:val="ListBullet"/>
        <w:spacing w:after="60" w:before="0"/>
      </w:pPr>
      <w:r>
        <w:rPr>
          <w:b/>
          <w:color w:val="333333"/>
        </w:rPr>
        <w:t xml:space="preserve">Conditions du Second Ordre : </w:t>
      </w:r>
      <w:r>
        <w:t xml:space="preserve"> Pour valider qu'un point KKT est un minimum local strict, la matrice Hessienne de la fonction Lagrangienne doit être définie positive sur l'espace tangent des contraintes actives.</w:t>
      </w:r>
    </w:p>
    <w:p>
      <w:pPr>
        <w:keepNext/>
        <w:spacing w:before="280" w:after="80"/>
      </w:pPr>
      <w:r>
        <w:rPr>
          <w:rFonts w:ascii="Calibri" w:hAnsi="Calibri"/>
          <w:b/>
          <w:color w:val="4A777A"/>
          <w:sz w:val="28"/>
        </w:rPr>
        <w:t>3. Programmation Linéaire (LP)</w:t>
      </w:r>
    </w:p>
    <w:p>
      <w:pPr>
        <w:pStyle w:val="ListBullet"/>
        <w:spacing w:after="60" w:before="0"/>
      </w:pPr>
      <w:r>
        <w:rPr>
          <w:b/>
          <w:color w:val="333333"/>
        </w:rPr>
        <w:t xml:space="preserve">Définition : </w:t>
      </w:r>
      <w:r>
        <w:t xml:space="preserve"> Problème où la fonction objectif et toutes les contraintes afférentes sont strictement linéaires.</w:t>
      </w:r>
    </w:p>
    <w:p>
      <w:pPr>
        <w:pStyle w:val="ListBullet"/>
        <w:spacing w:after="60" w:before="0"/>
      </w:pPr>
      <w:r>
        <w:rPr>
          <w:b/>
          <w:color w:val="333333"/>
        </w:rPr>
        <w:t xml:space="preserve">Convexité : </w:t>
      </w:r>
      <w:r>
        <w:t xml:space="preserve"> Les problèmes de programmation linéaire sont intrinsèquement convexes. Par conséquent, tout minimum local trouvé est obligatoirement un minimum global.</w:t>
      </w:r>
    </w:p>
    <w:p>
      <w:pPr>
        <w:pStyle w:val="ListBullet"/>
        <w:spacing w:after="60" w:before="0"/>
      </w:pPr>
      <w:r>
        <w:rPr>
          <w:b/>
          <w:color w:val="333333"/>
        </w:rPr>
        <w:t xml:space="preserve">Points de base réalisables : </w:t>
      </w:r>
      <w:r>
        <w:t xml:space="preserve"> Points géométriques correspondant aux sommets (vertices) du polytope formé par l'ensemble réalisable.</w:t>
      </w:r>
    </w:p>
    <w:p>
      <w:pPr>
        <w:pStyle w:val="ListBullet"/>
        <w:spacing w:after="60" w:before="0"/>
      </w:pPr>
      <w:r>
        <w:rPr>
          <w:b/>
          <w:color w:val="333333"/>
        </w:rPr>
        <w:t xml:space="preserve">Théorème fondamental : </w:t>
      </w:r>
      <w:r>
        <w:t xml:space="preserve"> Si un problème de programmation linéaire possède une solution optimale, alors au moins une de ces solutions optimales se situe sur l'un des points de base réalisables (un sommet).</w:t>
      </w:r>
    </w:p>
    <w:p>
      <w:pPr>
        <w:pStyle w:val="ListBullet"/>
        <w:spacing w:after="60" w:before="0"/>
      </w:pPr>
      <w:r>
        <w:rPr>
          <w:b/>
          <w:color w:val="333333"/>
        </w:rPr>
        <w:t xml:space="preserve">Forme standard : </w:t>
      </w:r>
      <w:r>
        <w:t xml:space="preserve"> Formulation standard consistant à exprimer le problème uniquement sous forme d'égalités (Ax = b) avec des variables positives (x ≥ 0), obtenue par l'introduction de variables d'écart (slack variables).</w:t>
      </w:r>
    </w:p>
    <w:p>
      <w:pPr>
        <w:keepNext/>
        <w:spacing w:before="280" w:after="80"/>
      </w:pPr>
      <w:r>
        <w:rPr>
          <w:rFonts w:ascii="Calibri" w:hAnsi="Calibri"/>
          <w:b/>
          <w:color w:val="4A777A"/>
          <w:sz w:val="28"/>
        </w:rPr>
        <w:t>4. Dualité et Méthode du Simplexe</w:t>
      </w:r>
    </w:p>
    <w:p>
      <w:pPr>
        <w:pStyle w:val="ListBullet"/>
        <w:spacing w:after="60" w:before="0"/>
      </w:pPr>
      <w:r>
        <w:rPr>
          <w:b/>
          <w:color w:val="333333"/>
        </w:rPr>
        <w:t xml:space="preserve">Principe de dualité : </w:t>
      </w:r>
      <w:r>
        <w:t xml:space="preserve"> Tout problème linéaire (Primal) est associé de manière bijective à un problème réciproque (Dual). Les multiplicateurs de Lagrange optimaux du Primal correspondent exactement aux variables optimales du Dual.</w:t>
      </w:r>
    </w:p>
    <w:p>
      <w:pPr>
        <w:pStyle w:val="ListBullet"/>
        <w:spacing w:after="60" w:before="0"/>
      </w:pPr>
      <w:r>
        <w:rPr>
          <w:b/>
          <w:color w:val="333333"/>
        </w:rPr>
        <w:t xml:space="preserve">Méthode du Simplexe : </w:t>
      </w:r>
      <w:r>
        <w:t xml:space="preserve"> Algorithme d'optimisation combinatoire intelligent. Au lieu d'évaluer de manière exhaustive tous les sommets du polytope (ce qui est numériquement impossible), il débute à un sommet initial réalisable puis se déplace le long des arêtes vers un sommet adjacent qui améliore (ou maintient) la valeur de la fonction objectif. Il s'arrête dès qu'aucun sommet voisin n'est meilleur, garantissant l'optimalité globale.</w:t>
      </w:r>
    </w:p>
    <w:p>
      <w:r>
        <w:br w:type="page"/>
      </w:r>
    </w:p>
    <w:p>
      <w:pPr>
        <w:keepNext/>
        <w:spacing w:before="360" w:after="160"/>
        <w:pBdr>
          <w:bottom w:val="single" w:sz="12" w:space="4" w:color="1B365D"/>
        </w:pBdr>
      </w:pPr>
      <w:r>
        <w:rPr>
          <w:rFonts w:ascii="Calibri" w:hAnsi="Calibri"/>
          <w:b/>
          <w:color w:val="1B365D"/>
          <w:sz w:val="36"/>
        </w:rPr>
        <w:t>Partie 4 : Programmation Dynamique &amp; Plus Court Chemin</w:t>
      </w:r>
    </w:p>
    <w:p>
      <w:pPr>
        <w:keepNext/>
        <w:spacing w:before="280" w:after="80"/>
      </w:pPr>
      <w:r>
        <w:rPr>
          <w:rFonts w:ascii="Calibri" w:hAnsi="Calibri"/>
          <w:b/>
          <w:color w:val="4A777A"/>
          <w:sz w:val="28"/>
        </w:rPr>
        <w:t>1. Fondements de la Programmation Dynamique (DP)</w:t>
      </w:r>
    </w:p>
    <w:p>
      <w:pPr>
        <w:pStyle w:val="ListBullet"/>
        <w:spacing w:after="60" w:before="0"/>
      </w:pPr>
      <w:r>
        <w:rPr>
          <w:b/>
          <w:color w:val="333333"/>
        </w:rPr>
        <w:t xml:space="preserve">Principe : </w:t>
      </w:r>
      <w:r>
        <w:t xml:space="preserve"> Décomposition d'un problème d'optimisation global en une séquence chronologique ou logique de sous-décisions à partir d'états intermédiaires.</w:t>
      </w:r>
    </w:p>
    <w:p>
      <w:pPr>
        <w:pStyle w:val="ListBullet"/>
        <w:spacing w:after="60" w:before="0"/>
      </w:pPr>
      <w:r>
        <w:rPr>
          <w:b/>
          <w:color w:val="333333"/>
        </w:rPr>
        <w:t xml:space="preserve">Structure : </w:t>
      </w:r>
      <w:r>
        <w:t xml:space="preserve"> Modélisation sous forme de graphe orienté structuré par niveaux (étapes) contenant des nœuds discrets (états). Passer d'un état à un autre engendre un coût de transition.</w:t>
      </w:r>
    </w:p>
    <w:p>
      <w:pPr>
        <w:pStyle w:val="ListBullet"/>
        <w:spacing w:after="60" w:before="0"/>
      </w:pPr>
      <w:r>
        <w:rPr>
          <w:b/>
          <w:color w:val="333333"/>
        </w:rPr>
        <w:t xml:space="preserve">Applications phares : </w:t>
      </w:r>
      <w:r>
        <w:t xml:space="preserve"> Alignement et appariement optimal de séquences d'ADN (algorithme de Needleman-Wunsch) et optimisation de la chaîne de multiplication de matrices complexes.</w:t>
      </w:r>
    </w:p>
    <w:tbl>
      <w:tblPr>
        <w:tblW w:type="auto" w:w="0"/>
        <w:jc w:val="center"/>
        <w:tblLayout w:type="fixed"/>
        <w:tblLook w:firstColumn="1" w:firstRow="1" w:lastColumn="0" w:lastRow="0" w:noHBand="0" w:noVBand="1" w:val="04A0"/>
      </w:tblPr>
      <w:tblGrid>
        <w:gridCol w:w="9360"/>
      </w:tblGrid>
      <w:tr>
        <w:tc>
          <w:tcPr>
            <w:tcW w:type="dxa" w:w="9360"/>
            <w:shd w:fill="F5F7FA"/>
            <w:tcBorders>
              <w:top w:val="none"/>
              <w:left w:val="single" w:sz="36" w:space="0" w:color="1B365D"/>
              <w:bottom w:val="none"/>
              <w:right w:val="none"/>
            </w:tcBorders>
          </w:tcPr>
          <w:p>
            <w:pPr>
              <w:spacing w:before="120" w:after="120"/>
              <w:ind w:left="144" w:right="144"/>
            </w:pPr>
            <w:r>
              <w:rPr>
                <w:b/>
                <w:color w:val="1B365D"/>
                <w:sz w:val="22"/>
              </w:rPr>
              <w:t>Le Principe d'Optimalité de Bellman</w:t>
              <w:br/>
            </w:r>
            <w:r>
              <w:rPr>
                <w:i/>
                <w:color w:val="333333"/>
                <w:sz w:val="21"/>
              </w:rPr>
              <w:t>Énoncé par Richard Bellman en 1954 : 'Une politique optimale a la propriété que, quels que soient l'état initial et la décision initiale, les décisions restantes doivent constituer une politique optimale par rapport à l'état résultant de la première décision.' Permet de réduire drastiquement la dimensionnalité (éviter la 'malédiction de la dimensionnalité').</w:t>
            </w:r>
          </w:p>
        </w:tc>
      </w:tr>
    </w:tbl>
    <w:p>
      <w:pPr>
        <w:spacing w:before="0" w:after="120"/>
      </w:pPr>
    </w:p>
    <w:p>
      <w:pPr>
        <w:keepNext/>
        <w:spacing w:before="280" w:after="80"/>
      </w:pPr>
      <w:r>
        <w:rPr>
          <w:rFonts w:ascii="Calibri" w:hAnsi="Calibri"/>
          <w:b/>
          <w:color w:val="4A777A"/>
          <w:sz w:val="28"/>
        </w:rPr>
        <w:t>2. Théorie des Graphes et Algorithmes de Plus Court Chemin</w:t>
      </w:r>
    </w:p>
    <w:p>
      <w:r>
        <w:t>Un graphe G=(V,E) est modélisé par des sommets (V) et des arêtes (E) associées à des coûts c_{ij}. Dans un graphe orienté, les transitions sont asymétriques (c_{ij} ≠ c_{ji}). La structure peut être représentée numériquement via une matrice d'adjacence carrée.</w:t>
      </w:r>
    </w:p>
    <w:tbl>
      <w:tblPr>
        <w:tblW w:type="auto" w:w="0"/>
        <w:jc w:val="center"/>
        <w:tblLayout w:type="fixed"/>
        <w:tblLook w:firstColumn="1" w:firstRow="1" w:lastColumn="0" w:lastRow="0" w:noHBand="0" w:noVBand="1" w:val="04A0"/>
      </w:tblPr>
      <w:tblGrid>
        <w:gridCol w:w="2592"/>
        <w:gridCol w:w="3312"/>
        <w:gridCol w:w="3456"/>
      </w:tblGrid>
      <w:tr>
        <w:tc>
          <w:tcPr>
            <w:tcW w:type="dxa" w:w="3120"/>
            <w:shd w:fill="1B365D"/>
          </w:tcPr>
          <w:p>
            <w:pPr>
              <w:spacing w:before="80" w:after="80"/>
              <w:jc w:val="center"/>
            </w:pPr>
            <w:r>
              <w:rPr>
                <w:b/>
                <w:color w:val="FFFFFF"/>
                <w:sz w:val="20"/>
              </w:rPr>
              <w:t>Caractéristique</w:t>
            </w:r>
          </w:p>
        </w:tc>
        <w:tc>
          <w:tcPr>
            <w:tcW w:type="dxa" w:w="3120"/>
            <w:shd w:fill="1B365D"/>
          </w:tcPr>
          <w:p>
            <w:pPr>
              <w:spacing w:before="80" w:after="80"/>
              <w:jc w:val="center"/>
            </w:pPr>
            <w:r>
              <w:rPr>
                <w:b/>
                <w:color w:val="FFFFFF"/>
                <w:sz w:val="20"/>
              </w:rPr>
              <w:t>Algorithme de Dijkstra</w:t>
            </w:r>
          </w:p>
        </w:tc>
        <w:tc>
          <w:tcPr>
            <w:tcW w:type="dxa" w:w="3120"/>
            <w:shd w:fill="1B365D"/>
          </w:tcPr>
          <w:p>
            <w:pPr>
              <w:spacing w:before="80" w:after="80"/>
              <w:jc w:val="center"/>
            </w:pPr>
            <w:r>
              <w:rPr>
                <w:b/>
                <w:color w:val="FFFFFF"/>
                <w:sz w:val="20"/>
              </w:rPr>
              <w:t>Algorithme de Bellman-Ford</w:t>
            </w:r>
          </w:p>
        </w:tc>
      </w:tr>
      <w:tr>
        <w:tc>
          <w:tcPr>
            <w:tcW w:type="dxa" w:w="3120"/>
            <w:shd w:fill="FFFFFF"/>
            <w:tcBorders>
              <w:top w:val="single" w:sz="4" w:space="0" w:color="E0E0E0"/>
              <w:left w:val="none"/>
              <w:bottom w:val="single" w:sz="4" w:space="0" w:color="E0E0E0"/>
              <w:right w:val="none"/>
            </w:tcBorders>
          </w:tcPr>
          <w:p>
            <w:pPr>
              <w:spacing w:before="80" w:after="80"/>
              <w:jc w:val="left"/>
            </w:pPr>
            <w:r>
              <w:rPr>
                <w:sz w:val="19"/>
              </w:rPr>
              <w:t>Nature de l'approche</w:t>
            </w:r>
          </w:p>
        </w:tc>
        <w:tc>
          <w:tcPr>
            <w:tcW w:type="dxa" w:w="3120"/>
            <w:shd w:fill="FFFFFF"/>
            <w:tcBorders>
              <w:top w:val="single" w:sz="4" w:space="0" w:color="E0E0E0"/>
              <w:left w:val="none"/>
              <w:bottom w:val="single" w:sz="4" w:space="0" w:color="E0E0E0"/>
              <w:right w:val="none"/>
            </w:tcBorders>
          </w:tcPr>
          <w:p>
            <w:pPr>
              <w:spacing w:before="80" w:after="80"/>
              <w:jc w:val="left"/>
            </w:pPr>
            <w:r>
              <w:rPr>
                <w:sz w:val="19"/>
              </w:rPr>
              <w:t>Algorithme glouton (Greedy) - choix locaux optimaux successifs.</w:t>
            </w:r>
          </w:p>
        </w:tc>
        <w:tc>
          <w:tcPr>
            <w:tcW w:type="dxa" w:w="3120"/>
            <w:shd w:fill="FFFFFF"/>
            <w:tcBorders>
              <w:top w:val="single" w:sz="4" w:space="0" w:color="E0E0E0"/>
              <w:left w:val="none"/>
              <w:bottom w:val="single" w:sz="4" w:space="0" w:color="E0E0E0"/>
              <w:right w:val="none"/>
            </w:tcBorders>
          </w:tcPr>
          <w:p>
            <w:pPr>
              <w:spacing w:before="80" w:after="80"/>
              <w:jc w:val="left"/>
            </w:pPr>
            <w:r>
              <w:rPr>
                <w:sz w:val="19"/>
              </w:rPr>
              <w:t>Approximations successives basées sur la programmation dynamique.</w:t>
            </w:r>
          </w:p>
        </w:tc>
      </w:tr>
      <w:tr>
        <w:tc>
          <w:tcPr>
            <w:tcW w:type="dxa" w:w="3120"/>
            <w:shd w:fill="F5F7FA"/>
            <w:tcBorders>
              <w:top w:val="single" w:sz="4" w:space="0" w:color="E0E0E0"/>
              <w:left w:val="none"/>
              <w:bottom w:val="single" w:sz="4" w:space="0" w:color="E0E0E0"/>
              <w:right w:val="none"/>
            </w:tcBorders>
          </w:tcPr>
          <w:p>
            <w:pPr>
              <w:spacing w:before="80" w:after="80"/>
              <w:jc w:val="left"/>
            </w:pPr>
            <w:r>
              <w:rPr>
                <w:sz w:val="19"/>
              </w:rPr>
              <w:t>Gestion des poids négatifs</w:t>
            </w:r>
          </w:p>
        </w:tc>
        <w:tc>
          <w:tcPr>
            <w:tcW w:type="dxa" w:w="3120"/>
            <w:shd w:fill="F5F7FA"/>
            <w:tcBorders>
              <w:top w:val="single" w:sz="4" w:space="0" w:color="E0E0E0"/>
              <w:left w:val="none"/>
              <w:bottom w:val="single" w:sz="4" w:space="0" w:color="E0E0E0"/>
              <w:right w:val="none"/>
            </w:tcBorders>
          </w:tcPr>
          <w:p>
            <w:pPr>
              <w:spacing w:before="80" w:after="80"/>
              <w:jc w:val="left"/>
            </w:pPr>
            <w:r>
              <w:rPr>
                <w:sz w:val="19"/>
              </w:rPr>
              <w:t>Interdite. Échoue ou produit des résultats faux si des arêtes sont négatives.</w:t>
            </w:r>
          </w:p>
        </w:tc>
        <w:tc>
          <w:tcPr>
            <w:tcW w:type="dxa" w:w="3120"/>
            <w:shd w:fill="F5F7FA"/>
            <w:tcBorders>
              <w:top w:val="single" w:sz="4" w:space="0" w:color="E0E0E0"/>
              <w:left w:val="none"/>
              <w:bottom w:val="single" w:sz="4" w:space="0" w:color="E0E0E0"/>
              <w:right w:val="none"/>
            </w:tcBorders>
          </w:tcPr>
          <w:p>
            <w:pPr>
              <w:spacing w:before="80" w:after="80"/>
              <w:jc w:val="left"/>
            </w:pPr>
            <w:r>
              <w:rPr>
                <w:sz w:val="19"/>
              </w:rPr>
              <w:t>Autorisée. Gère nativement les coûts négatifs.</w:t>
            </w:r>
          </w:p>
        </w:tc>
      </w:tr>
      <w:tr>
        <w:tc>
          <w:tcPr>
            <w:tcW w:type="dxa" w:w="3120"/>
            <w:shd w:fill="FFFFFF"/>
            <w:tcBorders>
              <w:top w:val="single" w:sz="4" w:space="0" w:color="E0E0E0"/>
              <w:left w:val="none"/>
              <w:bottom w:val="single" w:sz="4" w:space="0" w:color="E0E0E0"/>
              <w:right w:val="none"/>
            </w:tcBorders>
          </w:tcPr>
          <w:p>
            <w:pPr>
              <w:spacing w:before="80" w:after="80"/>
              <w:jc w:val="left"/>
            </w:pPr>
            <w:r>
              <w:rPr>
                <w:sz w:val="19"/>
              </w:rPr>
              <w:t>Limites majeures</w:t>
            </w:r>
          </w:p>
        </w:tc>
        <w:tc>
          <w:tcPr>
            <w:tcW w:type="dxa" w:w="3120"/>
            <w:shd w:fill="FFFFFF"/>
            <w:tcBorders>
              <w:top w:val="single" w:sz="4" w:space="0" w:color="E0E0E0"/>
              <w:left w:val="none"/>
              <w:bottom w:val="single" w:sz="4" w:space="0" w:color="E0E0E0"/>
              <w:right w:val="none"/>
            </w:tcBorders>
          </w:tcPr>
          <w:p>
            <w:pPr>
              <w:spacing w:before="80" w:after="80"/>
              <w:jc w:val="left"/>
            </w:pPr>
            <w:r>
              <w:rPr>
                <w:sz w:val="19"/>
              </w:rPr>
              <w:t>Restreint aux poids strictement positifs.</w:t>
            </w:r>
          </w:p>
        </w:tc>
        <w:tc>
          <w:tcPr>
            <w:tcW w:type="dxa" w:w="3120"/>
            <w:shd w:fill="FFFFFF"/>
            <w:tcBorders>
              <w:top w:val="single" w:sz="4" w:space="0" w:color="E0E0E0"/>
              <w:left w:val="none"/>
              <w:bottom w:val="single" w:sz="4" w:space="0" w:color="E0E0E0"/>
              <w:right w:val="none"/>
            </w:tcBorders>
          </w:tcPr>
          <w:p>
            <w:pPr>
              <w:spacing w:before="80" w:after="80"/>
              <w:jc w:val="left"/>
            </w:pPr>
            <w:r>
              <w:rPr>
                <w:sz w:val="19"/>
              </w:rPr>
              <w:t>Échoue en présence d'un cycle de poids total négatif (boucle infinie).</w:t>
            </w:r>
          </w:p>
        </w:tc>
      </w:tr>
    </w:tbl>
    <w:p>
      <w:r>
        <w:br w:type="page"/>
      </w:r>
    </w:p>
    <w:p>
      <w:pPr>
        <w:keepNext/>
        <w:spacing w:before="360" w:after="160"/>
        <w:pBdr>
          <w:bottom w:val="single" w:sz="12" w:space="4" w:color="1B365D"/>
        </w:pBdr>
      </w:pPr>
      <w:r>
        <w:rPr>
          <w:rFonts w:ascii="Calibri" w:hAnsi="Calibri"/>
          <w:b/>
          <w:color w:val="1B365D"/>
          <w:sz w:val="36"/>
        </w:rPr>
        <w:t>Partie 5 : Optimisation Appliquée au Machine Learning</w:t>
      </w:r>
    </w:p>
    <w:p>
      <w:pPr>
        <w:keepNext/>
        <w:spacing w:before="280" w:after="80"/>
      </w:pPr>
      <w:r>
        <w:rPr>
          <w:rFonts w:ascii="Calibri" w:hAnsi="Calibri"/>
          <w:b/>
          <w:color w:val="4A777A"/>
          <w:sz w:val="28"/>
        </w:rPr>
        <w:t>1. Principes Mathématiques du Machine Learning</w:t>
      </w:r>
    </w:p>
    <w:p>
      <w:pPr>
        <w:pStyle w:val="ListBullet"/>
        <w:spacing w:after="60" w:before="0"/>
      </w:pPr>
      <w:r>
        <w:rPr>
          <w:b/>
          <w:color w:val="333333"/>
        </w:rPr>
        <w:t xml:space="preserve">Tâches : </w:t>
      </w:r>
      <w:r>
        <w:t xml:space="preserve"> Classification (discriminer des classes, ex: cellules saines vs cancéreuses) ou Régression (prédire une valeur numérique continue).</w:t>
      </w:r>
    </w:p>
    <w:p>
      <w:pPr>
        <w:pStyle w:val="ListBullet"/>
        <w:spacing w:after="60" w:before="0"/>
      </w:pPr>
      <w:r>
        <w:rPr>
          <w:b/>
          <w:color w:val="333333"/>
        </w:rPr>
        <w:t xml:space="preserve">Apprentissage : </w:t>
      </w:r>
      <w:r>
        <w:t xml:space="preserve"> Supervisé (présence de labels historiques connus) vs Non Supervisé (découverte autonome de structures cachées, ex: K-Means, PCA).</w:t>
      </w:r>
    </w:p>
    <w:p>
      <w:pPr>
        <w:pStyle w:val="ListBullet"/>
        <w:spacing w:after="60" w:before="0"/>
      </w:pPr>
      <w:r>
        <w:rPr>
          <w:b/>
          <w:color w:val="333333"/>
        </w:rPr>
        <w:t xml:space="preserve">Théorème 'No Free Lunch' : </w:t>
      </w:r>
      <w:r>
        <w:t xml:space="preserve"> Aucun algorithme d'apprentissage n'est universellement supérieur à un autre pour toutes les tâches possibles.</w:t>
      </w:r>
    </w:p>
    <w:p>
      <w:pPr>
        <w:keepNext/>
        <w:spacing w:before="280" w:after="80"/>
      </w:pPr>
      <w:r>
        <w:rPr>
          <w:rFonts w:ascii="Calibri" w:hAnsi="Calibri"/>
          <w:b/>
          <w:color w:val="4A777A"/>
          <w:sz w:val="28"/>
        </w:rPr>
        <w:t>2. Le Défi Crucial de la Généralisation</w:t>
      </w:r>
    </w:p>
    <w:p>
      <w:pPr>
        <w:pStyle w:val="ListBullet"/>
        <w:spacing w:after="60" w:before="0"/>
      </w:pPr>
      <w:r>
        <w:rPr>
          <w:b/>
          <w:color w:val="333333"/>
        </w:rPr>
        <w:t xml:space="preserve">Sous-apprentissage (Underfitting) : </w:t>
      </w:r>
      <w:r>
        <w:t xml:space="preserve"> Modèle mathématique trop simple par rapport à la complexité de la distribution des données (erreur d'entraînement élevée).</w:t>
      </w:r>
    </w:p>
    <w:p>
      <w:pPr>
        <w:pStyle w:val="ListBullet"/>
        <w:spacing w:after="60" w:before="0"/>
      </w:pPr>
      <w:r>
        <w:rPr>
          <w:b/>
          <w:color w:val="333333"/>
        </w:rPr>
        <w:t xml:space="preserve">Surapprentissage (Overfitting) : </w:t>
      </w:r>
      <w:r>
        <w:t xml:space="preserve"> Le modèle apprend par cœur le bruit ou les spécificités du jeu d'entraînement, perdant tout pouvoir de prédiction sur de nouvelles données.</w:t>
      </w:r>
    </w:p>
    <w:p>
      <w:pPr>
        <w:pStyle w:val="ListBullet"/>
        <w:spacing w:after="60" w:before="0"/>
      </w:pPr>
      <w:r>
        <w:rPr>
          <w:b/>
          <w:color w:val="333333"/>
        </w:rPr>
        <w:t xml:space="preserve">Hyperparamètres : </w:t>
      </w:r>
      <w:r>
        <w:t xml:space="preserve"> Paramètres de structure non optimisés par la fonction de coût principale (ex: degré de liberté, coefficient de régularisation), devant être ajustés par Validation Croisée (K-Fold).</w:t>
      </w:r>
    </w:p>
    <w:p>
      <w:pPr>
        <w:keepNext/>
        <w:spacing w:before="280" w:after="80"/>
      </w:pPr>
      <w:r>
        <w:rPr>
          <w:rFonts w:ascii="Calibri" w:hAnsi="Calibri"/>
          <w:b/>
          <w:color w:val="4A777A"/>
          <w:sz w:val="28"/>
        </w:rPr>
        <w:t>3. Différences Conceptuelles : ML vs Optimisation Pure</w:t>
      </w:r>
    </w:p>
    <w:p>
      <w:r>
        <w:t>Le Machine Learning n'effectue qu'une optimisation indirecte pour les raisons suivantes :</w:t>
      </w:r>
    </w:p>
    <w:p>
      <w:pPr>
        <w:pStyle w:val="ListBullet"/>
        <w:spacing w:after="60" w:before="0"/>
      </w:pPr>
      <w:r>
        <w:rPr>
          <w:b/>
          <w:color w:val="333333"/>
        </w:rPr>
        <w:t xml:space="preserve">Minimisation du Risque Empirique : </w:t>
      </w:r>
      <w:r>
        <w:t xml:space="preserve"> On ne peut minimiser le vrai risque sur l'univers total des données. On se restreint à minimiser le risque empirique sur l'échantillon d'entraînement.</w:t>
      </w:r>
    </w:p>
    <w:p>
      <w:pPr>
        <w:pStyle w:val="ListBullet"/>
        <w:spacing w:after="60" w:before="0"/>
      </w:pPr>
      <w:r>
        <w:rPr>
          <w:b/>
          <w:color w:val="333333"/>
        </w:rPr>
        <w:t xml:space="preserve">Fonction de Coût de Substitution (Surrogate Loss) : </w:t>
      </w:r>
      <w:r>
        <w:t xml:space="preserve"> Remplacement de la métrique de performance réelle (ex: taux d'erreur, non dérivable) par une fonction de coût dérivable et mathématiquement traitable (ex: log-vraisemblance).</w:t>
      </w:r>
    </w:p>
    <w:p>
      <w:pPr>
        <w:pStyle w:val="ListBullet"/>
        <w:spacing w:after="60" w:before="0"/>
      </w:pPr>
      <w:r>
        <w:rPr>
          <w:b/>
          <w:color w:val="333333"/>
        </w:rPr>
        <w:t xml:space="preserve">Arrêt Prématuré (Early Stopping) : </w:t>
      </w:r>
      <w:r>
        <w:t xml:space="preserve"> Arrêt volontaire de la descente d'optimisation dès que l'erreur mesurée sur un jeu de validation indépendant commence à croître, prévenant le surapprentissage.</w:t>
      </w:r>
    </w:p>
    <w:p>
      <w:pPr>
        <w:pStyle w:val="ListBullet"/>
        <w:spacing w:after="60" w:before="0"/>
      </w:pPr>
      <w:r>
        <w:rPr>
          <w:b/>
          <w:color w:val="333333"/>
        </w:rPr>
        <w:t xml:space="preserve">Mini-lots (Minibatches) : </w:t>
      </w:r>
      <w:r>
        <w:t xml:space="preserve"> Calcul de l'approximation du gradient sur de petits sous-ensembles de données tirés aléatoirement pour accélérer massivement le traitement de volumes massifs.</w:t>
      </w:r>
    </w:p>
    <w:p>
      <w:pPr>
        <w:keepNext/>
        <w:spacing w:before="280" w:after="80"/>
      </w:pPr>
      <w:r>
        <w:rPr>
          <w:rFonts w:ascii="Calibri" w:hAnsi="Calibri"/>
          <w:b/>
          <w:color w:val="4A777A"/>
          <w:sz w:val="28"/>
        </w:rPr>
        <w:t>4. Algorithmes Classiques vus comme des Problèmes d'Optimisation</w:t>
      </w:r>
    </w:p>
    <w:p>
      <w:pPr>
        <w:pStyle w:val="ListBullet"/>
        <w:spacing w:after="60" w:before="0"/>
      </w:pPr>
      <w:r>
        <w:rPr>
          <w:b/>
          <w:color w:val="333333"/>
        </w:rPr>
        <w:t xml:space="preserve">Régression Linéaire &amp; Régularisation : </w:t>
      </w:r>
      <w:r>
        <w:t xml:space="preserve"> Minimise l'erreur quadratique moyenne (MSE). L'ajout d'une pénalité L1 (Lasso) ou L2 (Ridge) contraint la norme des poids pour juguler le surapprentissage.</w:t>
      </w:r>
    </w:p>
    <w:p>
      <w:pPr>
        <w:pStyle w:val="ListBullet"/>
        <w:spacing w:after="60" w:before="0"/>
      </w:pPr>
      <w:r>
        <w:rPr>
          <w:b/>
          <w:color w:val="333333"/>
        </w:rPr>
        <w:t xml:space="preserve">PCA (Analyse en Composantes Principales) : </w:t>
      </w:r>
      <w:r>
        <w:t xml:space="preserve"> Problème de maximisation de la variance des projections orthogonales, ou de minimisation de l'erreur de reconstruction géométrique.</w:t>
      </w:r>
    </w:p>
    <w:p>
      <w:pPr>
        <w:pStyle w:val="ListBullet"/>
        <w:spacing w:after="60" w:before="0"/>
      </w:pPr>
      <w:r>
        <w:rPr>
          <w:b/>
          <w:color w:val="333333"/>
        </w:rPr>
        <w:t xml:space="preserve">K-Means : </w:t>
      </w:r>
      <w:r>
        <w:t xml:space="preserve"> Problème NP-difficile visant à minimiser la variance intra-classe (distances euclidiennes aux centres de clusters), résolu de manière itérative locale via l'algorithme de Lloyd.</w:t>
      </w:r>
    </w:p>
    <w:p>
      <w:pPr>
        <w:pStyle w:val="ListBullet"/>
        <w:spacing w:after="60" w:before="0"/>
      </w:pPr>
      <w:r>
        <w:rPr>
          <w:b/>
          <w:color w:val="333333"/>
        </w:rPr>
        <w:t xml:space="preserve">Régression Logistique : </w:t>
      </w:r>
      <w:r>
        <w:t xml:space="preserve"> Classification probabiliste via l'application d'une fonction sigmoïde. Le problème consiste à minimiser la log-vraisemblance négative via une descente de gradient.</w:t>
      </w:r>
    </w:p>
    <w:p>
      <w:r>
        <w:br w:type="page"/>
      </w:r>
    </w:p>
    <w:p>
      <w:pPr>
        <w:keepNext/>
        <w:spacing w:before="360" w:after="160"/>
        <w:pBdr>
          <w:bottom w:val="single" w:sz="12" w:space="4" w:color="1B365D"/>
        </w:pBdr>
      </w:pPr>
      <w:r>
        <w:rPr>
          <w:rFonts w:ascii="Calibri" w:hAnsi="Calibri"/>
          <w:b/>
          <w:color w:val="1B365D"/>
          <w:sz w:val="36"/>
        </w:rPr>
        <w:t>Partie 6 : Prétraitement des Données &amp; Réglage des Hyperparamètres</w:t>
      </w:r>
    </w:p>
    <w:p>
      <w:pPr>
        <w:keepNext/>
        <w:spacing w:before="280" w:after="80"/>
      </w:pPr>
      <w:r>
        <w:rPr>
          <w:rFonts w:ascii="Calibri" w:hAnsi="Calibri"/>
          <w:b/>
          <w:color w:val="4A777A"/>
          <w:sz w:val="28"/>
        </w:rPr>
        <w:t>1. Distribution et Structuration Rigoureuse des Données</w:t>
      </w:r>
    </w:p>
    <w:p>
      <w:pPr>
        <w:pStyle w:val="ListBullet"/>
        <w:spacing w:after="60" w:before="0"/>
      </w:pPr>
      <w:r>
        <w:rPr>
          <w:b/>
          <w:color w:val="333333"/>
        </w:rPr>
        <w:t xml:space="preserve">Split Train/Test : </w:t>
      </w:r>
      <w:r>
        <w:t xml:space="preserve"> Séparation impérative des données entre Entraînement (apprentissage des paramètres) et Test (évaluation stricte de la généralisation).</w:t>
      </w:r>
    </w:p>
    <w:p>
      <w:pPr>
        <w:pStyle w:val="ListBullet"/>
        <w:spacing w:after="60" w:before="0"/>
      </w:pPr>
      <w:r>
        <w:rPr>
          <w:b/>
          <w:color w:val="333333"/>
        </w:rPr>
        <w:t xml:space="preserve">Stratification : </w:t>
      </w:r>
      <w:r>
        <w:t xml:space="preserve"> Garantir que la proportion d'échantillons de chaque classe reste identique au sein des sous-ensembles d'entraînement et de test.</w:t>
      </w:r>
    </w:p>
    <w:p>
      <w:pPr>
        <w:pStyle w:val="ListBullet"/>
        <w:spacing w:after="60" w:before="0"/>
      </w:pPr>
      <w:r>
        <w:rPr>
          <w:b/>
          <w:color w:val="333333"/>
        </w:rPr>
        <w:t xml:space="preserve">Contraintes Patients (Crucial pour le Projet) : </w:t>
      </w:r>
      <w:r>
        <w:t xml:space="preserve"> Si plusieurs images proviennent d'un même patient, elles doivent être groupées exclusivement au même endroit (soit tout en train, soit tout en test). Séparer les données d'un patient biaise l'évaluation (Data Leakage), le modèle reconnaissant le patient au lieu de la pathologie médicale.</w:t>
      </w:r>
    </w:p>
    <w:p>
      <w:pPr>
        <w:keepNext/>
        <w:spacing w:before="280" w:after="80"/>
      </w:pPr>
      <w:r>
        <w:rPr>
          <w:rFonts w:ascii="Calibri" w:hAnsi="Calibri"/>
          <w:b/>
          <w:color w:val="4A777A"/>
          <w:sz w:val="28"/>
        </w:rPr>
        <w:t>2. Sélection Algorithmique de Caractéristiques (Feature Selection)</w:t>
      </w:r>
    </w:p>
    <w:p>
      <w:r>
        <w:t>Objectifs majeurs : maximiser la précision, réduire les temps de calcul machine et éliminer l'inter-corrélation redondante des descripteurs.</w:t>
      </w:r>
    </w:p>
    <w:p>
      <w:pPr>
        <w:pStyle w:val="ListBullet"/>
        <w:spacing w:after="60" w:before="0"/>
      </w:pPr>
      <w:r>
        <w:rPr>
          <w:b/>
          <w:color w:val="333333"/>
        </w:rPr>
        <w:t xml:space="preserve">Sélection Univariée : </w:t>
      </w:r>
      <w:r>
        <w:t xml:space="preserve"> Évaluation mathématique isolée de chaque variable d'entrée.</w:t>
      </w:r>
    </w:p>
    <w:p>
      <w:pPr>
        <w:pStyle w:val="ListBullet2"/>
        <w:spacing w:after="60" w:before="0"/>
      </w:pPr>
      <w:r>
        <w:rPr>
          <w:b/>
          <w:color w:val="333333"/>
        </w:rPr>
        <w:t xml:space="preserve">• Pour la Régression : </w:t>
      </w:r>
      <w:r>
        <w:t xml:space="preserve"> Test F de Fisher (corrélation linéaire) ou Information Mutuelle (dépendances non linéaires).</w:t>
      </w:r>
    </w:p>
    <w:p>
      <w:pPr>
        <w:pStyle w:val="ListBullet2"/>
        <w:spacing w:after="60" w:before="0"/>
      </w:pPr>
      <w:r>
        <w:rPr>
          <w:b/>
          <w:color w:val="333333"/>
        </w:rPr>
        <w:t xml:space="preserve">• Pour la Classification : </w:t>
      </w:r>
      <w:r>
        <w:t xml:space="preserve"> Test du Chi-carré (χ²), test ANOVA (comparaison des moyennes), ou Information Mutuelle.</w:t>
      </w:r>
    </w:p>
    <w:p>
      <w:pPr>
        <w:pStyle w:val="ListBullet"/>
        <w:spacing w:after="60" w:before="0"/>
      </w:pPr>
      <w:r>
        <w:rPr>
          <w:b/>
          <w:color w:val="333333"/>
        </w:rPr>
        <w:t xml:space="preserve">Élimination Récursive (RFE) : </w:t>
      </w:r>
      <w:r>
        <w:t xml:space="preserve"> Algorithme itératif qui entraîne un modèle, évalue l'importance relative de chaque descripteur (via ses coefficients ou poids), élimine la variable la moins pertinente, et répète l'opération jusqu'à obtention du sous-ensemble cible.</w:t>
      </w:r>
    </w:p>
    <w:p>
      <w:pPr>
        <w:pStyle w:val="ListBullet"/>
        <w:spacing w:after="60" w:before="0"/>
      </w:pPr>
      <w:r>
        <w:rPr>
          <w:b/>
          <w:color w:val="333333"/>
        </w:rPr>
        <w:t xml:space="preserve">Sélection basée sur les Arbres : </w:t>
      </w:r>
      <w:r>
        <w:t xml:space="preserve"> Utilisation de structures en arbres de décision basées sur des métriques de pureté comme l'indice de Gini ou l'entropie croisée.</w:t>
      </w:r>
    </w:p>
    <w:p>
      <w:pPr>
        <w:pStyle w:val="ListBullet"/>
        <w:spacing w:after="60" w:before="0"/>
      </w:pPr>
      <w:r>
        <w:rPr>
          <w:b/>
          <w:color w:val="333333"/>
        </w:rPr>
        <w:t xml:space="preserve">Sélection Séquentielle (SFS) : </w:t>
      </w:r>
      <w:r>
        <w:t xml:space="preserve"> Approches gloutonnes séquentielles : 'Forward' (part d'un ensemble vide et ajoute le meilleur élément successif) et 'Backward' (part de toutes les variables et retire successivement la moins explicative).</w:t>
      </w:r>
    </w:p>
    <w:p>
      <w:pPr>
        <w:keepNext/>
        <w:spacing w:before="280" w:after="80"/>
      </w:pPr>
      <w:r>
        <w:rPr>
          <w:rFonts w:ascii="Calibri" w:hAnsi="Calibri"/>
          <w:b/>
          <w:color w:val="4A777A"/>
          <w:sz w:val="28"/>
        </w:rPr>
        <w:t>3. Méthodes d'Optimisation des Hyperparamètres</w:t>
      </w:r>
    </w:p>
    <w:p>
      <w:pPr>
        <w:pStyle w:val="ListBullet"/>
        <w:spacing w:after="60" w:before="0"/>
      </w:pPr>
      <w:r>
        <w:rPr>
          <w:b/>
          <w:color w:val="333333"/>
        </w:rPr>
        <w:t xml:space="preserve">Recherche sur Grille (Grid Search) : </w:t>
      </w:r>
      <w:r>
        <w:t xml:space="preserve"> Technique de force brute testant de manière exhaustive le produit cartésien complet d'une grille de paramètres prédéfinie. Son coût de calcul grandit de manière exponentielle avec le nombre de paramètres.</w:t>
      </w:r>
    </w:p>
    <w:p>
      <w:pPr>
        <w:pStyle w:val="ListBullet"/>
        <w:spacing w:after="60" w:before="0"/>
      </w:pPr>
      <w:r>
        <w:rPr>
          <w:b/>
          <w:color w:val="333333"/>
        </w:rPr>
        <w:t xml:space="preserve">Recherche Aléatoire (Randomized Search) : </w:t>
      </w:r>
      <w:r>
        <w:t xml:space="preserve"> Échantillonnage aléatoire d'un nombre fixe de combinaisons au sein d'une loi de probabilité définie. Elle explore l'espace de manière beaucoup plus rapide et efficace, parvenant fréquemment à des performances équivalentes voire supérieures à la Grid Search pour une fraction de son coût computationnel.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