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ABB6E" w14:textId="77777777" w:rsidR="00332F18" w:rsidRDefault="009D33EB">
      <w:pPr>
        <w:pStyle w:val="berschrift1"/>
        <w:spacing w:before="600" w:after="600"/>
      </w:pPr>
      <w:r>
        <w:t>12052.VAR_schwenter_NEG</w:t>
      </w:r>
    </w:p>
    <w:p w14:paraId="11156D7D" w14:textId="77777777" w:rsidR="00332F18" w:rsidRDefault="009D33EB">
      <w:pPr>
        <w:pStyle w:val="berschrift5"/>
        <w:spacing w:before="480" w:after="160"/>
      </w:pPr>
      <w:r>
        <w:t>source</w:t>
      </w:r>
    </w:p>
    <w:p w14:paraId="7E161811" w14:textId="77777777" w:rsidR="00332F18" w:rsidRDefault="009D33EB">
      <w:r>
        <w:t xml:space="preserve">Schwenter, Scott. (2005). The pragmatics of negation in Brazilian Portuguese. Lingua. 115. 1427-1456. </w:t>
      </w:r>
      <w:hyperlink r:id="rId6">
        <w:r>
          <w:rPr>
            <w:rStyle w:val="Link"/>
          </w:rPr>
          <w:t>10.1016/j.lingua.2004.06.006.</w:t>
        </w:r>
      </w:hyperlink>
    </w:p>
    <w:p w14:paraId="30A64534" w14:textId="77777777" w:rsidR="00332F18" w:rsidRDefault="009D33EB">
      <w:pPr>
        <w:pStyle w:val="berschrift2"/>
        <w:spacing w:before="960" w:after="240"/>
      </w:pPr>
      <w:r>
        <w:t>main</w:t>
      </w:r>
    </w:p>
    <w:p w14:paraId="75B9ADA2" w14:textId="77777777" w:rsidR="00332F18" w:rsidRDefault="009D33EB">
      <w:r>
        <w:t>Schwenter versucht in seiner Studie, aufbauend auf Ellen Prince's (1981)</w:t>
      </w:r>
      <w:r>
        <w:rPr>
          <w:vertAlign w:val="superscript"/>
        </w:rPr>
        <w:footnoteReference w:id="1"/>
      </w:r>
      <w:r>
        <w:t xml:space="preserve"> "taxonomy of given and new </w:t>
      </w:r>
      <w:r>
        <w:t xml:space="preserve">information", drei im brasilianischen Portugiesisch vorkommende Formen der Verneinung mittels der diesen zugrundeliegenden </w:t>
      </w:r>
      <w:r>
        <w:rPr>
          <w:rStyle w:val="Betont"/>
        </w:rPr>
        <w:t>information structure</w:t>
      </w:r>
      <w:r>
        <w:t xml:space="preserve"> zu erklären. Er nimmt damit eine Gegenposition zu Barme (2000),</w:t>
      </w:r>
      <w:r>
        <w:rPr>
          <w:vertAlign w:val="superscript"/>
        </w:rPr>
        <w:footnoteReference w:id="2"/>
      </w:r>
      <w:r>
        <w:t xml:space="preserve"> Schwegler (1988</w:t>
      </w:r>
      <w:r>
        <w:rPr>
          <w:vertAlign w:val="superscript"/>
        </w:rPr>
        <w:footnoteReference w:id="3"/>
      </w:r>
      <w:r>
        <w:t>, 1991</w:t>
      </w:r>
      <w:r>
        <w:rPr>
          <w:vertAlign w:val="superscript"/>
        </w:rPr>
        <w:footnoteReference w:id="4"/>
      </w:r>
      <w:r>
        <w:t>) ein, deren Ansätze</w:t>
      </w:r>
      <w:r>
        <w:t xml:space="preserve">, Verneinung mit dem "konstanten und universalen psycholinguistisches [Bedürfnis: </w:t>
      </w:r>
      <w:r>
        <w:rPr>
          <w:rStyle w:val="Betont"/>
        </w:rPr>
        <w:t>need</w:t>
      </w:r>
      <w:r>
        <w:t>], das Negative zu betonen [</w:t>
      </w:r>
      <w:r>
        <w:rPr>
          <w:rStyle w:val="Betont"/>
        </w:rPr>
        <w:t>emphasize</w:t>
      </w:r>
      <w:r>
        <w:t>]" zu begründen, er bis zu Otto Jesperson (1917)</w:t>
      </w:r>
      <w:r>
        <w:rPr>
          <w:vertAlign w:val="superscript"/>
        </w:rPr>
        <w:footnoteReference w:id="5"/>
      </w:r>
      <w:r>
        <w:t xml:space="preserve"> zurückverfolgt. Seine Idee ist, in der Informationsstruktur angelegte Hierarchien </w:t>
      </w:r>
      <w:r>
        <w:t xml:space="preserve">von </w:t>
      </w:r>
      <w:r>
        <w:rPr>
          <w:rStyle w:val="Betont"/>
        </w:rPr>
        <w:t>givenness</w:t>
      </w:r>
      <w:r>
        <w:t>, die für Sprecher Diskursreferenten als jeweils bekannt oder neu definieren, dem Grad der Markiertheit einer Negation zugrundezulegen. Die Markiertheit der Negationen [NEG2,NEG3] des brasililianischen Portugiesisch, die als nichtkanonisch aus</w:t>
      </w:r>
      <w:r>
        <w:t xml:space="preserve">gewiesen werden, beweist </w:t>
      </w:r>
      <w:r>
        <w:lastRenderedPageBreak/>
        <w:t>er hiermit nicht aus distributorischen sondern funktionalen Gesichtspunkten; dem Umstand, dasz sie Annahmen verneinen, die im aktuellen Diskurs bereits aktiviert wurden – eine Ansicht, die der "prominenten" Sichtweise (zb. Jesperso</w:t>
      </w:r>
      <w:r>
        <w:t>ns, Horns, Givons), dasz Negationen hauptsächlich (i.e. unmarkiert) auf bereits aktivierte Annahmen ausgerichtet seien, entgegensteht.</w:t>
      </w:r>
    </w:p>
    <w:sectPr w:rsidR="00332F18">
      <w:footerReference w:type="default" r:id="rId7"/>
      <w:footnotePr>
        <w:numRestart w:val="eachSect"/>
      </w:footnotePr>
      <w:endnotePr>
        <w:pos w:val="sectEnd"/>
        <w:numFmt w:val="decimal"/>
        <w:numRestart w:val="eachSect"/>
      </w:endnotePr>
      <w:pgSz w:w="11900" w:h="16840"/>
      <w:pgMar w:top="1417" w:right="1417" w:bottom="1700" w:left="1417" w:header="0" w:footer="1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8A52C" w14:textId="77777777" w:rsidR="009D33EB" w:rsidRDefault="009D33EB">
      <w:pPr>
        <w:spacing w:line="240" w:lineRule="auto"/>
      </w:pPr>
      <w:r>
        <w:separator/>
      </w:r>
    </w:p>
  </w:endnote>
  <w:endnote w:type="continuationSeparator" w:id="0">
    <w:p w14:paraId="3D3973E9" w14:textId="77777777" w:rsidR="009D33EB" w:rsidRDefault="009D33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venir Next Regular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75EFA5" w14:textId="77777777" w:rsidR="00332F18" w:rsidRDefault="009D33EB">
    <w:pPr>
      <w:jc w:val="right"/>
    </w:pPr>
    <w:r>
      <w:fldChar w:fldCharType="begin"/>
    </w:r>
    <w:r>
      <w:instrText>PAGE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D177F" w14:textId="77777777" w:rsidR="009D33EB" w:rsidRDefault="009D33EB">
      <w:pPr>
        <w:spacing w:before="566" w:after="200"/>
        <w:jc w:val="left"/>
      </w:pPr>
      <w:r>
        <w:separator/>
      </w:r>
    </w:p>
  </w:footnote>
  <w:footnote w:type="continuationSeparator" w:id="0">
    <w:p w14:paraId="796AE4D7" w14:textId="77777777" w:rsidR="009D33EB" w:rsidRDefault="009D33EB">
      <w:pPr>
        <w:spacing w:before="566" w:after="200"/>
        <w:jc w:val="left"/>
      </w:pPr>
      <w:r>
        <w:continuationSeparator/>
      </w:r>
    </w:p>
  </w:footnote>
  <w:footnote w:id="1">
    <w:p w14:paraId="37B3EA5B" w14:textId="77777777" w:rsidR="00332F18" w:rsidRDefault="009D33EB">
      <w:pPr>
        <w:pStyle w:val="Funotentext"/>
        <w:tabs>
          <w:tab w:val="left" w:pos="600"/>
        </w:tabs>
        <w:ind w:hanging="400"/>
      </w:pPr>
      <w:r>
        <w:rPr>
          <w:rStyle w:val="Funotenzeichen"/>
        </w:rPr>
        <w:footnoteRef/>
      </w:r>
      <w:r>
        <w:rPr>
          <w:rStyle w:val="Funotenzeichen"/>
        </w:rPr>
        <w:tab/>
      </w:r>
      <w:r>
        <w:rPr>
          <w:sz w:val="18"/>
          <w:szCs w:val="18"/>
        </w:rPr>
        <w:t xml:space="preserve">Prince, E.. (1981). Towards a taxonomy of given-new information. Radical Pragmatics. 223-256. </w:t>
      </w:r>
    </w:p>
  </w:footnote>
  <w:footnote w:id="2">
    <w:p w14:paraId="0C327888" w14:textId="77777777" w:rsidR="00332F18" w:rsidRDefault="009D33EB">
      <w:pPr>
        <w:pStyle w:val="Funotentext"/>
        <w:tabs>
          <w:tab w:val="left" w:pos="600"/>
        </w:tabs>
        <w:ind w:hanging="400"/>
      </w:pPr>
      <w:r>
        <w:rPr>
          <w:rStyle w:val="Funotenzeichen"/>
        </w:rPr>
        <w:footnoteRef/>
      </w:r>
      <w:r>
        <w:rPr>
          <w:rStyle w:val="Funotenzeichen"/>
        </w:rPr>
        <w:tab/>
      </w:r>
      <w:r>
        <w:rPr>
          <w:sz w:val="18"/>
          <w:szCs w:val="18"/>
        </w:rPr>
        <w:t xml:space="preserve">Barme. (2005). A negação no brasileiro falado informal. Zeitschrift für romanische Philologie, 121(3), 405–425. </w:t>
      </w:r>
      <w:hyperlink r:id="rId1">
        <w:r>
          <w:rPr>
            <w:rStyle w:val="Link"/>
            <w:sz w:val="18"/>
            <w:szCs w:val="18"/>
          </w:rPr>
          <w:t>https://doi.org/10.1515/ZRPH.2005.405</w:t>
        </w:r>
      </w:hyperlink>
    </w:p>
  </w:footnote>
  <w:footnote w:id="3">
    <w:p w14:paraId="0746BA39" w14:textId="77777777" w:rsidR="00332F18" w:rsidRDefault="009D33EB">
      <w:pPr>
        <w:pStyle w:val="Funotentext"/>
        <w:tabs>
          <w:tab w:val="left" w:pos="600"/>
        </w:tabs>
        <w:ind w:hanging="400"/>
      </w:pPr>
      <w:r>
        <w:rPr>
          <w:rStyle w:val="Funotenzeichen"/>
        </w:rPr>
        <w:footnoteRef/>
      </w:r>
      <w:r>
        <w:rPr>
          <w:rStyle w:val="Funotenzeichen"/>
        </w:rPr>
        <w:tab/>
      </w:r>
      <w:r>
        <w:rPr>
          <w:sz w:val="18"/>
          <w:szCs w:val="18"/>
        </w:rPr>
        <w:t>Schwegler, A., 1988. Word-order changes in predicate negation strategies in Romance languages. Diachronica 5, 21–58.</w:t>
      </w:r>
    </w:p>
  </w:footnote>
  <w:footnote w:id="4">
    <w:p w14:paraId="3F62D4C1" w14:textId="77777777" w:rsidR="00332F18" w:rsidRDefault="009D33EB">
      <w:pPr>
        <w:pStyle w:val="Funotentext"/>
        <w:tabs>
          <w:tab w:val="left" w:pos="600"/>
        </w:tabs>
        <w:ind w:hanging="400"/>
      </w:pPr>
      <w:r>
        <w:rPr>
          <w:rStyle w:val="Funotenzeichen"/>
        </w:rPr>
        <w:footnoteRef/>
      </w:r>
      <w:r>
        <w:rPr>
          <w:rStyle w:val="Funotenzeichen"/>
        </w:rPr>
        <w:tab/>
      </w:r>
      <w:r>
        <w:rPr>
          <w:sz w:val="18"/>
          <w:szCs w:val="18"/>
        </w:rPr>
        <w:t>Schwegler, A., 1990. Analyticity and Syntheticity: A Diachronic Perspective with Special Reference to Romance Languag</w:t>
      </w:r>
      <w:r>
        <w:rPr>
          <w:sz w:val="18"/>
          <w:szCs w:val="18"/>
        </w:rPr>
        <w:t>es, Mouton de Gruyter, Berlin.</w:t>
      </w:r>
    </w:p>
  </w:footnote>
  <w:footnote w:id="5">
    <w:p w14:paraId="4D88C4DB" w14:textId="77777777" w:rsidR="00332F18" w:rsidRDefault="009D33EB">
      <w:pPr>
        <w:pStyle w:val="Funotentext"/>
        <w:tabs>
          <w:tab w:val="left" w:pos="600"/>
        </w:tabs>
        <w:ind w:hanging="400"/>
      </w:pPr>
      <w:r>
        <w:rPr>
          <w:rStyle w:val="Funotenzeichen"/>
        </w:rPr>
        <w:footnoteRef/>
      </w:r>
      <w:r>
        <w:rPr>
          <w:rStyle w:val="Funotenzeichen"/>
        </w:rPr>
        <w:tab/>
      </w:r>
      <w:r>
        <w:rPr>
          <w:sz w:val="18"/>
          <w:szCs w:val="18"/>
        </w:rPr>
        <w:t xml:space="preserve"> Jespersen. (1917). Negation in English and oth</w:t>
      </w:r>
      <w:r>
        <w:rPr>
          <w:sz w:val="18"/>
          <w:szCs w:val="18"/>
        </w:rPr>
        <w:t>er languages / by Otto Jespersen. Høst.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autoHyphenation/>
  <w:hyphenationZone w:val="425"/>
  <w:characterSpacingControl w:val="doNotCompress"/>
  <w:footnotePr>
    <w:numRestart w:val="eachSect"/>
    <w:footnote w:id="-1"/>
    <w:footnote w:id="0"/>
  </w:footnotePr>
  <w:endnotePr>
    <w:numFmt w:val="decimal"/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F18"/>
    <w:rsid w:val="00332F18"/>
    <w:rsid w:val="004958F5"/>
    <w:rsid w:val="009D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767F94"/>
  <w15:docId w15:val="{880000F5-ECDE-8740-BE16-7105A215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venir Next Regular" w:eastAsia="Avenir Next Regular" w:hAnsi="Avenir Next Regular" w:cs="Avenir Next Regular"/>
        <w:sz w:val="24"/>
        <w:szCs w:val="24"/>
        <w:lang w:val="de-DE" w:eastAsia="de-DE" w:bidi="de-DE"/>
        <w14:ligatures w14:val="standardContextual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keepNext/>
      <w:spacing w:line="768" w:lineRule="atLeast"/>
      <w:jc w:val="left"/>
      <w:outlineLvl w:val="0"/>
    </w:pPr>
    <w:rPr>
      <w:b/>
      <w:sz w:val="64"/>
      <w:szCs w:val="64"/>
    </w:rPr>
  </w:style>
  <w:style w:type="paragraph" w:styleId="berschrift2">
    <w:name w:val="heading 2"/>
    <w:basedOn w:val="Standard"/>
    <w:uiPriority w:val="9"/>
    <w:unhideWhenUsed/>
    <w:qFormat/>
    <w:pPr>
      <w:keepNext/>
      <w:spacing w:line="576" w:lineRule="atLeast"/>
      <w:jc w:val="left"/>
      <w:outlineLvl w:val="1"/>
    </w:pPr>
    <w:rPr>
      <w:b/>
      <w:sz w:val="48"/>
      <w:szCs w:val="48"/>
    </w:rPr>
  </w:style>
  <w:style w:type="paragraph" w:styleId="berschrift3">
    <w:name w:val="heading 3"/>
    <w:basedOn w:val="Standard"/>
    <w:uiPriority w:val="9"/>
    <w:unhideWhenUsed/>
    <w:qFormat/>
    <w:pPr>
      <w:keepNext/>
      <w:spacing w:line="432" w:lineRule="atLeast"/>
      <w:jc w:val="left"/>
      <w:outlineLvl w:val="2"/>
    </w:pPr>
    <w:rPr>
      <w:b/>
      <w:sz w:val="36"/>
      <w:szCs w:val="36"/>
    </w:rPr>
  </w:style>
  <w:style w:type="paragraph" w:styleId="berschrift4">
    <w:name w:val="heading 4"/>
    <w:basedOn w:val="Standard"/>
    <w:uiPriority w:val="9"/>
    <w:unhideWhenUsed/>
    <w:qFormat/>
    <w:pPr>
      <w:keepNext/>
      <w:spacing w:line="360" w:lineRule="atLeast"/>
      <w:jc w:val="left"/>
      <w:outlineLvl w:val="3"/>
    </w:pPr>
    <w:rPr>
      <w:b/>
      <w:sz w:val="30"/>
      <w:szCs w:val="30"/>
    </w:rPr>
  </w:style>
  <w:style w:type="paragraph" w:styleId="berschrift5">
    <w:name w:val="heading 5"/>
    <w:basedOn w:val="Standard"/>
    <w:uiPriority w:val="9"/>
    <w:unhideWhenUsed/>
    <w:qFormat/>
    <w:pPr>
      <w:keepNext/>
      <w:spacing w:line="288" w:lineRule="atLeast"/>
      <w:jc w:val="left"/>
      <w:outlineLvl w:val="4"/>
    </w:pPr>
    <w:rPr>
      <w:b/>
    </w:rPr>
  </w:style>
  <w:style w:type="paragraph" w:styleId="berschrift6">
    <w:name w:val="heading 6"/>
    <w:basedOn w:val="Standard"/>
    <w:uiPriority w:val="9"/>
    <w:semiHidden/>
    <w:unhideWhenUsed/>
    <w:qFormat/>
    <w:pPr>
      <w:keepNext/>
      <w:spacing w:line="288" w:lineRule="atLeast"/>
      <w:jc w:val="left"/>
      <w:outlineLvl w:val="5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renner">
    <w:name w:val="Trenner"/>
    <w:basedOn w:val="Standard"/>
    <w:uiPriority w:val="1"/>
    <w:semiHidden/>
    <w:unhideWhenUsed/>
    <w:qFormat/>
  </w:style>
  <w:style w:type="paragraph" w:customStyle="1" w:styleId="Beispielcode-Block">
    <w:name w:val="Beispielcode-Block"/>
    <w:basedOn w:val="Standard"/>
    <w:uiPriority w:val="1"/>
    <w:semiHidden/>
    <w:unhideWhenUsed/>
    <w:qFormat/>
    <w:pPr>
      <w:spacing w:line="320" w:lineRule="atLeast"/>
    </w:pPr>
    <w:rPr>
      <w:rFonts w:ascii="Courier New" w:eastAsia="Courier New" w:hAnsi="Courier New" w:cs="Courier New"/>
      <w:color w:val="000000"/>
      <w:sz w:val="22"/>
      <w:szCs w:val="22"/>
    </w:rPr>
  </w:style>
  <w:style w:type="paragraph" w:styleId="Liste">
    <w:name w:val="List"/>
    <w:basedOn w:val="Standard"/>
    <w:uiPriority w:val="1"/>
    <w:qFormat/>
  </w:style>
  <w:style w:type="paragraph" w:styleId="Funotentext">
    <w:name w:val="footnote text"/>
    <w:basedOn w:val="Standard"/>
    <w:uiPriority w:val="1"/>
    <w:qFormat/>
    <w:pPr>
      <w:suppressAutoHyphens/>
      <w:spacing w:line="0" w:lineRule="atLeast"/>
      <w:ind w:left="600" w:right="737"/>
    </w:pPr>
  </w:style>
  <w:style w:type="paragraph" w:customStyle="1" w:styleId="Kommentar-Block">
    <w:name w:val="Kommentar-Block"/>
    <w:basedOn w:val="Standard"/>
    <w:uiPriority w:val="1"/>
    <w:semiHidden/>
    <w:unhideWhenUsed/>
    <w:qFormat/>
  </w:style>
  <w:style w:type="paragraph" w:customStyle="1" w:styleId="AuszufhrenderCode-Block">
    <w:name w:val="Auszuführender Code-Block"/>
    <w:basedOn w:val="Standard"/>
    <w:uiPriority w:val="1"/>
    <w:semiHidden/>
    <w:unhideWhenUsed/>
    <w:qFormat/>
  </w:style>
  <w:style w:type="paragraph" w:customStyle="1" w:styleId="Bildunterschrift">
    <w:name w:val="Bildunterschrift"/>
    <w:basedOn w:val="Standard"/>
    <w:uiPriority w:val="1"/>
    <w:semiHidden/>
    <w:unhideWhenUsed/>
    <w:qFormat/>
    <w:rPr>
      <w:i/>
    </w:rPr>
  </w:style>
  <w:style w:type="paragraph" w:customStyle="1" w:styleId="Aufzhlung">
    <w:name w:val="Aufzählung"/>
    <w:basedOn w:val="Standard"/>
    <w:uiPriority w:val="1"/>
    <w:qFormat/>
  </w:style>
  <w:style w:type="paragraph" w:styleId="Zitat">
    <w:name w:val="Quote"/>
    <w:basedOn w:val="Standard"/>
    <w:uiPriority w:val="1"/>
    <w:semiHidden/>
    <w:unhideWhenUsed/>
    <w:qFormat/>
    <w:rPr>
      <w:i/>
    </w:rPr>
  </w:style>
  <w:style w:type="character" w:styleId="Funotenzeichen">
    <w:name w:val="footnote reference"/>
    <w:uiPriority w:val="2"/>
    <w:qFormat/>
    <w:rPr>
      <w:sz w:val="18"/>
      <w:szCs w:val="18"/>
      <w:vertAlign w:val="superscript"/>
    </w:rPr>
  </w:style>
  <w:style w:type="character" w:customStyle="1" w:styleId="Code-Beispiel">
    <w:name w:val="Code-Beispiel"/>
    <w:uiPriority w:val="2"/>
    <w:semiHidden/>
    <w:unhideWhenUsed/>
    <w:qFormat/>
    <w:rPr>
      <w:rFonts w:ascii="Courier New" w:eastAsia="Courier New" w:hAnsi="Courier New" w:cs="Courier New"/>
    </w:rPr>
  </w:style>
  <w:style w:type="character" w:customStyle="1" w:styleId="Betont">
    <w:name w:val="Betont"/>
    <w:uiPriority w:val="2"/>
    <w:qFormat/>
    <w:rPr>
      <w:rFonts w:ascii="Avenir Next Regular" w:eastAsia="Avenir Next Regular" w:hAnsi="Avenir Next Regular" w:cs="Avenir Next Regular"/>
      <w:i/>
    </w:rPr>
  </w:style>
  <w:style w:type="character" w:customStyle="1" w:styleId="Tag">
    <w:name w:val="Tag"/>
    <w:uiPriority w:val="2"/>
    <w:semiHidden/>
    <w:unhideWhenUsed/>
    <w:qFormat/>
  </w:style>
  <w:style w:type="character" w:customStyle="1" w:styleId="Kommentar">
    <w:name w:val="Kommentar"/>
    <w:uiPriority w:val="2"/>
    <w:semiHidden/>
    <w:unhideWhenUsed/>
    <w:qFormat/>
  </w:style>
  <w:style w:type="character" w:customStyle="1" w:styleId="Anmerkung">
    <w:name w:val="Anmerkung"/>
    <w:uiPriority w:val="2"/>
    <w:semiHidden/>
    <w:unhideWhenUsed/>
    <w:qFormat/>
  </w:style>
  <w:style w:type="character" w:customStyle="1" w:styleId="AuszufhrenderCode">
    <w:name w:val="Auszuführender Code"/>
    <w:uiPriority w:val="2"/>
    <w:semiHidden/>
    <w:unhideWhenUsed/>
    <w:qFormat/>
  </w:style>
  <w:style w:type="character" w:customStyle="1" w:styleId="Zulschen">
    <w:name w:val="Zu löschen"/>
    <w:uiPriority w:val="2"/>
    <w:semiHidden/>
    <w:unhideWhenUsed/>
    <w:qFormat/>
  </w:style>
  <w:style w:type="character" w:customStyle="1" w:styleId="Link">
    <w:name w:val="Link"/>
    <w:uiPriority w:val="2"/>
    <w:qFormat/>
    <w:rPr>
      <w:color w:val="468BDF"/>
      <w:u w:val="single" w:color="468BDF"/>
    </w:rPr>
  </w:style>
  <w:style w:type="character" w:customStyle="1" w:styleId="Zitation">
    <w:name w:val="Zitation"/>
    <w:uiPriority w:val="2"/>
    <w:semiHidden/>
    <w:unhideWhenUsed/>
    <w:qFormat/>
    <w:rPr>
      <w:rFonts w:ascii="Avenir Next Regular" w:eastAsia="Avenir Next Regular" w:hAnsi="Avenir Next Regular" w:cs="Avenir Next Regular"/>
      <w:i/>
    </w:rPr>
  </w:style>
  <w:style w:type="character" w:customStyle="1" w:styleId="Markiert">
    <w:name w:val="Markiert"/>
    <w:uiPriority w:val="2"/>
    <w:semiHidden/>
    <w:unhideWhenUsed/>
    <w:qFormat/>
  </w:style>
  <w:style w:type="character" w:customStyle="1" w:styleId="Wichtig">
    <w:name w:val="Wichtig"/>
    <w:uiPriority w:val="2"/>
    <w:qFormat/>
    <w:rPr>
      <w:rFonts w:ascii="Avenir Next Regular" w:eastAsia="Avenir Next Regular" w:hAnsi="Avenir Next Regular" w:cs="Avenir Next Regular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222699763_The_pragmatics_of_negation_in_Brazilian_Portugues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515/ZRPH.2005.405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st.</cp:lastModifiedBy>
  <cp:revision>2</cp:revision>
  <dcterms:created xsi:type="dcterms:W3CDTF">2022-01-30T18:38:00Z</dcterms:created>
  <dcterms:modified xsi:type="dcterms:W3CDTF">2022-01-30T18:38:00Z</dcterms:modified>
</cp:coreProperties>
</file>