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JengaLink: Pilot Build Brief</w:t>
      </w:r>
    </w:p>
    <w:p>
      <w:r>
        <w:t>Version 2.0 • 8 October 2026 • Product name: JengaLink</w:t>
      </w:r>
    </w:p>
    <w:p>
      <w:r>
        <w:t>Build a mobile and web workspace that helps contractors organize work, request payment and report progress to owners in Rwanda. The pilot tests contractor adoption and owner trust before investing in a marketplace or automated construction payments. Read the full specification for API contracts, state transitions and release boundaries.</w:t>
      </w:r>
    </w:p>
    <w:p>
      <w:pPr>
        <w:pStyle w:val="Heading2"/>
      </w:pPr>
      <w:r>
        <w:t>Who the pilot serves</w:t>
      </w:r>
    </w:p>
    <w:p>
      <w:r>
        <w:t>The contractor introduces the product and creates the project. The owner accepts membership and approves the agreement, budget and decisions. A supervisor captures site evidence. Finance posts costs and verifies payments. Small teams can hold several roles, but approval restrictions still apply to the individual acting on a record.</w:t>
      </w:r>
    </w:p>
    <w:p>
      <w:pPr>
        <w:pStyle w:val="Heading2"/>
      </w:pPr>
      <w:r>
        <w:t>Contractor value comes first</w:t>
      </w:r>
    </w:p>
    <w:p>
      <w:pPr>
        <w:pStyle w:val="ListBullet"/>
      </w:pPr>
      <w:r>
        <w:t>Reusable quotations with scope, exclusions and milestone prices.</w:t>
      </w:r>
    </w:p>
    <w:p>
      <w:pPr>
        <w:pStyle w:val="ListBullet"/>
      </w:pPr>
      <w:r>
        <w:t>Funding requests and a clear list of unpaid or disputed claims.</w:t>
      </w:r>
    </w:p>
    <w:p>
      <w:pPr>
        <w:pStyle w:val="ListBullet"/>
      </w:pPr>
      <w:r>
        <w:t>Changes that record extra cost and time before extra work proceeds.</w:t>
      </w:r>
    </w:p>
    <w:p>
      <w:pPr>
        <w:pStyle w:val="ListBullet"/>
      </w:pPr>
      <w:r>
        <w:t>One-tap weekly reports, daily site updates and an owner decision queue.</w:t>
      </w:r>
    </w:p>
    <w:p>
      <w:pPr>
        <w:pStyle w:val="ListBullet"/>
      </w:pPr>
      <w:r>
        <w:t>A multi-project overview of work, blockers and amounts due.</w:t>
      </w:r>
    </w:p>
    <w:p>
      <w:pPr>
        <w:pStyle w:val="Heading2"/>
      </w:pPr>
      <w:r>
        <w:t>Agree what the price means</w:t>
      </w:r>
    </w:p>
    <w:p>
      <w:r>
        <w:t>Fixed-price work shows the owner the agreed price and deliverable; the contractor may retain a legitimate margin. Reimbursable work shows actual eligible costs plus the agreed fee. Hybrid work labels each package. Private estimates never conceal agreed owner records, inflated reimbursable expenses or missing entrusted funds. Detailed company margin analytics belong in A1.</w:t>
      </w:r>
    </w:p>
    <w:p>
      <w:pPr>
        <w:pStyle w:val="Heading2"/>
      </w:pPr>
      <w:r>
        <w:t>A0 scope</w:t>
      </w:r>
    </w:p>
    <w:p>
      <w:r>
        <w:t>Phone-first access; project roles; agreement and budget revisions; stages; offline updates; requests and approvals; direct expenses; verified payment records; site float and cash reconciliation; attendance and basic wage batches; foreign-currency funding records; weekly reports and exports. Full purchase orders, supplier invoices and stock workflows start in A1.</w:t>
      </w:r>
    </w:p>
    <w:p>
      <w:r>
        <w:br w:type="page"/>
      </w:r>
    </w:p>
    <w:p>
      <w:pPr>
        <w:pStyle w:val="Title"/>
      </w:pPr>
      <w:r>
        <w:t>Build the workflow safely</w:t>
      </w:r>
    </w:p>
    <w:p>
      <w:pPr>
        <w:pStyle w:val="Heading2"/>
      </w:pPr>
      <w:r>
        <w:t>The smallest complete financial workflow</w:t>
      </w:r>
    </w:p>
    <w:p>
      <w:r>
        <w:t>A RWF 100,000 approved request reserves budget. A linked RWF 80,000 posted expense converts that portion into cost and leaves RWF 20,000 reserved. Recording a verified RWF 50,000 payment leaves RWF 30,000 payable. Canceling the unused request portion releases the reservation with an audit event. Neither approval nor a transfer screenshot proves settlement.</w:t>
      </w:r>
    </w:p>
    <w:p>
      <w:pPr>
        <w:pStyle w:val="Heading2"/>
      </w:pPr>
      <w:r>
        <w:t>Keep these balances separate</w:t>
      </w:r>
    </w:p>
    <w:p>
      <w:pPr>
        <w:pStyle w:val="ListBullet"/>
      </w:pPr>
      <w:r>
        <w:t>Budget, approved reservations, posted costs, paid amounts and unpaid amounts.</w:t>
      </w:r>
    </w:p>
    <w:p>
      <w:pPr>
        <w:pStyle w:val="ListBullet"/>
      </w:pPr>
      <w:r>
        <w:t>Owner contract value and contractor internal production cost.</w:t>
      </w:r>
    </w:p>
    <w:p>
      <w:pPr>
        <w:pStyle w:val="ListBullet"/>
      </w:pPr>
      <w:r>
        <w:t>Money entrusted to a custodian and recognized project expense.</w:t>
      </w:r>
    </w:p>
    <w:p>
      <w:pPr>
        <w:pStyle w:val="ListBullet"/>
      </w:pPr>
      <w:r>
        <w:t>Wage cost and wage payments; attendance alone does not post a payment.</w:t>
      </w:r>
    </w:p>
    <w:p>
      <w:pPr>
        <w:pStyle w:val="ListBullet"/>
      </w:pPr>
      <w:r>
        <w:t>Foreign transfer funding and project revenue or budget.</w:t>
      </w:r>
    </w:p>
    <w:p>
      <w:r>
        <w:t>Example float: RWF 500,000 confirmed top-up minus RWF 120,000 materials and RWF 80,000 settled wages leaves RWF 300,000 expected. A RWF 290,000 observed count creates RWF 10,000 unresolved variance. A reviewer investigates; the application does not silently classify it as expense.</w:t>
      </w:r>
    </w:p>
    <w:p>
      <w:pPr>
        <w:pStyle w:val="Heading2"/>
      </w:pPr>
      <w:r>
        <w:t>Technical baseline</w:t>
      </w:r>
    </w:p>
    <w:p>
      <w:r>
        <w:t>Expo React Native for mobile; React/Vite for the owner and finance web workspace; NestJS for the API; PostgreSQL for records and transactional outbox jobs, with pg-boss as the initial job runner. Store media privately in object storage. Start with a modular monolith and project-scoped authorization. Evaluate the mobile synchronization approach with realistic offline photos before committing to a provider.</w:t>
      </w:r>
    </w:p>
    <w:p>
      <w:r>
        <w:t>Use server-controlled transitions, immutable submitted revisions, idempotency keys and optimistic concurrency. Financial postings and reservation adjustments must succeed together. Offline capture can queue drafts and media; approvals and final financial posting require a successful server check. Do not claim exactly-once external side effects.</w:t>
      </w:r>
    </w:p>
    <w:p>
      <w:pPr>
        <w:pStyle w:val="Heading2"/>
      </w:pPr>
      <w:r>
        <w:t>Navigation</w:t>
      </w:r>
    </w:p>
    <w:p>
      <w:r>
        <w:t>Mobile: Home, Updates, Money, More. Show actions according to role. Home highlights the next decision or task; Money separates requests, costs, payments and custody. Web provides denser finance and reconciliation views. Every screen needs loading, empty, denied-access, error and offline states; status must use text as well as color.</w:t>
      </w:r>
    </w:p>
    <w:p>
      <w:r>
        <w:br w:type="page"/>
      </w:r>
    </w:p>
    <w:p>
      <w:pPr>
        <w:pStyle w:val="Title"/>
      </w:pPr>
      <w:r>
        <w:t>Pilot gates and delivery plan</w:t>
      </w:r>
    </w:p>
    <w:p>
      <w:pPr>
        <w:pStyle w:val="Heading2"/>
      </w:pPr>
      <w:r>
        <w:t>Before real customer data</w:t>
      </w:r>
    </w:p>
    <w:p>
      <w:r>
        <w:t>Resolve Rwanda data-controller/processor registration and hosting or transfer requirements with qualified local advice. Confirm privacy responsibilities for every vendor. EBM invoice metadata supports expense review but does not automatically authenticate a receipt. Keep KUBAKA permit references and uploaded records; do not assume access to a government integration API.</w:t>
      </w:r>
    </w:p>
    <w:p>
      <w:r>
        <w:t>Evaluate named mobile-money providers against actual payment methods, fees, callback reliability, settlement and contractual permission. A0 can use manually verified payment records. Initiating construction payments or holding owner funds is a later, separately reviewed capability. WhatsApp can share a report link in A0; automated messaging is later and requires provider policy review.</w:t>
      </w:r>
    </w:p>
    <w:p>
      <w:pPr>
        <w:pStyle w:val="Heading2"/>
      </w:pPr>
      <w:r>
        <w:t>Planning scenario, not a delivery promise</w:t>
      </w:r>
    </w:p>
    <w:p>
      <w:pPr>
        <w:pStyle w:val="ListBullet"/>
      </w:pPr>
      <w:r>
        <w:t>Weeks 1–2: contractor interviews, agreement models, prototypes, data and hosting decisions.</w:t>
      </w:r>
    </w:p>
    <w:p>
      <w:pPr>
        <w:pStyle w:val="ListBullet"/>
      </w:pPr>
      <w:r>
        <w:t>Weeks 3–5: access control, projects, agreements, budgets, offline capture and owner views.</w:t>
      </w:r>
    </w:p>
    <w:p>
      <w:pPr>
        <w:pStyle w:val="ListBullet"/>
      </w:pPr>
      <w:r>
        <w:t>Weeks 6–8: requests, costs, payments, float, workers and reports.</w:t>
      </w:r>
    </w:p>
    <w:p>
      <w:pPr>
        <w:pStyle w:val="ListBullet"/>
      </w:pPr>
      <w:r>
        <w:t>Weeks 9–10: integrated pilot fixtures, permission tests, restore checks and usability fixes.</w:t>
      </w:r>
    </w:p>
    <w:p>
      <w:pPr>
        <w:pStyle w:val="ListBullet"/>
      </w:pPr>
      <w:r>
        <w:t>Weeks 11–12: onboarding, support workflow, deployment and pilot readiness.</w:t>
      </w:r>
    </w:p>
    <w:p>
      <w:pPr>
        <w:pStyle w:val="ListBullet"/>
      </w:pPr>
      <w:r>
        <w:t>Then run a 6–8 week supervised pilot before deciding what to expand.</w:t>
      </w:r>
    </w:p>
    <w:p>
      <w:r>
        <w:t>Planning team: two engineers, an accountable product lead and part-time design/QA; obtain local accounting and legal review where needed. Estimate cost from role-days, agreed rates, vendor fees and support, then add a clearly stated contingency. Validate estimates against an actual backlog rather than treating this schedule as a quote.</w:t>
      </w:r>
    </w:p>
    <w:p>
      <w:pPr>
        <w:pStyle w:val="Heading2"/>
      </w:pPr>
      <w:r>
        <w:t>Release acceptance</w:t>
      </w:r>
    </w:p>
    <w:p>
      <w:pPr>
        <w:pStyle w:val="ListBullet"/>
      </w:pPr>
      <w:r>
        <w:t>A contractor can invite an owner, submit a usable quote and generate a report.</w:t>
      </w:r>
    </w:p>
    <w:p>
      <w:pPr>
        <w:pStyle w:val="ListBullet"/>
      </w:pPr>
      <w:r>
        <w:t>An owner can accept an agreement revision and decide on the exact submitted request.</w:t>
      </w:r>
    </w:p>
    <w:p>
      <w:pPr>
        <w:pStyle w:val="ListBullet"/>
      </w:pPr>
      <w:r>
        <w:t>Reservation conversion, partial payments and custody reconciliation match the worked examples.</w:t>
      </w:r>
    </w:p>
    <w:p>
      <w:pPr>
        <w:pStyle w:val="ListBullet"/>
      </w:pPr>
      <w:r>
        <w:t>A repeated request cannot duplicate a posting; another project’s records remain inaccessible.</w:t>
      </w:r>
    </w:p>
    <w:p>
      <w:pPr>
        <w:pStyle w:val="ListBullet"/>
      </w:pPr>
      <w:r>
        <w:t>Offline drafts survive restart and synchronize with visible failures and conflicts.</w:t>
      </w:r>
    </w:p>
    <w:p>
      <w:pPr>
        <w:pStyle w:val="ListBullet"/>
      </w:pPr>
      <w:r>
        <w:t>A backup can be restored and the team can respond to pilot support requests.</w:t>
      </w:r>
    </w:p>
    <w:p>
      <w:pPr>
        <w:pStyle w:val="Heading2"/>
      </w:pPr>
      <w:r>
        <w:t>Measure adoption and outcomes</w:t>
      </w:r>
    </w:p>
    <w:p>
      <w:r>
        <w:t>Track owner invitations accepted, useful quotations created, four-week reporting retention, approval turnaround, payment-claim disputes and contractors starting a second project. Pair analytics with interviews. Proposed benefits are hypotheses until the pilot shows evidence. The full specification contains source links, detailed acceptance cases and the synthetic data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JengaLink Pilot Build Brief</dc:title>
  <dc:subject>Contractor-led A0 pilot implementation brief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