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962" w:rsidRPr="0092094E" w:rsidRDefault="0092094E">
      <w:pPr>
        <w:rPr>
          <w:rFonts w:ascii="Times New Roman" w:hAnsi="Times New Roman" w:cs="Times New Roman"/>
          <w:b/>
        </w:rPr>
      </w:pPr>
      <w:r w:rsidRPr="0092094E">
        <w:rPr>
          <w:rFonts w:ascii="Times New Roman" w:hAnsi="Times New Roman" w:cs="Times New Roman"/>
          <w:b/>
        </w:rPr>
        <w:t>Analyse spatiale des faits sociaux</w:t>
      </w:r>
    </w:p>
    <w:p w:rsidR="0092094E" w:rsidRPr="0092094E" w:rsidRDefault="0092094E">
      <w:pPr>
        <w:rPr>
          <w:rFonts w:ascii="Times New Roman" w:hAnsi="Times New Roman" w:cs="Times New Roman"/>
        </w:rPr>
      </w:pPr>
    </w:p>
    <w:p w:rsidR="0092094E" w:rsidRPr="0092094E" w:rsidRDefault="0092094E">
      <w:pPr>
        <w:rPr>
          <w:rFonts w:ascii="Times New Roman" w:hAnsi="Times New Roman" w:cs="Times New Roman"/>
        </w:rPr>
      </w:pPr>
      <w:r w:rsidRPr="0092094E">
        <w:rPr>
          <w:rFonts w:ascii="Times New Roman" w:hAnsi="Times New Roman" w:cs="Times New Roman"/>
        </w:rPr>
        <w:t>Faire de l’espace le concept clé de la géographie (par rapport à la région par exemple, historiquement). L’espace car espace cartésien =&gt; Dimension mathématique immédiate.</w:t>
      </w:r>
    </w:p>
    <w:p w:rsidR="0092094E" w:rsidRDefault="0092094E">
      <w:pPr>
        <w:rPr>
          <w:rFonts w:ascii="Times New Roman" w:hAnsi="Times New Roman" w:cs="Times New Roman"/>
        </w:rPr>
      </w:pPr>
      <w:r w:rsidRPr="0092094E">
        <w:rPr>
          <w:rFonts w:ascii="Times New Roman" w:hAnsi="Times New Roman" w:cs="Times New Roman"/>
        </w:rPr>
        <w:t>Version française : géographie théorique et quantitative. Dépassé l’aspect monographique, étude de cas des sciences sociales pour désormais avoir une optique nomothétique =&gt; Etablir des lois</w:t>
      </w:r>
    </w:p>
    <w:p w:rsidR="0092094E" w:rsidRDefault="0092094E">
      <w:pPr>
        <w:rPr>
          <w:rFonts w:ascii="Times New Roman" w:hAnsi="Times New Roman" w:cs="Times New Roman"/>
        </w:rPr>
      </w:pPr>
      <w:r>
        <w:rPr>
          <w:rFonts w:ascii="Times New Roman" w:hAnsi="Times New Roman" w:cs="Times New Roman"/>
        </w:rPr>
        <w:t>L’analyse spatiale met en évidence des structures et des formes d’organisation spatiale récurrentes, que résument par exemple les modèles centre-périphérie, les champs d’interaction de type gravitaire, les trames urbaines hiérarchisées, les divers types de réseaux ou de territoires, etc. Elle analyse des processus qui sont à l’origine de ces structures …</w:t>
      </w:r>
    </w:p>
    <w:p w:rsidR="0092094E" w:rsidRDefault="0092094E">
      <w:pPr>
        <w:rPr>
          <w:rFonts w:ascii="Times New Roman" w:hAnsi="Times New Roman" w:cs="Times New Roman"/>
        </w:rPr>
      </w:pPr>
      <w:r>
        <w:rPr>
          <w:rFonts w:ascii="Times New Roman" w:hAnsi="Times New Roman" w:cs="Times New Roman"/>
        </w:rPr>
        <w:t xml:space="preserve">L’espace, comme concept </w:t>
      </w:r>
      <w:proofErr w:type="spellStart"/>
      <w:r>
        <w:rPr>
          <w:rFonts w:ascii="Times New Roman" w:hAnsi="Times New Roman" w:cs="Times New Roman"/>
        </w:rPr>
        <w:t>géographiquen</w:t>
      </w:r>
      <w:proofErr w:type="spellEnd"/>
      <w:r>
        <w:rPr>
          <w:rFonts w:ascii="Times New Roman" w:hAnsi="Times New Roman" w:cs="Times New Roman"/>
        </w:rPr>
        <w:t xml:space="preserve"> n’est pas une zone, ni un lieu, ni une région du monde, ni un « territoire ». Il se définit par la forme (l’organisation de l’espace) que prennent les relations entre les lieux, que ce soit pour un individu, pour un groupe, ou une entité géographique.</w:t>
      </w:r>
    </w:p>
    <w:p w:rsidR="0092094E" w:rsidRDefault="0092094E">
      <w:pPr>
        <w:rPr>
          <w:rFonts w:ascii="Times New Roman" w:hAnsi="Times New Roman" w:cs="Times New Roman"/>
        </w:rPr>
      </w:pPr>
      <w:r>
        <w:rPr>
          <w:rFonts w:ascii="Times New Roman" w:hAnsi="Times New Roman" w:cs="Times New Roman"/>
        </w:rPr>
        <w:t>L’espace absolu : l’espace cartésien des localisations, exprimées dans un référentiel universel (système de coordonnées).</w:t>
      </w:r>
    </w:p>
    <w:p w:rsidR="0092094E" w:rsidRDefault="0092094E">
      <w:pPr>
        <w:rPr>
          <w:rFonts w:ascii="Times New Roman" w:hAnsi="Times New Roman" w:cs="Times New Roman"/>
        </w:rPr>
      </w:pPr>
      <w:r>
        <w:rPr>
          <w:rFonts w:ascii="Times New Roman" w:hAnsi="Times New Roman" w:cs="Times New Roman"/>
        </w:rPr>
        <w:t>L’espace relatif : positions relatives et relations entre les lieux. Les formes observées dépendent du référentiel considéré (centre, échelle, champ, temps).</w:t>
      </w:r>
    </w:p>
    <w:p w:rsidR="0092094E" w:rsidRDefault="0092094E">
      <w:pPr>
        <w:rPr>
          <w:rFonts w:ascii="Times New Roman" w:hAnsi="Times New Roman" w:cs="Times New Roman"/>
        </w:rPr>
      </w:pPr>
      <w:r>
        <w:rPr>
          <w:rFonts w:ascii="Times New Roman" w:hAnsi="Times New Roman" w:cs="Times New Roman"/>
        </w:rPr>
        <w:t>Espace des spatialités : l’espace tel qu’il est pratiqué et perçu par les individus et les groupes.</w:t>
      </w:r>
    </w:p>
    <w:p w:rsidR="0092094E" w:rsidRDefault="0092094E">
      <w:pPr>
        <w:rPr>
          <w:rFonts w:ascii="Times New Roman" w:hAnsi="Times New Roman" w:cs="Times New Roman"/>
        </w:rPr>
      </w:pPr>
      <w:r>
        <w:rPr>
          <w:rFonts w:ascii="Times New Roman" w:hAnsi="Times New Roman" w:cs="Times New Roman"/>
        </w:rPr>
        <w:t xml:space="preserve">Analogie de l’espace des positions sociales et des positions géographiques. Misère du monde, Bourdieu 1993, Réflexion sur l’encrage des positions sociales dans l’espace, mais pas </w:t>
      </w:r>
      <w:r w:rsidR="009879B2">
        <w:rPr>
          <w:rFonts w:ascii="Times New Roman" w:hAnsi="Times New Roman" w:cs="Times New Roman"/>
        </w:rPr>
        <w:t>analyse spatiale à proprement parlé.</w:t>
      </w:r>
      <w:r>
        <w:rPr>
          <w:noProof/>
          <w:lang w:eastAsia="fr-FR"/>
        </w:rPr>
        <w:drawing>
          <wp:inline distT="0" distB="0" distL="0" distR="0">
            <wp:extent cx="5760720" cy="2997133"/>
            <wp:effectExtent l="19050" t="0" r="0" b="0"/>
            <wp:docPr id="1" name="Image 1" descr="Figure 4 : Four types of sociological and geographical position with areas of uncertain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4 : Four types of sociological and geographical position with areas of uncertainty"/>
                    <pic:cNvPicPr>
                      <a:picLocks noChangeAspect="1" noChangeArrowheads="1"/>
                    </pic:cNvPicPr>
                  </pic:nvPicPr>
                  <pic:blipFill>
                    <a:blip r:embed="rId5"/>
                    <a:srcRect/>
                    <a:stretch>
                      <a:fillRect/>
                    </a:stretch>
                  </pic:blipFill>
                  <pic:spPr bwMode="auto">
                    <a:xfrm>
                      <a:off x="0" y="0"/>
                      <a:ext cx="5760720" cy="2997133"/>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sidR="009879B2">
        <w:rPr>
          <w:rFonts w:ascii="Times New Roman" w:hAnsi="Times New Roman" w:cs="Times New Roman"/>
        </w:rPr>
        <w:t xml:space="preserve">L’information géographique : représentation d’un objet ou d’un phénomène localisé dans l’espace à une moment donné, sous forme de </w:t>
      </w:r>
      <w:proofErr w:type="spellStart"/>
      <w:r w:rsidR="009879B2">
        <w:rPr>
          <w:rFonts w:ascii="Times New Roman" w:hAnsi="Times New Roman" w:cs="Times New Roman"/>
        </w:rPr>
        <w:t>bdd</w:t>
      </w:r>
      <w:proofErr w:type="spellEnd"/>
      <w:r w:rsidR="009879B2">
        <w:rPr>
          <w:rFonts w:ascii="Times New Roman" w:hAnsi="Times New Roman" w:cs="Times New Roman"/>
        </w:rPr>
        <w:t xml:space="preserve">. </w:t>
      </w:r>
    </w:p>
    <w:p w:rsidR="009879B2" w:rsidRDefault="009879B2">
      <w:pPr>
        <w:rPr>
          <w:rFonts w:ascii="Times New Roman" w:hAnsi="Times New Roman" w:cs="Times New Roman"/>
        </w:rPr>
      </w:pPr>
      <w:r>
        <w:rPr>
          <w:rFonts w:ascii="Times New Roman" w:hAnsi="Times New Roman" w:cs="Times New Roman"/>
        </w:rPr>
        <w:t xml:space="preserve">Composant sémantique : attributs (id, </w:t>
      </w:r>
      <w:proofErr w:type="spellStart"/>
      <w:r>
        <w:rPr>
          <w:rFonts w:ascii="Times New Roman" w:hAnsi="Times New Roman" w:cs="Times New Roman"/>
        </w:rPr>
        <w:t>charactéristiques</w:t>
      </w:r>
      <w:proofErr w:type="spellEnd"/>
      <w:r>
        <w:rPr>
          <w:rFonts w:ascii="Times New Roman" w:hAnsi="Times New Roman" w:cs="Times New Roman"/>
        </w:rPr>
        <w:t>).</w:t>
      </w:r>
    </w:p>
    <w:p w:rsidR="009879B2" w:rsidRDefault="009879B2">
      <w:pPr>
        <w:rPr>
          <w:rFonts w:ascii="Times New Roman" w:hAnsi="Times New Roman" w:cs="Times New Roman"/>
        </w:rPr>
      </w:pPr>
      <w:r>
        <w:rPr>
          <w:rFonts w:ascii="Times New Roman" w:hAnsi="Times New Roman" w:cs="Times New Roman"/>
        </w:rPr>
        <w:t>Composante géométrique : coordonnées et forme (point, ligne, surface)</w:t>
      </w:r>
    </w:p>
    <w:p w:rsidR="009879B2" w:rsidRDefault="009879B2">
      <w:pPr>
        <w:rPr>
          <w:rFonts w:ascii="Times New Roman" w:hAnsi="Times New Roman" w:cs="Times New Roman"/>
        </w:rPr>
      </w:pPr>
      <w:r>
        <w:rPr>
          <w:rFonts w:ascii="Times New Roman" w:hAnsi="Times New Roman" w:cs="Times New Roman"/>
        </w:rPr>
        <w:t>Composante topologique : relation entre les individus, contiguïté, inclusion).</w:t>
      </w:r>
    </w:p>
    <w:p w:rsidR="0092094E" w:rsidRDefault="009879B2">
      <w:pPr>
        <w:rPr>
          <w:rFonts w:ascii="Times New Roman" w:hAnsi="Times New Roman" w:cs="Times New Roman"/>
        </w:rPr>
      </w:pPr>
      <w:r>
        <w:rPr>
          <w:noProof/>
          <w:lang w:eastAsia="fr-FR"/>
        </w:rPr>
        <w:lastRenderedPageBreak/>
        <w:drawing>
          <wp:inline distT="0" distB="0" distL="0" distR="0">
            <wp:extent cx="5760720" cy="3056213"/>
            <wp:effectExtent l="19050" t="0" r="0" b="0"/>
            <wp:docPr id="4" name="Image 4" descr="Figure 6 : Three theoretical situations of distribution of spatial location of indiv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6 : Three theoretical situations of distribution of spatial location of individuals"/>
                    <pic:cNvPicPr>
                      <a:picLocks noChangeAspect="1" noChangeArrowheads="1"/>
                    </pic:cNvPicPr>
                  </pic:nvPicPr>
                  <pic:blipFill>
                    <a:blip r:embed="rId6"/>
                    <a:srcRect/>
                    <a:stretch>
                      <a:fillRect/>
                    </a:stretch>
                  </pic:blipFill>
                  <pic:spPr bwMode="auto">
                    <a:xfrm>
                      <a:off x="0" y="0"/>
                      <a:ext cx="5760720" cy="3056213"/>
                    </a:xfrm>
                    <a:prstGeom prst="rect">
                      <a:avLst/>
                    </a:prstGeom>
                    <a:noFill/>
                    <a:ln w="9525">
                      <a:noFill/>
                      <a:miter lim="800000"/>
                      <a:headEnd/>
                      <a:tailEnd/>
                    </a:ln>
                  </pic:spPr>
                </pic:pic>
              </a:graphicData>
            </a:graphic>
          </wp:inline>
        </w:drawing>
      </w:r>
    </w:p>
    <w:p w:rsidR="009879B2" w:rsidRDefault="009879B2">
      <w:pPr>
        <w:rPr>
          <w:rFonts w:ascii="Times New Roman" w:hAnsi="Times New Roman" w:cs="Times New Roman"/>
        </w:rPr>
      </w:pPr>
      <w:r>
        <w:rPr>
          <w:rFonts w:ascii="Times New Roman" w:hAnsi="Times New Roman" w:cs="Times New Roman"/>
        </w:rPr>
        <w:t>Les tableaux organisent l’information mais ignorent largement la propriété spécifique des données géographiques : la localisation géographique. Si on observe pas la spatialité, on rate une dimension essentielle, le contexte spatial. Il faut reproduire l’information sous forme géographique.</w:t>
      </w:r>
    </w:p>
    <w:p w:rsidR="009879B2" w:rsidRDefault="009879B2">
      <w:pPr>
        <w:rPr>
          <w:rFonts w:ascii="Times New Roman" w:hAnsi="Times New Roman" w:cs="Times New Roman"/>
        </w:rPr>
      </w:pPr>
      <w:r>
        <w:rPr>
          <w:rFonts w:ascii="Times New Roman" w:hAnsi="Times New Roman" w:cs="Times New Roman"/>
        </w:rPr>
        <w:t>1</w:t>
      </w:r>
      <w:r w:rsidRPr="009879B2">
        <w:rPr>
          <w:rFonts w:ascii="Times New Roman" w:hAnsi="Times New Roman" w:cs="Times New Roman"/>
          <w:vertAlign w:val="superscript"/>
        </w:rPr>
        <w:t>e</w:t>
      </w:r>
      <w:r>
        <w:rPr>
          <w:rFonts w:ascii="Times New Roman" w:hAnsi="Times New Roman" w:cs="Times New Roman"/>
        </w:rPr>
        <w:t xml:space="preserve"> méthode) La cartographie statistique </w:t>
      </w:r>
    </w:p>
    <w:p w:rsidR="00EB6B80" w:rsidRDefault="00EB6B80">
      <w:pPr>
        <w:rPr>
          <w:rFonts w:ascii="Times New Roman" w:hAnsi="Times New Roman" w:cs="Times New Roman"/>
        </w:rPr>
      </w:pPr>
      <w:r>
        <w:rPr>
          <w:rFonts w:ascii="Times New Roman" w:hAnsi="Times New Roman" w:cs="Times New Roman"/>
        </w:rPr>
        <w:t xml:space="preserve">Différentes combinaison sont possibles : </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t>Seul l’objet est spatial : on s’intéresse à des entités spatiales localisées (régions, villes, communes, parcelles) mais cette localisation ne joue pas un rôle actif dans l’analyse statistique.  L’espace joue un rôle de support (démographie, activité, pédologie d’une ville par exemple).</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t>Objets localisés et variables spatiales : classiquement la « distance » à un lieu que l’on suppose jouer un rôle structurant (pôle, entrée d’autoroute).</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t>Les outils spécifiquement géographiques : type régression particulière.</w:t>
      </w:r>
    </w:p>
    <w:p w:rsidR="00EB6B80" w:rsidRDefault="00EB6B80" w:rsidP="00EB6B80">
      <w:pPr>
        <w:rPr>
          <w:rFonts w:ascii="Times New Roman" w:hAnsi="Times New Roman" w:cs="Times New Roman"/>
        </w:rPr>
      </w:pPr>
    </w:p>
    <w:p w:rsidR="00EB6B80" w:rsidRDefault="00EB6B80" w:rsidP="00EB6B80">
      <w:pPr>
        <w:rPr>
          <w:rFonts w:ascii="Times New Roman" w:hAnsi="Times New Roman" w:cs="Times New Roman"/>
        </w:rPr>
      </w:pPr>
      <w:r>
        <w:rPr>
          <w:rFonts w:ascii="Times New Roman" w:hAnsi="Times New Roman" w:cs="Times New Roman"/>
        </w:rPr>
        <w:t>Organisation :</w:t>
      </w:r>
    </w:p>
    <w:p w:rsidR="00EB6B80" w:rsidRDefault="00EB6B80" w:rsidP="00EB6B80">
      <w:pPr>
        <w:rPr>
          <w:rFonts w:ascii="Times New Roman" w:hAnsi="Times New Roman" w:cs="Times New Roman"/>
        </w:rPr>
      </w:pPr>
      <w:r>
        <w:rPr>
          <w:rFonts w:ascii="Times New Roman" w:hAnsi="Times New Roman" w:cs="Times New Roman"/>
        </w:rPr>
        <w:tab/>
        <w:t>Matin cours et code collectif</w:t>
      </w:r>
    </w:p>
    <w:p w:rsidR="00EB6B80" w:rsidRDefault="00EB6B80" w:rsidP="00EB6B80">
      <w:pPr>
        <w:rPr>
          <w:rFonts w:ascii="Times New Roman" w:hAnsi="Times New Roman" w:cs="Times New Roman"/>
        </w:rPr>
      </w:pPr>
      <w:r>
        <w:rPr>
          <w:rFonts w:ascii="Times New Roman" w:hAnsi="Times New Roman" w:cs="Times New Roman"/>
        </w:rPr>
        <w:tab/>
        <w:t>Après-midi : travail en groupe</w:t>
      </w:r>
    </w:p>
    <w:p w:rsidR="00EB6B80" w:rsidRDefault="00EB6B80" w:rsidP="00EB6B80">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Github</w:t>
      </w:r>
      <w:proofErr w:type="spellEnd"/>
      <w:r>
        <w:rPr>
          <w:rFonts w:ascii="Times New Roman" w:hAnsi="Times New Roman" w:cs="Times New Roman"/>
        </w:rPr>
        <w:t xml:space="preserve"> : </w:t>
      </w:r>
      <w:proofErr w:type="spellStart"/>
      <w:r>
        <w:rPr>
          <w:rFonts w:ascii="Times New Roman" w:hAnsi="Times New Roman" w:cs="Times New Roman"/>
        </w:rPr>
        <w:t>leconter</w:t>
      </w:r>
      <w:proofErr w:type="spellEnd"/>
      <w:r>
        <w:rPr>
          <w:rFonts w:ascii="Times New Roman" w:hAnsi="Times New Roman" w:cs="Times New Roman"/>
        </w:rPr>
        <w:t>/SPACER</w:t>
      </w:r>
    </w:p>
    <w:p w:rsidR="00EB6B80" w:rsidRPr="001570CE" w:rsidRDefault="00EB6B80" w:rsidP="001570CE">
      <w:pPr>
        <w:pBdr>
          <w:bottom w:val="single" w:sz="4" w:space="1" w:color="auto"/>
        </w:pBdr>
        <w:rPr>
          <w:rFonts w:ascii="Times New Roman" w:hAnsi="Times New Roman" w:cs="Times New Roman"/>
          <w:b/>
        </w:rPr>
      </w:pPr>
    </w:p>
    <w:p w:rsidR="00EB6B80" w:rsidRPr="001570CE" w:rsidRDefault="00EB6B80" w:rsidP="001570CE">
      <w:pPr>
        <w:pBdr>
          <w:bottom w:val="single" w:sz="4" w:space="1" w:color="auto"/>
        </w:pBdr>
        <w:rPr>
          <w:rFonts w:ascii="Times New Roman" w:hAnsi="Times New Roman" w:cs="Times New Roman"/>
          <w:b/>
        </w:rPr>
      </w:pPr>
      <w:r w:rsidRPr="001570CE">
        <w:rPr>
          <w:rFonts w:ascii="Times New Roman" w:hAnsi="Times New Roman" w:cs="Times New Roman"/>
          <w:b/>
        </w:rPr>
        <w:t>INTRODUCTION : Les données</w:t>
      </w:r>
    </w:p>
    <w:p w:rsidR="00EB6B80" w:rsidRDefault="00EB6B80" w:rsidP="00EB6B80">
      <w:pPr>
        <w:rPr>
          <w:rFonts w:ascii="Times New Roman" w:hAnsi="Times New Roman" w:cs="Times New Roman"/>
        </w:rPr>
      </w:pPr>
    </w:p>
    <w:p w:rsidR="00EB6B80" w:rsidRDefault="00EB6B80" w:rsidP="00EB6B80">
      <w:pPr>
        <w:rPr>
          <w:rFonts w:ascii="Times New Roman" w:hAnsi="Times New Roman" w:cs="Times New Roman"/>
        </w:rPr>
      </w:pPr>
      <w:r>
        <w:rPr>
          <w:rFonts w:ascii="Times New Roman" w:hAnsi="Times New Roman" w:cs="Times New Roman"/>
        </w:rPr>
        <w:t>Mesurer les inégalités sociales :</w:t>
      </w:r>
    </w:p>
    <w:p w:rsidR="00EB6B80" w:rsidRDefault="00EB6B80" w:rsidP="00EB6B80">
      <w:pPr>
        <w:rPr>
          <w:rFonts w:ascii="Times New Roman" w:hAnsi="Times New Roman" w:cs="Times New Roman"/>
        </w:rPr>
      </w:pPr>
      <w:r>
        <w:rPr>
          <w:rFonts w:ascii="Times New Roman" w:hAnsi="Times New Roman" w:cs="Times New Roman"/>
        </w:rPr>
        <w:t>« Une inégalité sociale est le résultat d’une distribution inégale, au sens mathématique de l’expression, entre les membres d’une société, des ressources de cette dernière » (</w:t>
      </w:r>
      <w:proofErr w:type="spellStart"/>
      <w:r>
        <w:rPr>
          <w:rFonts w:ascii="Times New Roman" w:hAnsi="Times New Roman" w:cs="Times New Roman"/>
        </w:rPr>
        <w:t>Bihn</w:t>
      </w:r>
      <w:proofErr w:type="spellEnd"/>
      <w:r>
        <w:rPr>
          <w:rFonts w:ascii="Times New Roman" w:hAnsi="Times New Roman" w:cs="Times New Roman"/>
        </w:rPr>
        <w:t xml:space="preserve">, </w:t>
      </w:r>
      <w:proofErr w:type="spellStart"/>
      <w:r>
        <w:rPr>
          <w:rFonts w:ascii="Times New Roman" w:hAnsi="Times New Roman" w:cs="Times New Roman"/>
        </w:rPr>
        <w:t>Pfefferkon</w:t>
      </w:r>
      <w:proofErr w:type="spellEnd"/>
      <w:r>
        <w:rPr>
          <w:rFonts w:ascii="Times New Roman" w:hAnsi="Times New Roman" w:cs="Times New Roman"/>
        </w:rPr>
        <w:t>, Le système des inégalités, 2008).</w:t>
      </w:r>
    </w:p>
    <w:p w:rsidR="00EB6B80" w:rsidRDefault="00EB6B80" w:rsidP="00EB6B80">
      <w:pPr>
        <w:pStyle w:val="Paragraphedeliste"/>
        <w:numPr>
          <w:ilvl w:val="0"/>
          <w:numId w:val="1"/>
        </w:numPr>
        <w:rPr>
          <w:rFonts w:ascii="Times New Roman" w:hAnsi="Times New Roman" w:cs="Times New Roman"/>
        </w:rPr>
      </w:pPr>
      <w:r>
        <w:rPr>
          <w:rFonts w:ascii="Times New Roman" w:hAnsi="Times New Roman" w:cs="Times New Roman"/>
        </w:rPr>
        <w:lastRenderedPageBreak/>
        <w:t>Dimension monétaire des inégalités sociales</w:t>
      </w:r>
    </w:p>
    <w:p w:rsidR="00B5610D" w:rsidRDefault="00EB6B80" w:rsidP="00EB6B80">
      <w:pPr>
        <w:rPr>
          <w:rFonts w:ascii="Times New Roman" w:hAnsi="Times New Roman" w:cs="Times New Roman"/>
        </w:rPr>
      </w:pPr>
      <w:r>
        <w:rPr>
          <w:rFonts w:ascii="Times New Roman" w:hAnsi="Times New Roman" w:cs="Times New Roman"/>
        </w:rPr>
        <w:t>Définition des revenus</w:t>
      </w:r>
      <w:r w:rsidR="00B5610D">
        <w:rPr>
          <w:rFonts w:ascii="Times New Roman" w:hAnsi="Times New Roman" w:cs="Times New Roman"/>
        </w:rPr>
        <w:t> : multiples, mais niveau de vie principale variable généralement</w:t>
      </w:r>
    </w:p>
    <w:p w:rsidR="00B5610D" w:rsidRDefault="00B5610D" w:rsidP="00EB6B80">
      <w:pPr>
        <w:rPr>
          <w:rFonts w:ascii="Times New Roman" w:hAnsi="Times New Roman" w:cs="Times New Roman"/>
        </w:rPr>
      </w:pPr>
      <w:r>
        <w:rPr>
          <w:rFonts w:ascii="Times New Roman" w:hAnsi="Times New Roman" w:cs="Times New Roman"/>
        </w:rPr>
        <w:t xml:space="preserve">Ménages : </w:t>
      </w:r>
      <w:r w:rsidRPr="00B5610D">
        <w:rPr>
          <w:rFonts w:ascii="Times New Roman" w:hAnsi="Times New Roman" w:cs="Times New Roman"/>
          <w:b/>
        </w:rPr>
        <w:t>ménage fiscal</w:t>
      </w:r>
      <w:r>
        <w:rPr>
          <w:rFonts w:ascii="Times New Roman" w:hAnsi="Times New Roman" w:cs="Times New Roman"/>
          <w:b/>
        </w:rPr>
        <w:t xml:space="preserve"> </w:t>
      </w:r>
      <w:r>
        <w:rPr>
          <w:rFonts w:ascii="Times New Roman" w:hAnsi="Times New Roman" w:cs="Times New Roman"/>
        </w:rPr>
        <w:t>constitué par le regroupement des foyers fiscaux répertoriés dans un même logement (hors logement collectif). Sont exclus les collectivités.</w:t>
      </w:r>
    </w:p>
    <w:p w:rsidR="00B5610D" w:rsidRDefault="00B5610D" w:rsidP="00EB6B80">
      <w:pPr>
        <w:rPr>
          <w:rFonts w:ascii="Times New Roman" w:hAnsi="Times New Roman" w:cs="Times New Roman"/>
        </w:rPr>
      </w:pPr>
      <w:r>
        <w:rPr>
          <w:rFonts w:ascii="Times New Roman" w:hAnsi="Times New Roman" w:cs="Times New Roman"/>
          <w:b/>
        </w:rPr>
        <w:t>Référent fiscal </w:t>
      </w:r>
      <w:r>
        <w:rPr>
          <w:rFonts w:ascii="Times New Roman" w:hAnsi="Times New Roman" w:cs="Times New Roman"/>
        </w:rPr>
        <w:t>: payeur de la taxe d’habitation au sein du ménage, il détermine la tranche d’âge du ménage.</w:t>
      </w:r>
    </w:p>
    <w:p w:rsidR="00B5610D" w:rsidRDefault="00B5610D" w:rsidP="00EB6B80">
      <w:pPr>
        <w:rPr>
          <w:rFonts w:ascii="Times New Roman" w:hAnsi="Times New Roman" w:cs="Times New Roman"/>
        </w:rPr>
      </w:pPr>
      <w:r>
        <w:rPr>
          <w:rFonts w:ascii="Times New Roman" w:hAnsi="Times New Roman" w:cs="Times New Roman"/>
          <w:b/>
        </w:rPr>
        <w:t xml:space="preserve">Unité de consommation comme pondération : </w:t>
      </w:r>
      <w:r>
        <w:rPr>
          <w:rFonts w:ascii="Times New Roman" w:hAnsi="Times New Roman" w:cs="Times New Roman"/>
        </w:rPr>
        <w:t>1 UC pour premier adulte, 0.5 pour …</w:t>
      </w:r>
    </w:p>
    <w:p w:rsidR="00B5610D" w:rsidRDefault="006955BE" w:rsidP="00EB6B80">
      <w:pPr>
        <w:rPr>
          <w:rFonts w:ascii="Times New Roman" w:hAnsi="Times New Roman" w:cs="Times New Roman"/>
        </w:rPr>
      </w:pPr>
      <w:r>
        <w:rPr>
          <w:rFonts w:ascii="Times New Roman" w:hAnsi="Times New Roman" w:cs="Times New Roman"/>
        </w:rPr>
        <w:t>Attention aux zones frontalières, effet de bordure en fonction des accords fiscaux avec le pays frontalier</w:t>
      </w:r>
    </w:p>
    <w:p w:rsidR="006955BE" w:rsidRDefault="006955BE" w:rsidP="00EB6B80">
      <w:pPr>
        <w:rPr>
          <w:rFonts w:ascii="Times New Roman" w:hAnsi="Times New Roman" w:cs="Times New Roman"/>
        </w:rPr>
      </w:pPr>
      <w:r>
        <w:rPr>
          <w:rFonts w:ascii="Times New Roman" w:hAnsi="Times New Roman" w:cs="Times New Roman"/>
        </w:rPr>
        <w:t>Maillage : aires urbaines, aires d’attraction des villes (2020), unités urbaines, zone d’emploi, IRIS.</w:t>
      </w:r>
    </w:p>
    <w:p w:rsidR="006955BE" w:rsidRDefault="006955BE" w:rsidP="00EB6B80">
      <w:pPr>
        <w:rPr>
          <w:rFonts w:ascii="Times New Roman" w:hAnsi="Times New Roman" w:cs="Times New Roman"/>
        </w:rPr>
      </w:pPr>
      <w:r>
        <w:rPr>
          <w:rFonts w:ascii="Times New Roman" w:hAnsi="Times New Roman" w:cs="Times New Roman"/>
        </w:rPr>
        <w:t>Niveau naturel : carreaux de différentes tailles (de 200 m à 32 km) permettant de diffuser toutes les informations sans imputation des données, tout en respectant le secret fiscal.</w:t>
      </w:r>
    </w:p>
    <w:p w:rsidR="001570CE" w:rsidRDefault="001570CE" w:rsidP="00EB6B80">
      <w:pPr>
        <w:rPr>
          <w:rFonts w:ascii="Times New Roman" w:hAnsi="Times New Roman" w:cs="Times New Roman"/>
        </w:rPr>
      </w:pPr>
      <w:r>
        <w:rPr>
          <w:rFonts w:ascii="Times New Roman" w:hAnsi="Times New Roman" w:cs="Times New Roman"/>
        </w:rPr>
        <w:t>Secret statistique : aucun indicateur pour zones de moins de 50 ménages et moins de 100 personnes : tous les indicateurs sont en général diffusés pour les zones d’au moins 1000 ménages et 2000 personnes.</w:t>
      </w:r>
    </w:p>
    <w:p w:rsidR="001570CE" w:rsidRDefault="001570CE" w:rsidP="00EB6B80">
      <w:pPr>
        <w:rPr>
          <w:rFonts w:ascii="Times New Roman" w:hAnsi="Times New Roman" w:cs="Times New Roman"/>
        </w:rPr>
      </w:pPr>
      <w:r>
        <w:rPr>
          <w:rFonts w:ascii="Times New Roman" w:hAnsi="Times New Roman" w:cs="Times New Roman"/>
        </w:rPr>
        <w:t>Le revenu par groupes :</w:t>
      </w:r>
      <w:r>
        <w:rPr>
          <w:rFonts w:ascii="Times New Roman" w:hAnsi="Times New Roman" w:cs="Times New Roman"/>
        </w:rPr>
        <w:tab/>
      </w:r>
    </w:p>
    <w:p w:rsidR="001570CE" w:rsidRDefault="001570CE" w:rsidP="00EB6B80">
      <w:pPr>
        <w:rPr>
          <w:rFonts w:ascii="Times New Roman" w:hAnsi="Times New Roman" w:cs="Times New Roman"/>
        </w:rPr>
      </w:pPr>
      <w:r>
        <w:rPr>
          <w:rFonts w:ascii="Times New Roman" w:hAnsi="Times New Roman" w:cs="Times New Roman"/>
        </w:rPr>
        <w:tab/>
        <w:t>Tranche d’âge : Âge du référent fiscal</w:t>
      </w:r>
    </w:p>
    <w:p w:rsidR="001570CE" w:rsidRDefault="001570CE" w:rsidP="00EB6B80">
      <w:pPr>
        <w:rPr>
          <w:rFonts w:ascii="Times New Roman" w:hAnsi="Times New Roman" w:cs="Times New Roman"/>
        </w:rPr>
      </w:pPr>
      <w:r>
        <w:rPr>
          <w:rFonts w:ascii="Times New Roman" w:hAnsi="Times New Roman" w:cs="Times New Roman"/>
        </w:rPr>
        <w:tab/>
        <w:t>Taille du ménage : nombre de personnes</w:t>
      </w:r>
    </w:p>
    <w:p w:rsidR="001570CE" w:rsidRDefault="001570CE" w:rsidP="00EB6B80">
      <w:pPr>
        <w:rPr>
          <w:rFonts w:ascii="Times New Roman" w:hAnsi="Times New Roman" w:cs="Times New Roman"/>
        </w:rPr>
      </w:pPr>
      <w:r>
        <w:rPr>
          <w:rFonts w:ascii="Times New Roman" w:hAnsi="Times New Roman" w:cs="Times New Roman"/>
        </w:rPr>
        <w:tab/>
        <w:t>Statut d’occupation du logement : Propriétaire/Locataire</w:t>
      </w:r>
    </w:p>
    <w:p w:rsidR="001570CE" w:rsidRDefault="001570CE" w:rsidP="00EB6B80">
      <w:pPr>
        <w:rPr>
          <w:rFonts w:ascii="Times New Roman" w:hAnsi="Times New Roman" w:cs="Times New Roman"/>
        </w:rPr>
      </w:pPr>
      <w:r>
        <w:rPr>
          <w:rFonts w:ascii="Times New Roman" w:hAnsi="Times New Roman" w:cs="Times New Roman"/>
        </w:rPr>
        <w:tab/>
        <w:t>Statut du logement loué : Social/Privé</w:t>
      </w:r>
    </w:p>
    <w:p w:rsidR="001570CE" w:rsidRDefault="001570CE" w:rsidP="00EB6B80">
      <w:pPr>
        <w:rPr>
          <w:rFonts w:ascii="Times New Roman" w:hAnsi="Times New Roman" w:cs="Times New Roman"/>
        </w:rPr>
      </w:pPr>
      <w:r>
        <w:rPr>
          <w:rFonts w:ascii="Times New Roman" w:hAnsi="Times New Roman" w:cs="Times New Roman"/>
        </w:rPr>
        <w:tab/>
        <w:t>Type de ménage : Conjugalité et parentalité</w:t>
      </w:r>
    </w:p>
    <w:p w:rsidR="001570CE" w:rsidRDefault="001570CE" w:rsidP="00EB6B80">
      <w:pPr>
        <w:rPr>
          <w:rFonts w:ascii="Times New Roman" w:hAnsi="Times New Roman" w:cs="Times New Roman"/>
        </w:rPr>
      </w:pPr>
      <w:r>
        <w:rPr>
          <w:rFonts w:ascii="Times New Roman" w:hAnsi="Times New Roman" w:cs="Times New Roman"/>
        </w:rPr>
        <w:tab/>
        <w:t>Origine principale du revenu déclaré : Salaire/Chômage/Retraite</w:t>
      </w:r>
    </w:p>
    <w:p w:rsidR="001A110C" w:rsidRDefault="001A110C" w:rsidP="00EB6B80">
      <w:pPr>
        <w:rPr>
          <w:rFonts w:ascii="Times New Roman" w:hAnsi="Times New Roman" w:cs="Times New Roman"/>
        </w:rPr>
      </w:pPr>
    </w:p>
    <w:p w:rsidR="001A110C" w:rsidRDefault="001A110C" w:rsidP="00EB6B80">
      <w:pPr>
        <w:rPr>
          <w:rFonts w:ascii="Times New Roman" w:hAnsi="Times New Roman" w:cs="Times New Roman"/>
        </w:rPr>
      </w:pPr>
      <w:r>
        <w:rPr>
          <w:rFonts w:ascii="Times New Roman" w:hAnsi="Times New Roman" w:cs="Times New Roman"/>
        </w:rPr>
        <w:t>1 unité urbaine, nombre suffisant de communes, éviter les unités frontalières, si possible un expert local dans le groupe, sauf Paris.</w:t>
      </w:r>
    </w:p>
    <w:p w:rsidR="001A110C" w:rsidRDefault="001A110C" w:rsidP="00EB6B80">
      <w:pPr>
        <w:rPr>
          <w:rFonts w:ascii="Times New Roman" w:hAnsi="Times New Roman" w:cs="Times New Roman"/>
        </w:rPr>
      </w:pPr>
    </w:p>
    <w:p w:rsidR="001A110C" w:rsidRDefault="001A110C" w:rsidP="00EB6B80">
      <w:pPr>
        <w:rPr>
          <w:rFonts w:ascii="Times New Roman" w:hAnsi="Times New Roman" w:cs="Times New Roman"/>
        </w:rPr>
      </w:pPr>
      <w:r>
        <w:rPr>
          <w:rFonts w:ascii="Times New Roman" w:hAnsi="Times New Roman" w:cs="Times New Roman"/>
        </w:rPr>
        <w:t>Vendredi 18h rendu, un poster par groupe</w:t>
      </w:r>
    </w:p>
    <w:p w:rsidR="001A110C" w:rsidRDefault="001A110C" w:rsidP="00EB6B80">
      <w:pPr>
        <w:rPr>
          <w:rFonts w:ascii="Times New Roman" w:hAnsi="Times New Roman" w:cs="Times New Roman"/>
        </w:rPr>
      </w:pPr>
      <w:r>
        <w:rPr>
          <w:rFonts w:ascii="Times New Roman" w:hAnsi="Times New Roman" w:cs="Times New Roman"/>
        </w:rPr>
        <w:t>2 pages A3, Titre + Question de recherche</w:t>
      </w:r>
    </w:p>
    <w:p w:rsidR="001A110C" w:rsidRPr="00B5610D" w:rsidRDefault="001A110C" w:rsidP="00EB6B80">
      <w:pPr>
        <w:rPr>
          <w:rFonts w:ascii="Times New Roman" w:hAnsi="Times New Roman" w:cs="Times New Roman"/>
        </w:rPr>
      </w:pPr>
      <w:r>
        <w:rPr>
          <w:rFonts w:ascii="Times New Roman" w:hAnsi="Times New Roman" w:cs="Times New Roman"/>
        </w:rPr>
        <w:t>Encadrés : définitions théoriques et opérationnelles + présentation synthétique des méthodes employées. Résultats sous forme graphique et commentaire succin (</w:t>
      </w:r>
      <w:proofErr w:type="spellStart"/>
      <w:r>
        <w:rPr>
          <w:rFonts w:ascii="Times New Roman" w:hAnsi="Times New Roman" w:cs="Times New Roman"/>
        </w:rPr>
        <w:t>bullet</w:t>
      </w:r>
      <w:proofErr w:type="spellEnd"/>
      <w:r>
        <w:rPr>
          <w:rFonts w:ascii="Times New Roman" w:hAnsi="Times New Roman" w:cs="Times New Roman"/>
        </w:rPr>
        <w:t xml:space="preserve"> points), Sources.</w:t>
      </w:r>
    </w:p>
    <w:sectPr w:rsidR="001A110C" w:rsidRPr="00B5610D" w:rsidSect="0024796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3A5564"/>
    <w:multiLevelType w:val="hybridMultilevel"/>
    <w:tmpl w:val="3BCA2A44"/>
    <w:lvl w:ilvl="0" w:tplc="BA946F3E">
      <w:numFmt w:val="bullet"/>
      <w:lvlText w:val="-"/>
      <w:lvlJc w:val="left"/>
      <w:pPr>
        <w:ind w:left="1068" w:hanging="360"/>
      </w:pPr>
      <w:rPr>
        <w:rFonts w:ascii="Times New Roman" w:eastAsiaTheme="minorHAnsi" w:hAnsi="Times New Roman" w:cs="Times New Roman"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92094E"/>
    <w:rsid w:val="001570CE"/>
    <w:rsid w:val="001A110C"/>
    <w:rsid w:val="00247962"/>
    <w:rsid w:val="006955BE"/>
    <w:rsid w:val="00884D41"/>
    <w:rsid w:val="0092094E"/>
    <w:rsid w:val="009879B2"/>
    <w:rsid w:val="00B5610D"/>
    <w:rsid w:val="00EB6B8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7962"/>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2094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2094E"/>
    <w:rPr>
      <w:rFonts w:ascii="Tahoma" w:hAnsi="Tahoma" w:cs="Tahoma"/>
      <w:sz w:val="16"/>
      <w:szCs w:val="16"/>
    </w:rPr>
  </w:style>
  <w:style w:type="paragraph" w:styleId="Paragraphedeliste">
    <w:name w:val="List Paragraph"/>
    <w:basedOn w:val="Normal"/>
    <w:uiPriority w:val="34"/>
    <w:qFormat/>
    <w:rsid w:val="00EB6B8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779</Words>
  <Characters>4287</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Yann</dc:creator>
  <cp:lastModifiedBy>Yann</cp:lastModifiedBy>
  <cp:revision>5</cp:revision>
  <dcterms:created xsi:type="dcterms:W3CDTF">2022-01-10T08:40:00Z</dcterms:created>
  <dcterms:modified xsi:type="dcterms:W3CDTF">2022-01-10T11:33:00Z</dcterms:modified>
</cp:coreProperties>
</file>