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4"/>
        </w:rPr>
        <w:t>LS-06 - Berechtigungen &amp; Zugriff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LS-06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Titel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Berechtigungen &amp; Zugriff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Pflicht/Optional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Aufwand (PT)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Preis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&lt;&lt;Preis LS-06 in EUR&gt;&gt;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Version / Datum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1.0 / &lt;&lt;YYYY-MM-DD&gt;&gt;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6"/>
        </w:rPr>
        <w:t>Einleitung</w:t>
      </w:r>
    </w:p>
    <w:p>
      <w:r>
        <w:rPr>
          <w:rFonts w:ascii="Calibri" w:hAnsi="Calibri"/>
          <w:b w:val="0"/>
          <w:sz w:val="22"/>
        </w:rPr>
        <w:t>Stellt Berechtigungen fuer den produktiven Zugriff sicher.</w:t>
      </w:r>
    </w:p>
    <w:p>
      <w:pPr>
        <w:pStyle w:val="Heading2"/>
      </w:pPr>
      <w:r>
        <w:rPr>
          <w:rFonts w:ascii="Calibri" w:hAnsi="Calibri"/>
          <w:b/>
          <w:sz w:val="26"/>
        </w:rPr>
        <w:t>Leistungen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Mapping von NTFS-ACLs auf Zielfreigaben soweit moeglich.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AD-Gruppen zuordnen und Berechtigungspruefungen durchfuehren.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Abweichungen dokumentieren und Entscheidungspunkte vorlegen.</w:t>
      </w:r>
    </w:p>
    <w:p>
      <w:pPr>
        <w:pStyle w:val="Heading2"/>
      </w:pPr>
      <w:r>
        <w:rPr>
          <w:rFonts w:ascii="Calibri" w:hAnsi="Calibri"/>
          <w:b/>
          <w:sz w:val="26"/>
        </w:rPr>
        <w:t>Annahmen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Kunde stellt benoetigte Zugaenge und Ansprechpartner bereit.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Freigaben und Entscheidungen erfolgen innerhalb &lt;&lt;X Werktagen&gt;&gt;.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Aenderungen ausserhalb Scope erfolgen ueber Change Request.</w:t>
      </w:r>
    </w:p>
    <w:p>
      <w:pPr>
        <w:pStyle w:val="Heading2"/>
      </w:pPr>
      <w:r>
        <w:rPr>
          <w:rFonts w:ascii="Calibri" w:hAnsi="Calibri"/>
          <w:b/>
          <w:sz w:val="26"/>
        </w:rPr>
        <w:t>Einschraenkungen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Provider-Limits und Drittabhaengigkeiten koennen Zeitplaene beeinflussen.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Nicht dokumentierte Sonderfaelle koennen Zusatzabstimmungen ausloesen.</w:t>
      </w:r>
    </w:p>
    <w:p>
      <w:pPr>
        <w:pStyle w:val="Heading2"/>
      </w:pPr>
      <w:r>
        <w:rPr>
          <w:rFonts w:ascii="Calibri" w:hAnsi="Calibri"/>
          <w:b/>
          <w:sz w:val="26"/>
        </w:rPr>
        <w:t>Liefergegenstaende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Berechtigungsmatrix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Testprotokolle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Abweichungsliste</w:t>
      </w:r>
    </w:p>
    <w:p>
      <w:pPr>
        <w:pStyle w:val="Heading2"/>
      </w:pPr>
      <w:r>
        <w:rPr>
          <w:rFonts w:ascii="Calibri" w:hAnsi="Calibri"/>
          <w:b/>
          <w:sz w:val="26"/>
        </w:rPr>
        <w:t>Nicht im Leistungsumfang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Vollstaendige IAM-Neuordnung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Compliance-Audit ausserhalb Scope</w:t>
      </w:r>
    </w:p>
    <w:p>
      <w:pPr>
        <w:pStyle w:val="Heading2"/>
      </w:pPr>
      <w:r>
        <w:rPr>
          <w:rFonts w:ascii="Calibri" w:hAnsi="Calibri"/>
          <w:b/>
          <w:sz w:val="26"/>
        </w:rPr>
        <w:t>Aufwand &amp; Abrechnung</w:t>
      </w:r>
    </w:p>
    <w:p>
      <w:r>
        <w:rPr>
          <w:rFonts w:ascii="Calibri" w:hAnsi="Calibri"/>
          <w:b w:val="0"/>
          <w:sz w:val="22"/>
        </w:rPr>
        <w:t>5 PT, Abrechnung gemaess &lt;&lt;Festpreis / T&amp;M&gt;&gt;.</w:t>
      </w:r>
    </w:p>
    <w:p>
      <w:pPr>
        <w:pStyle w:val="Heading2"/>
      </w:pPr>
      <w:r>
        <w:rPr>
          <w:rFonts w:ascii="Calibri" w:hAnsi="Calibri"/>
          <w:b/>
          <w:sz w:val="26"/>
        </w:rPr>
        <w:t>Abnahmekriterien</w:t>
      </w:r>
    </w:p>
    <w:p>
      <w:r>
        <w:rPr>
          <w:rFonts w:ascii="Calibri" w:hAnsi="Calibri"/>
          <w:b w:val="0"/>
          <w:sz w:val="22"/>
        </w:rPr>
        <w:t>Berechtigungsmatrix freigegeben und Zugriffstests erfolgreich.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sz w:val="18"/>
      </w:rPr>
      <w:t xml:space="preserve">Seite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von </w:t>
    </w:r>
    <w:r>
      <w:rPr>
        <w:rFonts w:ascii="Calibri" w:hAnsi="Calibri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sz w:val="18"/>
      </w:rPr>
      <w:t>Angebot - &lt;&lt;Azure File Migration&gt;&gt;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