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4"/>
        </w:rPr>
        <w:t>LS-07 - Datenmigration &amp; Cutover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LS-07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Datenmigration &amp; Cutover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LS-07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Fuehrt die technische Migration bis zur Umschaltung aus.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Pre-Seed und Delta-Sync mit Migrationsprotokoll.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Cutover im Wartungsfenster inkl. Rollback-Bereitschaft.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Nutzerkommunikation waehrend Umstellung und Go-Live.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Migrationslogs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Go-Live-Protokoll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Rollback-Checkliste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Unbegrenzte Nachmigration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Datenbereinigung ausserhalb Scope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6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Cutover abgeschlossen und produktiver Zugriff auf Azure Files moeglich.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sz w:val="18"/>
      </w:rPr>
      <w:t xml:space="preserve">Seite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von </w:t>
    </w:r>
    <w:r>
      <w:rPr>
        <w:rFonts w:ascii="Calibri" w:hAnsi="Calibri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sz w:val="18"/>
      </w:rPr>
      <w:t>Angebot - &lt;&lt;Azure File Migration&gt;&gt;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