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078D4"/>
          <w:sz w:val="56"/>
        </w:rPr>
        <w:t>Azure Landing Zone</w:t>
      </w:r>
    </w:p>
    <w:p>
      <w:pPr>
        <w:jc w:val="center"/>
      </w:pPr>
      <w:r>
        <w:rPr>
          <w:color w:val="243A5E"/>
          <w:sz w:val="30"/>
        </w:rPr>
        <w:t>Q&amp;A-Vorbereitung – Erwartete Fragen &amp; Antworten</w:t>
      </w:r>
    </w:p>
    <w:p>
      <w:pPr>
        <w:jc w:val="center"/>
      </w:pPr>
      <w:r>
        <w:rPr>
          <w:color w:val="605E5C"/>
          <w:sz w:val="22"/>
        </w:rPr>
        <w:t>Kickoff mit Technikern &amp; Netzwerkern des Kunden</w:t>
      </w:r>
    </w:p>
    <w:p/>
    <w:p/>
    <w:p/>
    <w:p/>
    <w:p/>
    <w:p/>
    <w:p>
      <w:pPr>
        <w:jc w:val="center"/>
      </w:pPr>
      <w:r>
        <w:rPr>
          <w:color w:val="605E5C"/>
          <w:sz w:val="20"/>
        </w:rPr>
        <w:t>Stand: 16.06.2026 · internes Vorbereitungsdokument</w:t>
      </w:r>
    </w:p>
    <w:p>
      <w:r>
        <w:br w:type="page"/>
      </w:r>
    </w:p>
    <w:p>
      <w:pPr>
        <w:pStyle w:val="Heading1"/>
      </w:pPr>
      <w:r>
        <w:t>So nutzt du dieses Dokument</w:t>
      </w:r>
    </w:p>
    <w:p>
      <w:pPr>
        <w:spacing w:after="120"/>
      </w:pPr>
      <w:r>
        <w:rPr>
          <w:i w:val="0"/>
        </w:rPr>
        <w:t>Dieses Deck sammelt Fragen, die dir die technischen Ansprechpartner und Netzwerker des Kunden voraussichtlich stellen – jeweils mit einer kompakten, fachlich belastbaren Antwort. Mit [heikel] markierte Fragen bergen ein Risiko (Kosten, Versprechen, Fallstrick): hier ehrlich bleiben und ggf. „klären wir im Detail-Design“ sagen, statt dich festzulegen.</w:t>
      </w:r>
    </w:p>
    <w:p>
      <w:pPr>
        <w:spacing w:after="120"/>
      </w:pPr>
      <w:r>
        <w:rPr>
          <w:i/>
          <w:color w:val="605E5C"/>
        </w:rPr>
        <w:t>Goldene Regel: Was umgesetzt ist, selbstbewusst zeigen. Was Roadmap ist, klar als Roadmap benennen. Bei IP-/DNS-/Identity-Themen erst ihren Bestand erfragen, dann zusagen.</w:t>
      </w:r>
    </w:p>
    <w:p>
      <w:pPr>
        <w:pStyle w:val="Heading1"/>
      </w:pPr>
      <w:r>
        <w:t>A. Strategie &amp; Architektur</w:t>
      </w:r>
    </w:p>
    <w:p>
      <w:pPr>
        <w:spacing w:before="160" w:after="40"/>
      </w:pPr>
      <w:r>
        <w:rPr>
          <w:b/>
          <w:color w:val="0078D4"/>
          <w:sz w:val="22"/>
        </w:rPr>
        <w:t>F:  Nutzt ihr den offiziellen Microsoft-ALZ-Accelerator?</w:t>
      </w:r>
    </w:p>
    <w:p>
      <w:pPr>
        <w:pStyle w:val="ListBullet"/>
        <w:spacing w:after="40"/>
      </w:pPr>
      <w:r>
        <w:rPr>
          <w:color w:val="243A5E"/>
          <w:sz w:val="21"/>
        </w:rPr>
        <w:t>Ja. Wir setzen das offizielle ALZ-Bicep-Accelerator-Starter-Modul ein (Spiegel von Azure/alz-bicep-accelerator) und rollen es über das ALZ-PowerShell-Modul mit Deploy-Accelerator aus.</w:t>
      </w:r>
    </w:p>
    <w:p>
      <w:pPr>
        <w:pStyle w:val="ListBullet"/>
        <w:spacing w:after="40"/>
      </w:pPr>
      <w:r>
        <w:rPr>
          <w:color w:val="243A5E"/>
          <w:sz w:val="21"/>
        </w:rPr>
        <w:t>Governance kommt aus dem offiziellen Modul avm/ptn/alz/empty – also das volle, von Microsoft gepflegte ALZ-Policy-Set, nicht ein Eigenbau.</w:t>
      </w:r>
    </w:p>
    <w:p>
      <w:pPr>
        <w:spacing w:before="160" w:after="40"/>
      </w:pPr>
      <w:r>
        <w:rPr>
          <w:b/>
          <w:color w:val="C0392B"/>
          <w:sz w:val="18"/>
        </w:rPr>
        <w:t xml:space="preserve">[heikel]  </w:t>
      </w:r>
      <w:r>
        <w:rPr>
          <w:b/>
          <w:color w:val="0078D4"/>
          <w:sz w:val="22"/>
        </w:rPr>
        <w:t>F:  Warum Hub-and-Spoke und nicht Virtual WAN?</w:t>
      </w:r>
    </w:p>
    <w:p>
      <w:pPr>
        <w:pStyle w:val="ListBullet"/>
        <w:spacing w:after="40"/>
      </w:pPr>
      <w:r>
        <w:rPr>
          <w:color w:val="243A5E"/>
          <w:sz w:val="21"/>
        </w:rPr>
        <w:t>Hub-and-Spoke ist transparenter, günstiger im Einstieg und genügt für eine bis wenige Regionen.</w:t>
      </w:r>
    </w:p>
    <w:p>
      <w:pPr>
        <w:pStyle w:val="ListBullet"/>
        <w:spacing w:after="40"/>
      </w:pPr>
      <w:r>
        <w:rPr>
          <w:color w:val="243A5E"/>
          <w:sz w:val="21"/>
        </w:rPr>
        <w:t>Virtual WAN ist als Alternative im Accelerator vorbereitet (network_type=vwanConnectivity) – sinnvoll bei vielen Regionen/Standorten oder globalem Transit. Wechsel ist eine bewusste Entscheidung.</w:t>
      </w:r>
    </w:p>
    <w:p>
      <w:pPr>
        <w:spacing w:before="160" w:after="40"/>
      </w:pPr>
      <w:r>
        <w:rPr>
          <w:b/>
          <w:color w:val="0078D4"/>
          <w:sz w:val="22"/>
        </w:rPr>
        <w:t>F:  Warum Bicep und nicht Terraform?</w:t>
      </w:r>
    </w:p>
    <w:p>
      <w:pPr>
        <w:pStyle w:val="ListBullet"/>
        <w:spacing w:after="40"/>
      </w:pPr>
      <w:r>
        <w:rPr>
          <w:color w:val="243A5E"/>
          <w:sz w:val="21"/>
        </w:rPr>
        <w:t>Die Plattform-Templates sind Bicep (Azure-nativ, ohne State-Management, mit What-If und AVM direkt aus der Registry).</w:t>
      </w:r>
    </w:p>
    <w:p>
      <w:pPr>
        <w:pStyle w:val="ListBullet"/>
        <w:spacing w:after="40"/>
      </w:pPr>
      <w:r>
        <w:rPr>
          <w:color w:val="243A5E"/>
          <w:sz w:val="21"/>
        </w:rPr>
        <w:t>Der Bootstrap des Accelerators ist Terraform-basiert (State-Storage + OIDC + Repo) – das ist Microsoft-Standard und für uns transparent.</w:t>
      </w:r>
    </w:p>
    <w:p>
      <w:pPr>
        <w:spacing w:before="160" w:after="40"/>
      </w:pPr>
      <w:r>
        <w:rPr>
          <w:b/>
          <w:color w:val="0078D4"/>
          <w:sz w:val="22"/>
        </w:rPr>
        <w:t>F:  Was ist heute schon umgesetzt, was nicht?</w:t>
      </w:r>
    </w:p>
    <w:p>
      <w:pPr>
        <w:pStyle w:val="ListBullet"/>
        <w:spacing w:after="40"/>
      </w:pPr>
      <w:r>
        <w:rPr>
          <w:color w:val="243A5E"/>
          <w:sz w:val="21"/>
        </w:rPr>
        <w:t>Umgesetzt: 12 Management Groups, volles ALZ-Policy-Set (149 Definitionen, 42 Initiativen, 123 Assignments, 5 Custom-Rollen), Logging (avm/ptn/alz/ama), Defender-for-Cloud-Onboarding via Policy, Hub-Networking, Bootstrap + generierte CI/CD-Pipelines mit OIDC.</w:t>
      </w:r>
    </w:p>
    <w:p>
      <w:pPr>
        <w:pStyle w:val="ListBullet"/>
        <w:spacing w:after="40"/>
      </w:pPr>
      <w:r>
        <w:rPr>
          <w:color w:val="243A5E"/>
          <w:sz w:val="21"/>
        </w:rPr>
        <w:t>Roadmap: dedizierte Identity-Ressourcen, Sentinel-Connectors, ggf. WAF-Ingress.</w:t>
      </w:r>
    </w:p>
    <w:p>
      <w:pPr>
        <w:spacing w:before="160" w:after="40"/>
      </w:pPr>
      <w:r>
        <w:rPr>
          <w:b/>
          <w:color w:val="0078D4"/>
          <w:sz w:val="22"/>
        </w:rPr>
        <w:t>F:  Sind wir nach dem Aufbau an euch gebunden?</w:t>
      </w:r>
    </w:p>
    <w:p>
      <w:pPr>
        <w:pStyle w:val="ListBullet"/>
        <w:spacing w:after="40"/>
      </w:pPr>
      <w:r>
        <w:rPr>
          <w:color w:val="243A5E"/>
          <w:sz w:val="21"/>
        </w:rPr>
        <w:t>Nein. Es ist das offizielle Microsoft-Modul, vollständig als Code im Git-Repo, dokumentiert und reproduzierbar. Der Kunde kann es selbst betreiben oder weiterentwickeln.</w:t>
      </w:r>
    </w:p>
    <w:p>
      <w:pPr>
        <w:pStyle w:val="Heading1"/>
      </w:pPr>
      <w:r>
        <w:t>B. Governance, Policy &amp; RBAC</w:t>
      </w:r>
    </w:p>
    <w:p>
      <w:pPr>
        <w:spacing w:before="160" w:after="40"/>
      </w:pPr>
      <w:r>
        <w:rPr>
          <w:b/>
          <w:color w:val="0078D4"/>
          <w:sz w:val="22"/>
        </w:rPr>
        <w:t>F:  Wie viele Policies greifen, und wie tief geht das Set?</w:t>
      </w:r>
    </w:p>
    <w:p>
      <w:pPr>
        <w:pStyle w:val="ListBullet"/>
        <w:spacing w:after="40"/>
      </w:pPr>
      <w:r>
        <w:rPr>
          <w:color w:val="243A5E"/>
          <w:sz w:val="21"/>
        </w:rPr>
        <w:t>Das volle ALZ-Policy-Set: 149 Custom-Policy-Definitionen, 42 Initiativen und 123 konkrete Assignments über die MG-Ebenen verteilt (zzgl. Vererbung) – kein schlankes Eigenbau-Set.</w:t>
      </w:r>
    </w:p>
    <w:p>
      <w:pPr>
        <w:pStyle w:val="ListBullet"/>
        <w:spacing w:after="40"/>
      </w:pPr>
      <w:r>
        <w:rPr>
          <w:color w:val="243A5E"/>
          <w:sz w:val="21"/>
        </w:rPr>
        <w:t>Verteilung der Assignments: alz=17, landingzones=53, platform=40, corp=5, identity=4, je 1 auf connectivity/local/sandbox/decommissioned.</w:t>
      </w:r>
    </w:p>
    <w:p>
      <w:pPr>
        <w:spacing w:before="160" w:after="40"/>
      </w:pPr>
      <w:r>
        <w:rPr>
          <w:b/>
          <w:color w:val="0078D4"/>
          <w:sz w:val="22"/>
        </w:rPr>
        <w:t>F:  Was greift konkret ab Tag 1?</w:t>
      </w:r>
    </w:p>
    <w:p>
      <w:pPr>
        <w:pStyle w:val="ListBullet"/>
        <w:spacing w:after="40"/>
      </w:pPr>
      <w:r>
        <w:rPr>
          <w:color w:val="243A5E"/>
          <w:sz w:val="21"/>
        </w:rPr>
        <w:t>Auf alz (Root): Defender-Onboarding (Deploy-MDFC-*), Activity-Log/Diagnose ins LAW, Compute Security Baseline (Enforce-ACSB), Service Health.</w:t>
      </w:r>
    </w:p>
    <w:p>
      <w:pPr>
        <w:pStyle w:val="ListBullet"/>
        <w:spacing w:after="40"/>
      </w:pPr>
      <w:r>
        <w:rPr>
          <w:color w:val="243A5E"/>
          <w:sz w:val="21"/>
        </w:rPr>
        <w:t>Auf landingzones-corp: keine Public Endpoints/Public-IP an NICs, kein Hybrid-Networking, Private DNS. Sandbox: gelockerte Guardrails. Decommissioned: gesperrt.</w:t>
      </w:r>
    </w:p>
    <w:p>
      <w:pPr>
        <w:spacing w:before="160" w:after="40"/>
      </w:pPr>
      <w:r>
        <w:rPr>
          <w:b/>
          <w:color w:val="0078D4"/>
          <w:sz w:val="22"/>
        </w:rPr>
        <w:t>F:  Was, wenn eine Policy ein legitimes Deployment blockiert?</w:t>
      </w:r>
    </w:p>
    <w:p>
      <w:pPr>
        <w:pStyle w:val="ListBullet"/>
        <w:spacing w:after="40"/>
      </w:pPr>
      <w:r>
        <w:rPr>
          <w:color w:val="243A5E"/>
          <w:sz w:val="21"/>
        </w:rPr>
        <w:t>Gezielte Policy Exemptions auf MG-/Subscription-/RG-Ebene – versioniert im Code, nicht als Klick im Portal. Zusätzlich sind viele Guardrail-Initiativen im Auslieferungszustand auf DoNotEnforce (auditierend) und werden erst nach Bedarf scharfgeschaltet.</w:t>
      </w:r>
    </w:p>
    <w:p>
      <w:pPr>
        <w:spacing w:before="160" w:after="40"/>
      </w:pPr>
      <w:r>
        <w:rPr>
          <w:b/>
          <w:color w:val="C0392B"/>
          <w:sz w:val="18"/>
        </w:rPr>
        <w:t xml:space="preserve">[heikel]  </w:t>
      </w:r>
      <w:r>
        <w:rPr>
          <w:b/>
          <w:color w:val="0078D4"/>
          <w:sz w:val="22"/>
        </w:rPr>
        <w:t>F:  Müsst ihr das Policy-Set erst noch erweitern?</w:t>
      </w:r>
    </w:p>
    <w:p>
      <w:pPr>
        <w:pStyle w:val="ListBullet"/>
        <w:spacing w:after="40"/>
      </w:pPr>
      <w:r>
        <w:rPr>
          <w:color w:val="243A5E"/>
          <w:sz w:val="21"/>
        </w:rPr>
        <w:t>Nein – es ist bereits das vollständige, von Microsoft gepflegte ALZ-Set. Compliance-Feintuning heißt hier eher: DoNotEnforce-Initiativen scharfschalten bzw. Parameter setzen, nicht Policies nachbauen.</w:t>
      </w:r>
    </w:p>
    <w:p>
      <w:pPr>
        <w:spacing w:before="160" w:after="40"/>
      </w:pPr>
      <w:r>
        <w:rPr>
          <w:b/>
          <w:color w:val="0078D4"/>
          <w:sz w:val="22"/>
        </w:rPr>
        <w:t>F:  Was bedeuten DeployIfNotExists / Modify in den Assignments?</w:t>
      </w:r>
    </w:p>
    <w:p>
      <w:pPr>
        <w:pStyle w:val="ListBullet"/>
        <w:spacing w:after="40"/>
      </w:pPr>
      <w:r>
        <w:rPr>
          <w:color w:val="243A5E"/>
          <w:sz w:val="21"/>
        </w:rPr>
        <w:t>Viele Assignments korrigieren/ergänzen Ressourcen automatisch (z. B. Diagnose, Monitoring-Agent, Defender-Onboarding) und legen dafür automatisch Remediation-Identities (Managed Identities) an.</w:t>
      </w:r>
    </w:p>
    <w:p>
      <w:pPr>
        <w:pStyle w:val="ListBullet"/>
        <w:spacing w:after="40"/>
      </w:pPr>
      <w:r>
        <w:rPr>
          <w:color w:val="243A5E"/>
          <w:sz w:val="21"/>
        </w:rPr>
        <w:t>Das ist Microsoft-Standard – nichts, was wir manuell pflegen müssen.</w:t>
      </w:r>
    </w:p>
    <w:p>
      <w:pPr>
        <w:spacing w:before="160" w:after="40"/>
      </w:pPr>
      <w:r>
        <w:rPr>
          <w:b/>
          <w:color w:val="0078D4"/>
          <w:sz w:val="22"/>
        </w:rPr>
        <w:t>F:  Wie funktioniert RBAC – wer bekommt was?</w:t>
      </w:r>
    </w:p>
    <w:p>
      <w:pPr>
        <w:pStyle w:val="ListBullet"/>
        <w:spacing w:after="40"/>
      </w:pPr>
      <w:r>
        <w:rPr>
          <w:color w:val="243A5E"/>
          <w:sz w:val="21"/>
        </w:rPr>
        <w:t>Das Accelerator-Modul liefert 5 Custom-Rollen (Subscription-Owner, Security-Operations, Network-Management, Application-Owners, Network-Subnet-Contributor) und weist Rollen an Entra-ID-Gruppen je MG zu.</w:t>
      </w:r>
    </w:p>
    <w:p>
      <w:pPr>
        <w:pStyle w:val="ListBullet"/>
        <w:spacing w:after="40"/>
      </w:pPr>
      <w:r>
        <w:rPr>
          <w:color w:val="243A5E"/>
          <w:sz w:val="21"/>
        </w:rPr>
        <w:t>Object-IDs werden über die Konfiguration injiziert – keine Hardcodes. Konkrete Gruppen-IDs braucht ihr vom Kunden.</w:t>
      </w:r>
    </w:p>
    <w:p>
      <w:pPr>
        <w:spacing w:before="160" w:after="40"/>
      </w:pPr>
      <w:r>
        <w:rPr>
          <w:b/>
          <w:color w:val="0078D4"/>
          <w:sz w:val="22"/>
        </w:rPr>
        <w:t>F:  Nutzt ihr PIM / Just-in-Time-Zugriff?</w:t>
      </w:r>
    </w:p>
    <w:p>
      <w:pPr>
        <w:pStyle w:val="ListBullet"/>
        <w:spacing w:after="40"/>
      </w:pPr>
      <w:r>
        <w:rPr>
          <w:color w:val="243A5E"/>
          <w:sz w:val="21"/>
        </w:rPr>
        <w:t>PIM ist empfohlen und kompatibel (Eligible-Zuweisungen auf die Gruppen). Aktivierung ist eine Kundenentscheidung im RBAC-Modell.</w:t>
      </w:r>
    </w:p>
    <w:p>
      <w:pPr>
        <w:pStyle w:val="Heading1"/>
      </w:pPr>
      <w:r>
        <w:t>C. Netzwerk &amp; Connectivity (Schwerpunkt Netzwerker)</w:t>
      </w:r>
    </w:p>
    <w:p>
      <w:pPr>
        <w:spacing w:before="160" w:after="40"/>
      </w:pPr>
      <w:r>
        <w:rPr>
          <w:b/>
          <w:color w:val="C0392B"/>
          <w:sz w:val="18"/>
        </w:rPr>
        <w:t xml:space="preserve">[heikel]  </w:t>
      </w:r>
      <w:r>
        <w:rPr>
          <w:b/>
          <w:color w:val="0078D4"/>
          <w:sz w:val="22"/>
        </w:rPr>
        <w:t>F:  Warum /22 für den Hub – reicht das?</w:t>
      </w:r>
    </w:p>
    <w:p>
      <w:pPr>
        <w:pStyle w:val="ListBullet"/>
        <w:spacing w:after="40"/>
      </w:pPr>
      <w:r>
        <w:rPr>
          <w:color w:val="243A5E"/>
          <w:sz w:val="21"/>
        </w:rPr>
        <w:t>/22 (1024 Adressen) deckt AzureFirewallSubnet (/26), AzureBastionSubnet (/26), GatewaySubnet (/27) und Resolver-Subnetze mit Reserve ab.</w:t>
      </w:r>
    </w:p>
    <w:p>
      <w:pPr>
        <w:pStyle w:val="ListBullet"/>
        <w:spacing w:after="40"/>
      </w:pPr>
      <w:r>
        <w:rPr>
          <w:color w:val="243A5E"/>
          <w:sz w:val="21"/>
        </w:rPr>
        <w:t>Bei sehr vielen Spokes/Diensten Adressplan früh größer wählen. Bestand on-prem entscheidet.</w:t>
      </w:r>
    </w:p>
    <w:p>
      <w:pPr>
        <w:spacing w:before="160" w:after="40"/>
      </w:pPr>
      <w:r>
        <w:rPr>
          <w:b/>
          <w:color w:val="0078D4"/>
          <w:sz w:val="22"/>
        </w:rPr>
        <w:t>F:  Ist das VNet-Peering transitiv?</w:t>
      </w:r>
    </w:p>
    <w:p>
      <w:pPr>
        <w:pStyle w:val="ListBullet"/>
        <w:spacing w:after="40"/>
      </w:pPr>
      <w:r>
        <w:rPr>
          <w:color w:val="243A5E"/>
          <w:sz w:val="21"/>
        </w:rPr>
        <w:t>Nein. VNet-Peering ist nicht transitiv. Spoke-zu-Spoke läuft per UDR über die Hub-Firewall (Hairpin), nicht direkt zwischen Spokes.</w:t>
      </w:r>
    </w:p>
    <w:p>
      <w:pPr>
        <w:spacing w:before="160" w:after="40"/>
      </w:pPr>
      <w:r>
        <w:rPr>
          <w:b/>
          <w:color w:val="C0392B"/>
          <w:sz w:val="18"/>
        </w:rPr>
        <w:t xml:space="preserve">[heikel]  </w:t>
      </w:r>
      <w:r>
        <w:rPr>
          <w:b/>
          <w:color w:val="0078D4"/>
          <w:sz w:val="22"/>
        </w:rPr>
        <w:t>F:  Standard- oder Premium-Firewall?</w:t>
      </w:r>
    </w:p>
    <w:p>
      <w:pPr>
        <w:pStyle w:val="ListBullet"/>
        <w:spacing w:after="40"/>
      </w:pPr>
      <w:r>
        <w:rPr>
          <w:color w:val="243A5E"/>
          <w:sz w:val="21"/>
        </w:rPr>
        <w:t>Aktuell Standard. Premium bietet IDPS, TLS-Inspection und URL-Filtering – ca. doppelte Kosten.</w:t>
      </w:r>
    </w:p>
    <w:p>
      <w:pPr>
        <w:pStyle w:val="ListBullet"/>
        <w:spacing w:after="40"/>
      </w:pPr>
      <w:r>
        <w:rPr>
          <w:color w:val="243A5E"/>
          <w:sz w:val="21"/>
        </w:rPr>
        <w:t>Frage zurück: Erwartet ihr Layer-7-Inspection/TLS-Aufbruch? Dann planen wir Premium ein.</w:t>
      </w:r>
    </w:p>
    <w:p>
      <w:pPr>
        <w:spacing w:before="160" w:after="40"/>
      </w:pPr>
      <w:r>
        <w:rPr>
          <w:b/>
          <w:color w:val="0078D4"/>
          <w:sz w:val="22"/>
        </w:rPr>
        <w:t>F:  Wie sieht das Egress-Regelwerk aus?</w:t>
      </w:r>
    </w:p>
    <w:p>
      <w:pPr>
        <w:pStyle w:val="ListBullet"/>
        <w:spacing w:after="40"/>
      </w:pPr>
      <w:r>
        <w:rPr>
          <w:color w:val="243A5E"/>
          <w:sz w:val="21"/>
        </w:rPr>
        <w:t>Die Azure Firewall hat eine zugeordnete Firewall Policy (DNS-Proxy aktiv). Grundsatz bleibt Default-Deny für nicht freigegebenen Verkehr.</w:t>
      </w:r>
    </w:p>
    <w:p>
      <w:pPr>
        <w:pStyle w:val="ListBullet"/>
        <w:spacing w:after="40"/>
      </w:pPr>
      <w:r>
        <w:rPr>
          <w:color w:val="243A5E"/>
          <w:sz w:val="21"/>
        </w:rPr>
        <w:t>Alle Workload-spezifischen Freigaben kommen kontrolliert und versioniert in die Firewall Policy – nicht als Portal-Klick.</w:t>
      </w:r>
    </w:p>
    <w:p>
      <w:pPr>
        <w:spacing w:before="160" w:after="40"/>
      </w:pPr>
      <w:r>
        <w:rPr>
          <w:b/>
          <w:color w:val="C0392B"/>
          <w:sz w:val="18"/>
        </w:rPr>
        <w:t xml:space="preserve">[heikel]  </w:t>
      </w:r>
      <w:r>
        <w:rPr>
          <w:b/>
          <w:color w:val="0078D4"/>
          <w:sz w:val="22"/>
        </w:rPr>
        <w:t>F:  Wie bindet ihr On-Prem an – VPN oder ExpressRoute?</w:t>
      </w:r>
    </w:p>
    <w:p>
      <w:pPr>
        <w:pStyle w:val="ListBullet"/>
        <w:spacing w:after="40"/>
      </w:pPr>
      <w:r>
        <w:rPr>
          <w:color w:val="243A5E"/>
          <w:sz w:val="21"/>
        </w:rPr>
        <w:t>Beide Gateways sind im Microsoft-Default des Accelerators in beiden Hubs aktiviert (VPN Gateway VpnGw1AZ + ExpressRoute Gateway). VPN für schnellen/günstigen Start, ExpressRoute für Bandbreite/SLA.</w:t>
      </w:r>
    </w:p>
    <w:p>
      <w:pPr>
        <w:pStyle w:val="ListBullet"/>
        <w:spacing w:after="40"/>
      </w:pPr>
      <w:r>
        <w:rPr>
          <w:color w:val="243A5E"/>
          <w:sz w:val="21"/>
        </w:rPr>
        <w:t>Wenn nur eines davon gebraucht wird, schalten wir das andere über die deploy*-Schalter aus – das spart Kosten. Eure Entscheidung nach Bandbreite, SLA und Budget.</w:t>
      </w:r>
    </w:p>
    <w:p>
      <w:pPr>
        <w:spacing w:before="160" w:after="40"/>
      </w:pPr>
      <w:r>
        <w:rPr>
          <w:b/>
          <w:color w:val="0078D4"/>
          <w:sz w:val="22"/>
        </w:rPr>
        <w:t>F:  Unterstützt ihr BGP? Welches ASN nutzt Azure?</w:t>
      </w:r>
    </w:p>
    <w:p>
      <w:pPr>
        <w:pStyle w:val="ListBullet"/>
        <w:spacing w:after="40"/>
      </w:pPr>
      <w:r>
        <w:rPr>
          <w:color w:val="243A5E"/>
          <w:sz w:val="21"/>
        </w:rPr>
        <w:t>Ja, BGP wird unterstützt. Azure VPN Gateway nutzt standardmäßig ASN 65515 – euer On-Prem-ASN darf nicht kollidieren. ASN bitte vorab nennen.</w:t>
      </w:r>
    </w:p>
    <w:p>
      <w:pPr>
        <w:spacing w:before="160" w:after="40"/>
      </w:pPr>
      <w:r>
        <w:rPr>
          <w:b/>
          <w:color w:val="C0392B"/>
          <w:sz w:val="18"/>
        </w:rPr>
        <w:t xml:space="preserve">[heikel]  </w:t>
      </w:r>
      <w:r>
        <w:rPr>
          <w:b/>
          <w:color w:val="0078D4"/>
          <w:sz w:val="22"/>
        </w:rPr>
        <w:t>F:  Wie verhindert ihr asymmetrisches Routing bei ExpressRoute + Firewall?</w:t>
      </w:r>
    </w:p>
    <w:p>
      <w:pPr>
        <w:pStyle w:val="ListBullet"/>
        <w:spacing w:after="40"/>
      </w:pPr>
      <w:r>
        <w:rPr>
          <w:color w:val="243A5E"/>
          <w:sz w:val="21"/>
        </w:rPr>
        <w:t>Über saubere UDR-/BGP-Propagation und ggf. Forced Tunneling. Das lösen wir im Netzwerk-Detail-Design sauber – ist ein bekannter Fallstrick, kein Showstopper.</w:t>
      </w:r>
    </w:p>
    <w:p>
      <w:pPr>
        <w:spacing w:before="160" w:after="40"/>
      </w:pPr>
      <w:r>
        <w:rPr>
          <w:b/>
          <w:color w:val="0078D4"/>
          <w:sz w:val="22"/>
        </w:rPr>
        <w:t>F:  Ist Forced Tunneling (alles über On-Prem) möglich?</w:t>
      </w:r>
    </w:p>
    <w:p>
      <w:pPr>
        <w:pStyle w:val="ListBullet"/>
        <w:spacing w:after="40"/>
      </w:pPr>
      <w:r>
        <w:rPr>
          <w:color w:val="243A5E"/>
          <w:sz w:val="21"/>
        </w:rPr>
        <w:t>Ja – per UDR/BGP wird der Egress über das Gateway zurück nach on-prem gezwungen. Bewusst zu planen, da es die Firewall-Egress-Logik und ggf. Internetzugang verändert.</w:t>
      </w:r>
    </w:p>
    <w:p>
      <w:pPr>
        <w:spacing w:before="160" w:after="40"/>
      </w:pPr>
      <w:r>
        <w:rPr>
          <w:b/>
          <w:color w:val="0078D4"/>
          <w:sz w:val="22"/>
        </w:rPr>
        <w:t>F:  Wie segmentiert ihr – NSG oder Firewall?</w:t>
      </w:r>
    </w:p>
    <w:p>
      <w:pPr>
        <w:pStyle w:val="ListBullet"/>
        <w:spacing w:after="40"/>
      </w:pPr>
      <w:r>
        <w:rPr>
          <w:color w:val="243A5E"/>
          <w:sz w:val="21"/>
        </w:rPr>
        <w:t>Beides komplementär: Azure Firewall für Nord-Süd und zentrale L3/L4(-L7)-Kontrolle, NSGs/ASGs für Ost-West auf Subnetz-/NIC-Ebene innerhalb der Spokes.</w:t>
      </w:r>
    </w:p>
    <w:p>
      <w:pPr>
        <w:spacing w:before="160" w:after="40"/>
      </w:pPr>
      <w:r>
        <w:rPr>
          <w:b/>
          <w:color w:val="0078D4"/>
          <w:sz w:val="22"/>
        </w:rPr>
        <w:t>F:  Verfügbarkeitszonen / Hochverfügbarkeit?</w:t>
      </w:r>
    </w:p>
    <w:p>
      <w:pPr>
        <w:pStyle w:val="ListBullet"/>
        <w:spacing w:after="40"/>
      </w:pPr>
      <w:r>
        <w:rPr>
          <w:color w:val="243A5E"/>
          <w:sz w:val="21"/>
        </w:rPr>
        <w:t>Azure Firewall und Gateways können zonenredundant betrieben werden; zwei Hub-Regionen (GWC + NE) sind bidirektional gepeert. Konkrete Zonen-/HA-Stufe nach Verfügbarkeits-Anforderung.</w:t>
      </w:r>
    </w:p>
    <w:p>
      <w:pPr>
        <w:spacing w:before="160" w:after="40"/>
      </w:pPr>
      <w:r>
        <w:rPr>
          <w:b/>
          <w:color w:val="C0392B"/>
          <w:sz w:val="18"/>
        </w:rPr>
        <w:t xml:space="preserve">[heikel]  </w:t>
      </w:r>
      <w:r>
        <w:rPr>
          <w:b/>
          <w:color w:val="0078D4"/>
          <w:sz w:val="22"/>
        </w:rPr>
        <w:t>F:  Wie funktioniert Internet-Ingress für öffentliche Workloads?</w:t>
      </w:r>
    </w:p>
    <w:p>
      <w:pPr>
        <w:pStyle w:val="ListBullet"/>
        <w:spacing w:after="40"/>
      </w:pPr>
      <w:r>
        <w:rPr>
          <w:color w:val="243A5E"/>
          <w:sz w:val="21"/>
        </w:rPr>
        <w:t>Für die Online-Landing-Zone ist Application Gateway/WAF vorgesehen – aktuell Roadmap, noch nicht gebaut.</w:t>
      </w:r>
    </w:p>
    <w:p>
      <w:pPr>
        <w:pStyle w:val="ListBullet"/>
        <w:spacing w:after="40"/>
      </w:pPr>
      <w:r>
        <w:rPr>
          <w:color w:val="243A5E"/>
          <w:sz w:val="21"/>
        </w:rPr>
        <w:t>Egress läuft über die Firewall (SNAT); Ingress-Design je nach Workload (WAF, Front Door).</w:t>
      </w:r>
    </w:p>
    <w:p>
      <w:pPr>
        <w:spacing w:before="160" w:after="40"/>
      </w:pPr>
      <w:r>
        <w:rPr>
          <w:b/>
          <w:color w:val="0078D4"/>
          <w:sz w:val="22"/>
        </w:rPr>
        <w:t>F:  Wie hoch ist der Firewall-Durchsatz?</w:t>
      </w:r>
    </w:p>
    <w:p>
      <w:pPr>
        <w:pStyle w:val="ListBullet"/>
        <w:spacing w:after="40"/>
      </w:pPr>
      <w:r>
        <w:rPr>
          <w:color w:val="243A5E"/>
          <w:sz w:val="21"/>
        </w:rPr>
        <w:t>Azure Firewall skaliert automatisch in den zweistelligen Gbit/s-Bereich; SNAT-Ports sind die übliche Grenze und werden über mehrere Public IPs erweitert.</w:t>
      </w:r>
    </w:p>
    <w:p>
      <w:pPr>
        <w:spacing w:before="160" w:after="40"/>
      </w:pPr>
      <w:r>
        <w:rPr>
          <w:b/>
          <w:color w:val="C0392B"/>
          <w:sz w:val="18"/>
        </w:rPr>
        <w:t xml:space="preserve">[heikel]  </w:t>
      </w:r>
      <w:r>
        <w:rPr>
          <w:b/>
          <w:color w:val="0078D4"/>
          <w:sz w:val="22"/>
        </w:rPr>
        <w:t>F:  DDoS-Schutz?</w:t>
      </w:r>
    </w:p>
    <w:p>
      <w:pPr>
        <w:pStyle w:val="ListBullet"/>
        <w:spacing w:after="40"/>
      </w:pPr>
      <w:r>
        <w:rPr>
          <w:color w:val="243A5E"/>
          <w:sz w:val="21"/>
        </w:rPr>
        <w:t>DDoS Network Protection ist im Microsoft-Default des Accelerators aktiviert (Hub 1) – mit ~€2.500/Monat der teuerste Einzelposten.</w:t>
      </w:r>
    </w:p>
    <w:p>
      <w:pPr>
        <w:pStyle w:val="ListBullet"/>
        <w:spacing w:after="40"/>
      </w:pPr>
      <w:r>
        <w:rPr>
          <w:color w:val="243A5E"/>
          <w:sz w:val="21"/>
        </w:rPr>
        <w:t>Für internetseitige Workloads sinnvoll; sonst bewusst über den Schalter deployDdosProtectionPlan deaktivieren und auf den IP-Basisschutz setzen.</w:t>
      </w:r>
    </w:p>
    <w:p>
      <w:pPr>
        <w:pStyle w:val="Heading1"/>
      </w:pPr>
      <w:r>
        <w:t>D. DNS &amp; Namensauflösung</w:t>
      </w:r>
    </w:p>
    <w:p>
      <w:pPr>
        <w:spacing w:before="160" w:after="40"/>
      </w:pPr>
      <w:r>
        <w:rPr>
          <w:b/>
          <w:color w:val="0078D4"/>
          <w:sz w:val="22"/>
        </w:rPr>
        <w:t>F:  Wie löst ihr Private Endpoints auf?</w:t>
      </w:r>
    </w:p>
    <w:p>
      <w:pPr>
        <w:pStyle w:val="ListBullet"/>
        <w:spacing w:after="40"/>
      </w:pPr>
      <w:r>
        <w:rPr>
          <w:color w:val="243A5E"/>
          <w:sz w:val="21"/>
        </w:rPr>
        <w:t>Zentrale Private DNS Zones (privatelink.*) am Hub, mit den VNets verknüpft. Private Endpoints registrieren sich automatisch; die Policy Deploy-Private-DNS-Zones erzwingt das für PaaS-Dienste.</w:t>
      </w:r>
    </w:p>
    <w:p>
      <w:pPr>
        <w:spacing w:before="160" w:after="40"/>
      </w:pPr>
      <w:r>
        <w:rPr>
          <w:b/>
          <w:color w:val="C0392B"/>
          <w:sz w:val="18"/>
        </w:rPr>
        <w:t xml:space="preserve">[heikel]  </w:t>
      </w:r>
      <w:r>
        <w:rPr>
          <w:b/>
          <w:color w:val="0078D4"/>
          <w:sz w:val="22"/>
        </w:rPr>
        <w:t>F:  Wie funktioniert hybride Namensauflösung zu On-Prem?</w:t>
      </w:r>
    </w:p>
    <w:p>
      <w:pPr>
        <w:pStyle w:val="ListBullet"/>
        <w:spacing w:after="40"/>
      </w:pPr>
      <w:r>
        <w:rPr>
          <w:color w:val="243A5E"/>
          <w:sz w:val="21"/>
        </w:rPr>
        <w:t>Über den DNS Private Resolver – im Microsoft-Default in beiden Hubs aktiviert (Inbound-/Outbound-Endpoints in delegierten Subnetzen): Inbound für Azure→On-Prem-Anfragen, Outbound mit Forwarding-Regeln zu euren On-Prem-DNS-Servern.</w:t>
      </w:r>
    </w:p>
    <w:p>
      <w:pPr>
        <w:pStyle w:val="ListBullet"/>
        <w:spacing w:after="40"/>
      </w:pPr>
      <w:r>
        <w:rPr>
          <w:color w:val="243A5E"/>
          <w:sz w:val="21"/>
        </w:rPr>
        <w:t>Wir brauchen: autoritative On-Prem-DNS-Server und die Domänen für Conditional Forwarding.</w:t>
      </w:r>
    </w:p>
    <w:p>
      <w:pPr>
        <w:spacing w:before="160" w:after="40"/>
      </w:pPr>
      <w:r>
        <w:rPr>
          <w:b/>
          <w:color w:val="0078D4"/>
          <w:sz w:val="22"/>
        </w:rPr>
        <w:t>F:  DNS Private Resolver vs. eigene DNS-VMs?</w:t>
      </w:r>
    </w:p>
    <w:p>
      <w:pPr>
        <w:pStyle w:val="ListBullet"/>
        <w:spacing w:after="40"/>
      </w:pPr>
      <w:r>
        <w:rPr>
          <w:color w:val="243A5E"/>
          <w:sz w:val="21"/>
        </w:rPr>
        <w:t>Resolver ist PaaS, zonenredundant, kein VM-Betrieb – günstiger und wartungsärmer als ein DC/DNS-VM-Paar. Wir empfehlen den Resolver, sofern keine speziellen On-Prem-Abhängigkeiten dagegensprechen.</w:t>
      </w:r>
    </w:p>
    <w:p>
      <w:pPr>
        <w:spacing w:before="160" w:after="40"/>
      </w:pPr>
      <w:r>
        <w:rPr>
          <w:b/>
          <w:color w:val="0078D4"/>
          <w:sz w:val="22"/>
        </w:rPr>
        <w:t>F:  Warum DNS-Proxy auf der Firewall?</w:t>
      </w:r>
    </w:p>
    <w:p>
      <w:pPr>
        <w:pStyle w:val="ListBullet"/>
        <w:spacing w:after="40"/>
      </w:pPr>
      <w:r>
        <w:rPr>
          <w:color w:val="243A5E"/>
          <w:sz w:val="21"/>
        </w:rPr>
        <w:t>Damit FQDN-basierte Firewall-Regeln konsistent auflösen und DNS zentral über die Firewall läuft – einheitlicher Auflösungspfad für alle Spokes.</w:t>
      </w:r>
    </w:p>
    <w:p>
      <w:pPr>
        <w:pStyle w:val="Heading1"/>
      </w:pPr>
      <w:r>
        <w:t>E. Security</w:t>
      </w:r>
    </w:p>
    <w:p>
      <w:pPr>
        <w:spacing w:before="160" w:after="40"/>
      </w:pPr>
      <w:r>
        <w:rPr>
          <w:b/>
          <w:color w:val="0078D4"/>
          <w:sz w:val="22"/>
        </w:rPr>
        <w:t>F:  Wie wird Defender for Cloud aktiviert?</w:t>
      </w:r>
    </w:p>
    <w:p>
      <w:pPr>
        <w:pStyle w:val="ListBullet"/>
        <w:spacing w:after="40"/>
      </w:pPr>
      <w:r>
        <w:rPr>
          <w:color w:val="243A5E"/>
          <w:sz w:val="21"/>
        </w:rPr>
        <w:t>Automatisch über die Policy-Assignments auf der alz-Root-Ebene (Deploy-MDFC-Config-H224, Deploy-MDEndpoints, Deploy-MDFC-OssDb, Deploy-MDFC-SqlAtp) – DeployIfNotExists, kein eigenes Security-Template.</w:t>
      </w:r>
    </w:p>
    <w:p>
      <w:pPr>
        <w:pStyle w:val="ListBullet"/>
        <w:spacing w:after="40"/>
      </w:pPr>
      <w:r>
        <w:rPr>
          <w:color w:val="243A5E"/>
          <w:sz w:val="21"/>
        </w:rPr>
        <w:t>Neue Subscriptions unter alz werden so beim Eintritt automatisch onboardet.</w:t>
      </w:r>
    </w:p>
    <w:p>
      <w:pPr>
        <w:spacing w:before="160" w:after="40"/>
      </w:pPr>
      <w:r>
        <w:rPr>
          <w:b/>
          <w:color w:val="C0392B"/>
          <w:sz w:val="18"/>
        </w:rPr>
        <w:t xml:space="preserve">[heikel]  </w:t>
      </w:r>
      <w:r>
        <w:rPr>
          <w:b/>
          <w:color w:val="0078D4"/>
          <w:sz w:val="22"/>
        </w:rPr>
        <w:t>F:  Welche Defender-Pläne, welcher Tier?</w:t>
      </w:r>
    </w:p>
    <w:p>
      <w:pPr>
        <w:pStyle w:val="ListBullet"/>
        <w:spacing w:after="40"/>
      </w:pPr>
      <w:r>
        <w:rPr>
          <w:color w:val="243A5E"/>
          <w:sz w:val="21"/>
        </w:rPr>
        <w:t>Servers/Endpoint, SQL (Server/MI/VM), Open-Source-DB, Storage, Container u. a. – über die MDFC-Initiative gesteuert.</w:t>
      </w:r>
    </w:p>
    <w:p>
      <w:pPr>
        <w:pStyle w:val="ListBullet"/>
        <w:spacing w:after="40"/>
      </w:pPr>
      <w:r>
        <w:rPr>
          <w:color w:val="243A5E"/>
          <w:sz w:val="21"/>
        </w:rPr>
        <w:t>Die Policy hebt die Pläne auf den Standard-Tier (kostenpflichtig, i. d. R. pro Ressource). Der Tier ist über die Konfiguration steuerbar.</w:t>
      </w:r>
    </w:p>
    <w:p>
      <w:pPr>
        <w:spacing w:before="160" w:after="40"/>
      </w:pPr>
      <w:r>
        <w:rPr>
          <w:b/>
          <w:color w:val="0078D4"/>
          <w:sz w:val="22"/>
        </w:rPr>
        <w:t>F:  Habt ihr Sentinel / ein SIEM?</w:t>
      </w:r>
    </w:p>
    <w:p>
      <w:pPr>
        <w:pStyle w:val="ListBullet"/>
        <w:spacing w:after="40"/>
      </w:pPr>
      <w:r>
        <w:rPr>
          <w:color w:val="243A5E"/>
          <w:sz w:val="21"/>
        </w:rPr>
        <w:t>Sentinel-Onboarding ist über einen Schalter am Log Analytics Workspace vorbereitet. Data Connectors und Analyseregeln sind Roadmap und werden bei SIEM-Bedarf ausgestaltet.</w:t>
      </w:r>
    </w:p>
    <w:p>
      <w:pPr>
        <w:spacing w:before="160" w:after="40"/>
      </w:pPr>
      <w:r>
        <w:rPr>
          <w:b/>
          <w:color w:val="0078D4"/>
          <w:sz w:val="22"/>
        </w:rPr>
        <w:t>F:  Wie werden Activity Logs zentralisiert?</w:t>
      </w:r>
    </w:p>
    <w:p>
      <w:pPr>
        <w:pStyle w:val="ListBullet"/>
        <w:spacing w:after="40"/>
      </w:pPr>
      <w:r>
        <w:rPr>
          <w:color w:val="243A5E"/>
          <w:sz w:val="21"/>
        </w:rPr>
        <w:t>Pro Subscription per Diagnostic Settings ins zentrale Log Analytics (Administrative, Security, Policy, ResourceHealth u. a.).</w:t>
      </w:r>
    </w:p>
    <w:p>
      <w:pPr>
        <w:spacing w:before="160" w:after="40"/>
      </w:pPr>
      <w:r>
        <w:rPr>
          <w:b/>
          <w:color w:val="0078D4"/>
          <w:sz w:val="22"/>
        </w:rPr>
        <w:t>F:  Wie lange werden Logs aufbewahrt?</w:t>
      </w:r>
    </w:p>
    <w:p>
      <w:pPr>
        <w:pStyle w:val="ListBullet"/>
        <w:spacing w:after="40"/>
      </w:pPr>
      <w:r>
        <w:rPr>
          <w:color w:val="243A5E"/>
          <w:sz w:val="21"/>
        </w:rPr>
        <w:t>Standard 365 Tage (PerGB2018). Anpassbar nach Compliance – längere Retention/Archiv treibt Kosten.</w:t>
      </w:r>
    </w:p>
    <w:p>
      <w:pPr>
        <w:pStyle w:val="Heading1"/>
      </w:pPr>
      <w:r>
        <w:t>F. Identity</w:t>
      </w:r>
    </w:p>
    <w:p>
      <w:pPr>
        <w:spacing w:before="160" w:after="40"/>
      </w:pPr>
      <w:r>
        <w:rPr>
          <w:b/>
          <w:color w:val="C0392B"/>
          <w:sz w:val="18"/>
        </w:rPr>
        <w:t xml:space="preserve">[heikel]  </w:t>
      </w:r>
      <w:r>
        <w:rPr>
          <w:b/>
          <w:color w:val="0078D4"/>
          <w:sz w:val="22"/>
        </w:rPr>
        <w:t>F:  Entra-only oder hybrid?</w:t>
      </w:r>
    </w:p>
    <w:p>
      <w:pPr>
        <w:pStyle w:val="ListBullet"/>
        <w:spacing w:after="40"/>
      </w:pPr>
      <w:r>
        <w:rPr>
          <w:color w:val="243A5E"/>
          <w:sz w:val="21"/>
        </w:rPr>
        <w:t>MG alz-platform-identity und eine Identity-Subscription sind vorgesehen. Ausprägung (Entra-only, hybrid, AD DS in Azure) ist Roadmap und richtet sich nach euren Anforderungen.</w:t>
      </w:r>
    </w:p>
    <w:p>
      <w:pPr>
        <w:pStyle w:val="ListBullet"/>
        <w:spacing w:after="40"/>
      </w:pPr>
      <w:r>
        <w:rPr>
          <w:color w:val="243A5E"/>
          <w:sz w:val="21"/>
        </w:rPr>
        <w:t>Frage zurück: Habt ihr On-Prem-AD, das hybrid angebunden werden soll?</w:t>
      </w:r>
    </w:p>
    <w:p>
      <w:pPr>
        <w:spacing w:before="160" w:after="40"/>
      </w:pPr>
      <w:r>
        <w:rPr>
          <w:b/>
          <w:color w:val="0078D4"/>
          <w:sz w:val="22"/>
        </w:rPr>
        <w:t>F:  Diagnostiziert ihr Entra ID nach Log Analytics?</w:t>
      </w:r>
    </w:p>
    <w:p>
      <w:pPr>
        <w:pStyle w:val="ListBullet"/>
        <w:spacing w:after="40"/>
      </w:pPr>
      <w:r>
        <w:rPr>
          <w:color w:val="243A5E"/>
          <w:sz w:val="21"/>
        </w:rPr>
        <w:t>Geplant: Entra-Diagnose-Logs (Sign-ins, Audit) ins zentrale Log Analytics. Teil der Identity-Roadmap.</w:t>
      </w:r>
    </w:p>
    <w:p>
      <w:pPr>
        <w:pStyle w:val="Heading1"/>
      </w:pPr>
      <w:r>
        <w:t>G. Betrieb, IaC &amp; CI/CD</w:t>
      </w:r>
    </w:p>
    <w:p>
      <w:pPr>
        <w:spacing w:before="160" w:after="40"/>
      </w:pPr>
      <w:r>
        <w:rPr>
          <w:b/>
          <w:color w:val="0078D4"/>
          <w:sz w:val="22"/>
        </w:rPr>
        <w:t>F:  Wie deployt ihr – manuell oder Pipeline?</w:t>
      </w:r>
    </w:p>
    <w:p>
      <w:pPr>
        <w:pStyle w:val="ListBullet"/>
        <w:spacing w:after="40"/>
      </w:pPr>
      <w:r>
        <w:rPr>
          <w:color w:val="243A5E"/>
          <w:sz w:val="21"/>
        </w:rPr>
        <w:t>Über das offizielle ALZ-Modul: Deploy-Accelerator führt den Bootstrap aus (erstellt Repo, OIDC, Pipelines); danach fahren die generierten Pipelines die 18 geordneten Deploy-Stufen.</w:t>
      </w:r>
    </w:p>
    <w:p>
      <w:pPr>
        <w:pStyle w:val="ListBullet"/>
        <w:spacing w:after="40"/>
      </w:pPr>
      <w:r>
        <w:rPr>
          <w:color w:val="243A5E"/>
          <w:sz w:val="21"/>
        </w:rPr>
        <w:t>Reihenfolge: Governance/MGs (1–15) → Core-Logging (16) → Networking Hub bzw. Virtual WAN (17/18).</w:t>
      </w:r>
    </w:p>
    <w:p>
      <w:pPr>
        <w:spacing w:before="160" w:after="40"/>
      </w:pPr>
      <w:r>
        <w:rPr>
          <w:b/>
          <w:color w:val="0078D4"/>
          <w:sz w:val="22"/>
        </w:rPr>
        <w:t>F:  Wie testet ihr Änderungen vorab?</w:t>
      </w:r>
    </w:p>
    <w:p>
      <w:pPr>
        <w:pStyle w:val="ListBullet"/>
        <w:spacing w:after="40"/>
      </w:pPr>
      <w:r>
        <w:rPr>
          <w:color w:val="243A5E"/>
          <w:sz w:val="21"/>
        </w:rPr>
        <w:t>Azure What-If wird über die Pipeline vor dem Apply ausgeführt und zeigt exakt, was sich ändert – ohne eine Ressource zu erstellen. Apply erst nach Freigabe über das Approval-Gate. Risikofrei und kostenlos.</w:t>
      </w:r>
    </w:p>
    <w:p>
      <w:pPr>
        <w:spacing w:before="160" w:after="40"/>
      </w:pPr>
      <w:r>
        <w:rPr>
          <w:b/>
          <w:color w:val="0078D4"/>
          <w:sz w:val="22"/>
        </w:rPr>
        <w:t>F:  Wie läuft die Pipeline-Anmeldung an Azure?</w:t>
      </w:r>
    </w:p>
    <w:p>
      <w:pPr>
        <w:pStyle w:val="ListBullet"/>
        <w:spacing w:after="40"/>
      </w:pPr>
      <w:r>
        <w:rPr>
          <w:color w:val="243A5E"/>
          <w:sz w:val="21"/>
        </w:rPr>
        <w:t>Passwortlos über OIDC Federated Identity – keine gespeicherten Secrets/Zertifikate. Der Bootstrap legt dafür eine Managed Identity mit Federated Credentials und die GitHub-Environments mit Approval-Gates an.</w:t>
      </w:r>
    </w:p>
    <w:p>
      <w:pPr>
        <w:spacing w:before="160" w:after="40"/>
      </w:pPr>
      <w:r>
        <w:rPr>
          <w:b/>
          <w:color w:val="0078D4"/>
          <w:sz w:val="22"/>
        </w:rPr>
        <w:t>F:  Was, wenn ein Deployment fehlschlägt – Rollback?</w:t>
      </w:r>
    </w:p>
    <w:p>
      <w:pPr>
        <w:pStyle w:val="ListBullet"/>
        <w:spacing w:after="40"/>
      </w:pPr>
      <w:r>
        <w:rPr>
          <w:color w:val="243A5E"/>
          <w:sz w:val="21"/>
        </w:rPr>
        <w:t>Bicep ist deklarativ/idempotent: erneutes Deployment des letzten guten Stands stellt den Soll-Zustand wieder her. What-If vorab minimiert Fehldeployments.</w:t>
      </w:r>
    </w:p>
    <w:p>
      <w:pPr>
        <w:spacing w:before="160" w:after="40"/>
      </w:pPr>
      <w:r>
        <w:rPr>
          <w:b/>
          <w:color w:val="0078D4"/>
          <w:sz w:val="22"/>
        </w:rPr>
        <w:t>F:  Wie verhindert ihr Configuration Drift?</w:t>
      </w:r>
    </w:p>
    <w:p>
      <w:pPr>
        <w:pStyle w:val="ListBullet"/>
        <w:spacing w:after="40"/>
      </w:pPr>
      <w:r>
        <w:rPr>
          <w:color w:val="243A5E"/>
          <w:sz w:val="21"/>
        </w:rPr>
        <w:t>Git ist die Quelle der Wahrheit; Re-Deployment korrigiert manuelle Änderungen. Policies (Deny) verhindern viele Drifts bereits an der Quelle.</w:t>
      </w:r>
    </w:p>
    <w:p>
      <w:pPr>
        <w:pStyle w:val="Heading1"/>
      </w:pPr>
      <w:r>
        <w:t>H. Kosten</w:t>
      </w:r>
    </w:p>
    <w:p>
      <w:pPr>
        <w:spacing w:after="120"/>
      </w:pPr>
      <w:r>
        <w:rPr>
          <w:i w:val="0"/>
        </w:rPr>
        <w:t>WICHTIG: Der Microsoft-Default des Accelerators aktiviert alle Netzwerk-Dienste in BEIDEN Regionen (Summe ≈ €5.800/Monat). Richtwerte (GWC, ohne Workloads) – immer als „circa, abhängig von Nutzung“: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608"/>
            <w:shd w:val="clear" w:color="auto" w:fill="0078D4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Komponente</w:t>
            </w:r>
          </w:p>
        </w:tc>
        <w:tc>
          <w:tcPr>
            <w:tcW w:type="dxa" w:w="3168"/>
            <w:shd w:val="clear" w:color="auto" w:fill="0078D4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Grundkosten/Monat</w:t>
            </w:r>
          </w:p>
        </w:tc>
        <w:tc>
          <w:tcPr>
            <w:tcW w:type="dxa" w:w="2304"/>
            <w:shd w:val="clear" w:color="auto" w:fill="0078D4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Default</w:t>
            </w:r>
          </w:p>
        </w:tc>
      </w:tr>
      <w:tr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Management Groups, volles Policy-Set, RBAC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kostenlos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an</w:t>
            </w:r>
          </w:p>
        </w:tc>
      </w:tr>
      <w:tr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Log Analytics (geringer Ingress)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~0 (5 GB frei)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an</w:t>
            </w:r>
          </w:p>
        </w:tc>
      </w:tr>
      <w:tr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Private DNS Zones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~€15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an</w:t>
            </w:r>
          </w:p>
        </w:tc>
      </w:tr>
      <w:tr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2x Azure Firewall (Standard)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~€2.200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an</w:t>
            </w:r>
          </w:p>
        </w:tc>
      </w:tr>
      <w:tr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2x Azure Bastion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~€240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an</w:t>
            </w:r>
          </w:p>
        </w:tc>
      </w:tr>
      <w:tr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2x VPN Gateway (VpnGw1AZ)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~€280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an</w:t>
            </w:r>
          </w:p>
        </w:tc>
      </w:tr>
      <w:tr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2x ExpressRoute Gateway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~€560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an</w:t>
            </w:r>
          </w:p>
        </w:tc>
      </w:tr>
      <w:tr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2x DNS Private Resolver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~€50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an</w:t>
            </w:r>
          </w:p>
        </w:tc>
      </w:tr>
      <w:tr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DDoS Network Protection (Hub 1)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~€2.500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an</w:t>
            </w:r>
          </w:p>
        </w:tc>
      </w:tr>
      <w:tr>
        <w:tc>
          <w:tcPr>
            <w:tcW w:type="dxa" w:w="460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Defender Standard (je Ressource)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ab ~€13/Server</w:t>
            </w:r>
          </w:p>
        </w:tc>
        <w:tc>
          <w:tcPr>
            <w:tcW w:type="dxa" w:w="230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via Policy an</w:t>
            </w:r>
          </w:p>
        </w:tc>
      </w:tr>
    </w:tbl>
    <w:p/>
    <w:p>
      <w:pPr>
        <w:spacing w:before="160" w:after="40"/>
      </w:pPr>
      <w:r>
        <w:rPr>
          <w:b/>
          <w:color w:val="C0392B"/>
          <w:sz w:val="18"/>
        </w:rPr>
        <w:t xml:space="preserve">[heikel]  </w:t>
      </w:r>
      <w:r>
        <w:rPr>
          <w:b/>
          <w:color w:val="0078D4"/>
          <w:sz w:val="22"/>
        </w:rPr>
        <w:t>F:  Was kostet die Plattform-Grundlast im Monat?</w:t>
      </w:r>
    </w:p>
    <w:p>
      <w:pPr>
        <w:pStyle w:val="ListBullet"/>
        <w:spacing w:after="40"/>
      </w:pPr>
      <w:r>
        <w:rPr>
          <w:color w:val="243A5E"/>
          <w:sz w:val="21"/>
        </w:rPr>
        <w:t>Im vollen Microsoft-Default grob ~€5.800/Monat (doppelte Firewalls/Bastion/Gateways + DDoS).</w:t>
      </w:r>
    </w:p>
    <w:p>
      <w:pPr>
        <w:pStyle w:val="ListBullet"/>
        <w:spacing w:after="40"/>
      </w:pPr>
      <w:r>
        <w:rPr>
          <w:color w:val="243A5E"/>
          <w:sz w:val="21"/>
        </w:rPr>
        <w:t>Kostenarm: network_type=none (nur MGs + volles Policy-Set + Logging) ≈ €0; oder einzelne deploy*-Schalter aus (z. B. nur VNets + Private DNS Zones ≈ €15/Monat). Ideal für eine risikofreie Startphase.</w:t>
      </w:r>
    </w:p>
    <w:p>
      <w:pPr>
        <w:spacing w:before="160" w:after="40"/>
      </w:pPr>
      <w:r>
        <w:rPr>
          <w:b/>
          <w:color w:val="0078D4"/>
          <w:sz w:val="22"/>
        </w:rPr>
        <w:t>F:  Was sind die größten Kostentreiber?</w:t>
      </w:r>
    </w:p>
    <w:p>
      <w:pPr>
        <w:pStyle w:val="ListBullet"/>
        <w:spacing w:after="40"/>
      </w:pPr>
      <w:r>
        <w:rPr>
          <w:color w:val="243A5E"/>
          <w:sz w:val="21"/>
        </w:rPr>
        <w:t>DDoS Network Protection (~€2.500), die doppelten Azure Firewalls (~€2.200) und die Gateways. Alles über deploy*-Schalter steuerbar – im Default sind sie aber AN, das muss man bewusst entscheiden.</w:t>
      </w:r>
    </w:p>
    <w:p>
      <w:pPr>
        <w:spacing w:before="160" w:after="40"/>
      </w:pPr>
      <w:r>
        <w:rPr>
          <w:b/>
          <w:color w:val="0078D4"/>
          <w:sz w:val="22"/>
        </w:rPr>
        <w:t>F:  Wie können wir Kosten optimieren?</w:t>
      </w:r>
    </w:p>
    <w:p>
      <w:pPr>
        <w:pStyle w:val="ListBullet"/>
        <w:spacing w:after="40"/>
      </w:pPr>
      <w:r>
        <w:rPr>
          <w:color w:val="243A5E"/>
          <w:sz w:val="21"/>
        </w:rPr>
        <w:t>Netzwerk-Dienste nur dort/in der Region aktivieren, wo gebraucht (deploy*-Schalter), DDoS bewusst abwägen, Firewall-SKU Standard statt Premium, Defender selektiv pro Plan, Log-Retention nach Compliance.</w:t>
      </w:r>
    </w:p>
    <w:p>
      <w:pPr>
        <w:pStyle w:val="ListBullet"/>
        <w:spacing w:after="40"/>
      </w:pPr>
      <w:r>
        <w:rPr>
          <w:color w:val="243A5E"/>
          <w:sz w:val="21"/>
        </w:rPr>
        <w:t>Für den Erst-Rollout network_type=none nutzen und Netzwerk später gezielt zuschalten.</w:t>
      </w:r>
    </w:p>
    <w:p>
      <w:pPr>
        <w:pStyle w:val="Heading1"/>
      </w:pPr>
      <w:r>
        <w:t>I. Workloads &amp; Migration</w:t>
      </w:r>
    </w:p>
    <w:p>
      <w:pPr>
        <w:spacing w:before="160" w:after="40"/>
      </w:pPr>
      <w:r>
        <w:rPr>
          <w:b/>
          <w:color w:val="0078D4"/>
          <w:sz w:val="22"/>
        </w:rPr>
        <w:t>F:  Wie kommt unsere erste Workload in die Landing Zone?</w:t>
      </w:r>
    </w:p>
    <w:p>
      <w:pPr>
        <w:pStyle w:val="ListBullet"/>
        <w:spacing w:after="40"/>
      </w:pPr>
      <w:r>
        <w:rPr>
          <w:color w:val="243A5E"/>
          <w:sz w:val="21"/>
        </w:rPr>
        <w:t>Subscription in die passende MG einhängen (corp/online/local), Spoke-VNet ausrollen (Route Table → Firewall, Hub-Peering, DNS-Links), dann Workload deployen. Policies greifen automatisch.</w:t>
      </w:r>
    </w:p>
    <w:p>
      <w:pPr>
        <w:spacing w:before="160" w:after="40"/>
      </w:pPr>
      <w:r>
        <w:rPr>
          <w:b/>
          <w:color w:val="0078D4"/>
          <w:sz w:val="22"/>
        </w:rPr>
        <w:t>F:  Wie platziert der Accelerator Subscriptions?</w:t>
      </w:r>
    </w:p>
    <w:p>
      <w:pPr>
        <w:pStyle w:val="ListBullet"/>
        <w:spacing w:after="40"/>
      </w:pPr>
      <w:r>
        <w:rPr>
          <w:color w:val="243A5E"/>
          <w:sz w:val="21"/>
        </w:rPr>
        <w:t>Über die Management-Group-Struktur und den Bootstrap: bestehende Subscriptions werden in die Ziel-MG eingehängt und erben sofort deren Policies und RBAC.</w:t>
      </w:r>
    </w:p>
    <w:p>
      <w:pPr>
        <w:pStyle w:val="ListBullet"/>
        <w:spacing w:after="40"/>
      </w:pPr>
      <w:r>
        <w:rPr>
          <w:color w:val="243A5E"/>
          <w:sz w:val="21"/>
        </w:rPr>
        <w:t>Ein eigenes Subscription-Vending-Template wird nicht mehr aktiv betrieben (liegt archiviert unter legacy-custom/).</w:t>
      </w:r>
    </w:p>
    <w:p>
      <w:pPr>
        <w:spacing w:before="160" w:after="40"/>
      </w:pPr>
      <w:r>
        <w:rPr>
          <w:b/>
          <w:color w:val="0078D4"/>
          <w:sz w:val="22"/>
        </w:rPr>
        <w:t>F:  Können wir bestehende Subscriptions einbinden?</w:t>
      </w:r>
    </w:p>
    <w:p>
      <w:pPr>
        <w:pStyle w:val="ListBullet"/>
        <w:spacing w:after="40"/>
      </w:pPr>
      <w:r>
        <w:rPr>
          <w:color w:val="243A5E"/>
          <w:sz w:val="21"/>
        </w:rPr>
        <w:t>Ja – sie werden in die Hierarchie verschoben und erben sofort Policies und RBAC der Ziel-MG. Keine Billing-Rechte nötig.</w:t>
      </w:r>
    </w:p>
    <w:p>
      <w:pPr>
        <w:spacing w:before="160" w:after="40"/>
      </w:pPr>
      <w:r>
        <w:rPr>
          <w:b/>
          <w:color w:val="0078D4"/>
          <w:sz w:val="22"/>
        </w:rPr>
        <w:t>F:  Wir haben aktuell nur eine Subscription – geht das?</w:t>
      </w:r>
    </w:p>
    <w:p>
      <w:pPr>
        <w:pStyle w:val="ListBullet"/>
        <w:spacing w:after="40"/>
      </w:pPr>
      <w:r>
        <w:rPr>
          <w:color w:val="243A5E"/>
          <w:sz w:val="21"/>
        </w:rPr>
        <w:t>Ja. Im Accelerator setzt man dann alle vier Platform-Subscription-IDs (management/identity/connectivity/security) auf dieselbe ID; die volle MG-Hierarchie und Policies werden trotzdem erstellt.</w:t>
      </w:r>
    </w:p>
    <w:p>
      <w:pPr>
        <w:pStyle w:val="ListBullet"/>
        <w:spacing w:after="40"/>
      </w:pPr>
      <w:r>
        <w:rPr>
          <w:color w:val="243A5E"/>
          <w:sz w:val="21"/>
        </w:rPr>
        <w:t>Die Trennung kann später erfolgen (Subscriptions in die jeweilige MG verschieben). Multi-Subscription ist das Produktiv-Ziel, kein Muss zum Start.</w:t>
      </w:r>
    </w:p>
    <w:p>
      <w:pPr>
        <w:pStyle w:val="Heading1"/>
      </w:pPr>
      <w:r>
        <w:t>J. Gegenfragen, die DU stellen solltest</w:t>
      </w:r>
    </w:p>
    <w:p>
      <w:pPr>
        <w:pStyle w:val="ListBullet"/>
        <w:spacing w:after="60"/>
      </w:pPr>
      <w:r>
        <w:rPr>
          <w:color w:val="243A5E"/>
          <w:sz w:val="21"/>
        </w:rPr>
        <w:t>Welche IP-Bereiche sind on-prem belegt? (Überlappungsfreiheit für Hubs/Spokes)</w:t>
      </w:r>
    </w:p>
    <w:p>
      <w:pPr>
        <w:pStyle w:val="ListBullet"/>
        <w:spacing w:after="60"/>
      </w:pPr>
      <w:r>
        <w:rPr>
          <w:color w:val="243A5E"/>
          <w:sz w:val="21"/>
        </w:rPr>
        <w:t>VPN oder ExpressRoute – Bandbreite, SLA, Provider, Redundanz?</w:t>
      </w:r>
    </w:p>
    <w:p>
      <w:pPr>
        <w:pStyle w:val="ListBullet"/>
        <w:spacing w:after="60"/>
      </w:pPr>
      <w:r>
        <w:rPr>
          <w:color w:val="243A5E"/>
          <w:sz w:val="21"/>
        </w:rPr>
        <w:t>Euer On-Prem-ASN und ist BGP gewünscht?</w:t>
      </w:r>
    </w:p>
    <w:p>
      <w:pPr>
        <w:pStyle w:val="ListBullet"/>
        <w:spacing w:after="60"/>
      </w:pPr>
      <w:r>
        <w:rPr>
          <w:color w:val="243A5E"/>
          <w:sz w:val="21"/>
        </w:rPr>
        <w:t>Wo liegen eure autoritativen DNS-Server und welche Domänen brauchen Forwarding?</w:t>
      </w:r>
    </w:p>
    <w:p>
      <w:pPr>
        <w:pStyle w:val="ListBullet"/>
        <w:spacing w:after="60"/>
      </w:pPr>
      <w:r>
        <w:rPr>
          <w:color w:val="243A5E"/>
          <w:sz w:val="21"/>
        </w:rPr>
        <w:t>Erwartet ihr L7-Inspection/TLS-Aufbruch an der Firewall? (Standard vs. Premium)</w:t>
      </w:r>
    </w:p>
    <w:p>
      <w:pPr>
        <w:pStyle w:val="ListBullet"/>
        <w:spacing w:after="60"/>
      </w:pPr>
      <w:r>
        <w:rPr>
          <w:color w:val="243A5E"/>
          <w:sz w:val="21"/>
        </w:rPr>
        <w:t>Habt ihr On-Prem-AD für hybride Identity?</w:t>
      </w:r>
    </w:p>
    <w:p>
      <w:pPr>
        <w:pStyle w:val="ListBullet"/>
        <w:spacing w:after="60"/>
      </w:pPr>
      <w:r>
        <w:rPr>
          <w:color w:val="243A5E"/>
          <w:sz w:val="21"/>
        </w:rPr>
        <w:t>Welche Entra-Gruppen (Object-IDs) sollen welche Rollen je MG bekommen?</w:t>
      </w:r>
    </w:p>
    <w:p>
      <w:pPr>
        <w:pStyle w:val="ListBullet"/>
        <w:spacing w:after="60"/>
      </w:pPr>
      <w:r>
        <w:rPr>
          <w:color w:val="243A5E"/>
          <w:sz w:val="21"/>
        </w:rPr>
        <w:t>Wollt ihr den vollen Netzwerk-Default (~€5.800/Mon.) oder kostenarm starten (network_type=none / Schalter aus)?</w:t>
      </w:r>
    </w:p>
    <w:p>
      <w:pPr>
        <w:pStyle w:val="ListBullet"/>
        <w:spacing w:after="60"/>
      </w:pPr>
      <w:r>
        <w:rPr>
          <w:color w:val="243A5E"/>
          <w:sz w:val="21"/>
        </w:rPr>
        <w:t>Compliance-Pflichten (ISO/BSI/CIS), für die DoNotEnforce-Guardrails scharfgeschaltet werden sollen?</w:t>
      </w:r>
    </w:p>
    <w:p>
      <w:pPr>
        <w:pStyle w:val="ListBullet"/>
        <w:spacing w:after="60"/>
      </w:pPr>
      <w:r>
        <w:rPr>
          <w:color w:val="243A5E"/>
          <w:sz w:val="21"/>
        </w:rPr>
        <w:t>GitHub-Org und PAT (repo/workflow/admin:org) für den Bootstrap vorhanden?</w:t>
      </w:r>
    </w:p>
    <w:p>
      <w:pPr>
        <w:pStyle w:val="ListBullet"/>
        <w:spacing w:after="60"/>
      </w:pPr>
      <w:r>
        <w:rPr>
          <w:color w:val="243A5E"/>
          <w:sz w:val="21"/>
        </w:rPr>
        <w:t>EA/MCA vorhanden und wer hat Billing-Rechte? (Subscription-Neuanlage)</w:t>
      </w:r>
    </w:p>
    <w:p>
      <w:pPr>
        <w:pStyle w:val="ListBullet"/>
        <w:spacing w:after="60"/>
      </w:pPr>
      <w:r>
        <w:rPr>
          <w:color w:val="243A5E"/>
          <w:sz w:val="21"/>
        </w:rPr>
        <w:t>Wer darf Elevated Access am Tenant Root aktivieren? (MG-Erstellung)</w:t>
      </w:r>
    </w:p>
    <w:p>
      <w:pPr>
        <w:pStyle w:val="Heading1"/>
      </w:pPr>
      <w:r>
        <w:t>K. Fünf Sätze, die du parat haben solltest</w:t>
      </w:r>
    </w:p>
    <w:p>
      <w:pPr>
        <w:spacing w:after="80"/>
      </w:pPr>
      <w:r>
        <w:rPr>
          <w:b/>
          <w:color w:val="2E7D32"/>
          <w:sz w:val="22"/>
        </w:rPr>
        <w:t>•  „Wir setzen das offizielle Microsoft-Accelerator-Modul ein – volles ALZ-Policy-Set, kein Eigenbau.“</w:t>
      </w:r>
    </w:p>
    <w:p>
      <w:pPr>
        <w:spacing w:after="80"/>
      </w:pPr>
      <w:r>
        <w:rPr>
          <w:b/>
          <w:color w:val="2E7D32"/>
          <w:sz w:val="22"/>
        </w:rPr>
        <w:t>•  „What-If zeigt jede Änderung vorab – ohne Kosten, ohne Risiko.“</w:t>
      </w:r>
    </w:p>
    <w:p>
      <w:pPr>
        <w:spacing w:after="80"/>
      </w:pPr>
      <w:r>
        <w:rPr>
          <w:b/>
          <w:color w:val="2E7D32"/>
          <w:sz w:val="22"/>
        </w:rPr>
        <w:t>•  „Der Default aktiviert alles in beiden Regionen (~€5.800/Mon.) – kostenarm starten wir mit network_type=none.“</w:t>
      </w:r>
    </w:p>
    <w:p>
      <w:pPr>
        <w:spacing w:after="80"/>
      </w:pPr>
      <w:r>
        <w:rPr>
          <w:b/>
          <w:color w:val="2E7D32"/>
          <w:sz w:val="22"/>
        </w:rPr>
        <w:t>•  „Peering ist nicht transitiv – Spoke-zu-Spoke läuft kontrolliert über die Firewall.“</w:t>
      </w:r>
    </w:p>
    <w:p>
      <w:pPr>
        <w:spacing w:after="80"/>
      </w:pPr>
      <w:r>
        <w:rPr>
          <w:b/>
          <w:color w:val="243A5E"/>
          <w:sz w:val="22"/>
        </w:rPr>
        <w:t>•  „Das lösen wir sauber im Netzwerk-Detail-Design.“ (bei tiefen Routing-/DNS-Fragen)</w:t>
      </w:r>
    </w:p>
    <w:p>
      <w:pPr>
        <w:spacing w:after="80"/>
      </w:pPr>
      <w:r>
        <w:rPr>
          <w:b/>
          <w:color w:val="243A5E"/>
          <w:sz w:val="22"/>
        </w:rPr>
        <w:t>•  „Das ist Roadmap, nicht live.“ (bei dedizierten Identity-Ressourcen, Sentinel-Connectors, WAF)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05E5C"/>
        <w:sz w:val="16"/>
      </w:rPr>
      <w:t>Azure Landing Zone – Q&amp;A-Vorbereitung · intern · vertraulich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43A5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78D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