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klein"/>
      </w:pPr>
      <w:r>
        <w:t>Bechtle GmbH &amp; Co. KG · Gottlieb-Daimler-Straße 2 · 68165 Mannheim</w:t>
      </w:r>
    </w:p>
    <w:p/>
    <w:p/>
    <w:p/>
    <w:p>
      <w:pPr>
        <w:pStyle w:val="Title"/>
      </w:pPr>
      <w:r>
        <w:t>Azure Landing Zone – Konzept und Umsetzungsfahrplan</w:t>
      </w:r>
    </w:p>
    <w:p>
      <w:pPr>
        <w:pStyle w:val="Subtitle"/>
      </w:pPr>
      <w:r>
        <w:t>Zielbild, Governance, Netzwerk, Sicherheit, Betrieb und Roadmap auf Basis des Microsoft ALZ Bicep Accelerator</w:t>
      </w:r>
    </w:p>
    <w:p/>
    <w:p/>
    <w:p>
      <w:pPr>
        <w:pStyle w:val="Standardklein"/>
      </w:pPr>
      <w:r>
        <w:t>Leistungsgrenze: Dieses Konzept umfasst den Aufbau der Azure Landing Zone (Grundgerüst, Governance, Netzwerk, Sicherheit, Betrieb) sowie eine initiale Pilotierung. Produktive Vollmigration, Anwendungs-Onboarding und laufender Betrieb sind eigenständige Folgeprojekte und nicht Bestandteil dieses Dokuments.</w:t>
      </w:r>
    </w:p>
    <w:p/>
    <w:p>
      <w:pPr>
        <w:pStyle w:val="Heading1"/>
      </w:pPr>
      <w:r>
        <w:t>Management Summary</w:t>
      </w:r>
    </w:p>
    <w:p>
      <w:pPr>
        <w:spacing w:after="120"/>
      </w:pPr>
      <w:r>
        <w:t>Eine Azure Landing Zone ist die standardisierte, governance-konforme Grundstruktur für den Betrieb von Anwendungen und Workloads in Microsoft Azure – von Anfang an sicher, regelkonform und skalierbar. Sie definiert Management-Gruppen, Zugriffsrechte, Richtlinien, Netzwerk-Konnektivität und Monitoring als einheitliches Fundament, auf dem beliebige Fachapplikationen aufsetzen können.</w:t>
      </w:r>
    </w:p>
    <w:p>
      <w:pPr>
        <w:spacing w:after="120"/>
      </w:pPr>
      <w:r>
        <w:t>Bechtle setzt auf den offiziellen Microsoft ALZ Bicep Accelerator – kein Eigenbau, sondern das von Microsoft entwickelte und gepflegte Referenz-Framework. Das gewährleistet Wartbarkeit, Herstellersupport und einfache Übernahme künftiger Updates. Der gesamte Aufbau erfolgt als Infrastructure as Code (Bicep, Azure Verified Modules) und wird über generierte CI/CD-Pipelines mit passwortloser Anmeldung (OIDC) reproduzierbar betrieben.</w:t>
      </w:r>
    </w:p>
    <w:p>
      <w:pPr>
        <w:spacing w:after="120"/>
      </w:pPr>
      <w:r>
        <w:t>Die vier Kernnutzen im Überblick:</w:t>
      </w:r>
    </w:p>
    <w:p>
      <w:pPr>
        <w:pStyle w:val="BechtleAufzhlung"/>
      </w:pPr>
      <w:r>
        <w:rPr>
          <w:b/>
        </w:rPr>
        <w:t xml:space="preserve">Governance und Policies: </w:t>
      </w:r>
      <w:r>
        <w:t>149 Policy-Definitionen, 42 Initiativen und 123 konkrete Richtlinien-Zuweisungen sorgen für automatisierte Leitplanken (Guardrails) auf allen Verwaltungsebenen – von Sicherheitsanforderungen bis zur Ressourcen-Klassifizierung.</w:t>
      </w:r>
    </w:p>
    <w:p>
      <w:pPr>
        <w:pStyle w:val="BechtleAufzhlung"/>
      </w:pPr>
      <w:r>
        <w:rPr>
          <w:b/>
        </w:rPr>
        <w:t xml:space="preserve">Netzwerk-Hub: </w:t>
      </w:r>
      <w:r>
        <w:t>Ein zentrales Hub-and-Spoke-Netzwerk (Azure Firewall, Bastion, Private DNS, optionale VPN/ExpressRoute-Anbindung) stellt sichere Konnektivität für alle Workloads bereit.</w:t>
      </w:r>
    </w:p>
    <w:p>
      <w:pPr>
        <w:pStyle w:val="BechtleAufzhlung"/>
      </w:pPr>
      <w:r>
        <w:rPr>
          <w:b/>
        </w:rPr>
        <w:t xml:space="preserve">Sicherheit und Defender: </w:t>
      </w:r>
      <w:r>
        <w:t>Microsoft Defender for Cloud wird automatisch über Policy-Zuweisungen aktiviert und liefert eine durchgehende Sicherheitsbaseline für Subscriptions, VMs, Datenbanken und Containerworkloads.</w:t>
      </w:r>
    </w:p>
    <w:p>
      <w:pPr>
        <w:pStyle w:val="BechtleAufzhlung"/>
      </w:pPr>
      <w:r>
        <w:rPr>
          <w:b/>
        </w:rPr>
        <w:t xml:space="preserve">Automatisierung und IaC: </w:t>
      </w:r>
      <w:r>
        <w:t>18 geordnete Deployment-Stufen, vollständig als Code versioniert und über What-If-Previews abgesichert, gewährleisten reproduzierbare, nachvollziehbare und rückrollbare Änderungen.</w:t>
      </w:r>
    </w:p>
    <w:p>
      <w:pPr>
        <w:spacing w:after="120"/>
      </w:pPr>
      <w:r>
        <w:t>Kostensteuerung: Im Microsoft-Standard entstehen ca. € 5.800/Monat (primär durch doppelte Firewalls, DDoS Protection und Gateways in zwei Regionen). Bechtle empfiehlt für den Einstieg einen kostenarmen Pilot-Pfad: Netzwerk-Typ »none« deployt zunächst nur Management-Gruppen, Policies und Logging (≈ € 0), bevor Netzwerkdienste schrittweise nach Bedarf aktiviert werden.</w:t>
      </w:r>
    </w:p>
    <w:p>
      <w:pPr>
        <w:spacing w:after="120"/>
      </w:pPr>
      <w:r>
        <w:t>Empfohlener Einstieg: Pilot mit einer Subscription, network_type: none, Policies im DoNotEnforce-Modus (audit-only). Kein Kostenrisiko – volles Governance-Fundament vom ersten Tag an.</w:t>
      </w:r>
    </w:p>
    <w:p>
      <w:r>
        <w:br w:type="page"/>
      </w:r>
    </w:p>
    <w:p>
      <w:pPr>
        <w:pStyle w:val="Heading1"/>
      </w:pPr>
      <w:r>
        <w:t>1. Ausgangslage und Zielsetzung</w:t>
      </w:r>
    </w:p>
    <w:p>
      <w:pPr>
        <w:pStyle w:val="Heading2"/>
      </w:pPr>
      <w:r>
        <w:t>1.1 Ausgangslage</w:t>
      </w:r>
    </w:p>
    <w:p>
      <w:pPr>
        <w:spacing w:after="120"/>
      </w:pPr>
      <w:r>
        <w:t>Der Kunde steht am Beginn seiner Azure-Reise: eine bestehende Subscription, noch kein etabliertes Cloud-Governance-Modell und kein vorheriger Kickoff. Es gibt keine strukturierten Leitplanken für Sicherheit, Zugriffsrechte oder Netzwerk-Konnektivität. Ressourcen werden ad hoc und ohne einheitlichen Rahmen erstellt.</w:t>
      </w:r>
    </w:p>
    <w:p>
      <w:pPr>
        <w:spacing w:after="120"/>
      </w:pPr>
      <w:r>
        <w:t>Diese Ausgangssituation bietet die Chance, von Anfang an auf einer soliden, industrieerprobten Grundlage aufzubauen – statt technische Schulden durch nachträgliche Governance-Nachrüstung zu akkumulieren.</w:t>
      </w:r>
    </w:p>
    <w:p>
      <w:pPr>
        <w:pStyle w:val="Heading2"/>
      </w:pPr>
      <w:r>
        <w:t>1.2 Zielbild</w:t>
      </w:r>
    </w:p>
    <w:p>
      <w:pPr>
        <w:spacing w:after="120"/>
      </w:pPr>
      <w:r>
        <w:t>Das Zielbild ist eine standardisierte, mandantenweite Azure-Grundstruktur als stabiles Fundament für alle künftigen Workloads:</w:t>
      </w:r>
    </w:p>
    <w:p>
      <w:pPr>
        <w:pStyle w:val="BechtleAufzhlung"/>
      </w:pPr>
      <w:r>
        <w:t>Management-Group-Hierarchie (12 MGs) als strukturierter Verwaltungsrahmen für alle Subscriptions</w:t>
      </w:r>
    </w:p>
    <w:p>
      <w:pPr>
        <w:pStyle w:val="BechtleAufzhlung"/>
      </w:pPr>
      <w:r>
        <w:t>Vollständiges ALZ-Policy-Set für automatische Governance-Durchsetzung ohne manuelle Eingriffe je Workload</w:t>
      </w:r>
    </w:p>
    <w:p>
      <w:pPr>
        <w:pStyle w:val="BechtleAufzhlung"/>
      </w:pPr>
      <w:r>
        <w:t>Zentrales Logging und Monitoring als einheitlicher Sicherheits- und Betriebs-Backbone</w:t>
      </w:r>
    </w:p>
    <w:p>
      <w:pPr>
        <w:pStyle w:val="BechtleAufzhlung"/>
      </w:pPr>
      <w:r>
        <w:t>Hub-and-Spoke-Netzwerk für sichere, private Konnektivität zwischen Workloads und On-Premises</w:t>
      </w:r>
    </w:p>
    <w:p>
      <w:pPr>
        <w:pStyle w:val="BechtleAufzhlung"/>
      </w:pPr>
      <w:r>
        <w:t>Reproduzierbares Infrastructure-as-Code-Modell für nachvollziehbare, audit-fähige Änderungen</w:t>
      </w:r>
    </w:p>
    <w:p>
      <w:pPr>
        <w:pStyle w:val="Heading2"/>
      </w:pPr>
      <w:r>
        <w:t>1.3 Abgrenzung</w:t>
      </w:r>
    </w:p>
    <w:p>
      <w:pPr>
        <w:spacing w:after="120"/>
      </w:pPr>
      <w:r>
        <w:t>Die Azure Landing Zone ist das Fundament – nicht die Anwendung. Migration bestehender Workloads, Anwendungsentwicklung und laufender Applikationsbetrieb sind eigenständige Folgeprojekte. Der Scope dieses Konzepts endet mit der betriebsbereiten Landing Zone.</w:t>
      </w:r>
    </w:p>
    <w:p>
      <w:pPr>
        <w:pStyle w:val="Heading2"/>
      </w:pPr>
      <w:r>
        <w:t>1.4 Erfolgskriterien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0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Erfolgskriterium</w:t>
            </w:r>
          </w:p>
        </w:tc>
        <w:tc>
          <w:tcPr>
            <w:tcW w:type="dxa" w:w="604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Messgröße / Nachweis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Management-Group-Hierarchie steht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12 MGs im Azure Portal sichtbar, Tenant Root → alz → Unterebenen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Policies greifen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123 Assignments aktiv; Azure Policy Compliance-Report zeigt Ergebnisse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Zentrales Logging aktiv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Log Analytics Workspace vorhanden; Activity Logs aller Subscriptions fließen ein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Netzwerk-Hub bereit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Hub-VNet und Firewall-Policy vorhanden; Spoke kann gepeert werden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IaC reproduzierbar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Pipeline deployt ohne Fehler; What-If zeigt »keine Änderungen« nach Apply</w:t>
            </w:r>
          </w:p>
        </w:tc>
      </w:tr>
    </w:tbl>
    <w:p/>
    <w:p>
      <w:pPr>
        <w:pStyle w:val="Heading1"/>
      </w:pPr>
      <w:r>
        <w:t>2. Methodik und Vorgehen</w:t>
      </w:r>
    </w:p>
    <w:p>
      <w:pPr>
        <w:pStyle w:val="Heading2"/>
      </w:pPr>
      <w:r>
        <w:t>2.1 Microsoft ALZ Bicep Accelerator</w:t>
      </w:r>
    </w:p>
    <w:p>
      <w:pPr>
        <w:spacing w:after="120"/>
      </w:pPr>
      <w:r>
        <w:t>Grundlage ist der offizielle Microsoft ALZ Bicep Accelerator. Dieser Ansatz statt eines Eigenbaus bietet folgende Vorteile:</w:t>
      </w:r>
    </w:p>
    <w:p>
      <w:pPr>
        <w:pStyle w:val="BechtleAufzhlung"/>
      </w:pPr>
      <w:r>
        <w:rPr>
          <w:b/>
        </w:rPr>
        <w:t xml:space="preserve">Standard: </w:t>
      </w:r>
      <w:r>
        <w:t>Microsoft-Standard: dieselbe Basis, die Microsoft für Azure Landing Zones empfiehlt und für tausende Enterprise-Kunden einsetzt</w:t>
      </w:r>
    </w:p>
    <w:p>
      <w:pPr>
        <w:pStyle w:val="BechtleAufzhlung"/>
      </w:pPr>
      <w:r>
        <w:rPr>
          <w:b/>
        </w:rPr>
        <w:t xml:space="preserve">Wartbarkeit: </w:t>
      </w:r>
      <w:r>
        <w:t>Wartbarkeit: Updates werden vom Microsoft-Team gepflegt; neue ALZ-Versionen durch einfache Modulaktualisierung übernehmbar</w:t>
      </w:r>
    </w:p>
    <w:p>
      <w:pPr>
        <w:pStyle w:val="BechtleAufzhlung"/>
      </w:pPr>
      <w:r>
        <w:rPr>
          <w:b/>
        </w:rPr>
        <w:t xml:space="preserve">Policy-Set: </w:t>
      </w:r>
      <w:r>
        <w:t>Vollständiges Policy-Set: 149 Definitionen, 42 Initiativen, 123 Assignments – automatisch aus der öffentlichen Microsoft Container Registry (MCR) bezogen</w:t>
      </w:r>
    </w:p>
    <w:p>
      <w:pPr>
        <w:pStyle w:val="BechtleAufzhlung"/>
      </w:pPr>
      <w:r>
        <w:rPr>
          <w:b/>
        </w:rPr>
        <w:t xml:space="preserve">AVM: </w:t>
      </w:r>
      <w:r>
        <w:t>Azure Verified Modules (AVM): alle IaC-Bausteine sind geprüfte, Microsoft-zertifizierte Bicep-Module (22 Module im Einsatz)</w:t>
      </w:r>
    </w:p>
    <w:p>
      <w:pPr>
        <w:pStyle w:val="Heading2"/>
      </w:pPr>
      <w:r>
        <w:t>2.2 Infrastructure as Code und Pipelines</w:t>
      </w:r>
    </w:p>
    <w:p>
      <w:pPr>
        <w:pStyle w:val="BechtleAufzhlung"/>
      </w:pPr>
      <w:r>
        <w:t>Deklarativ: Templates beschreiben den Zielzustand – Azure stellt sicher, dass er erreicht wird</w:t>
      </w:r>
    </w:p>
    <w:p>
      <w:pPr>
        <w:pStyle w:val="BechtleAufzhlung"/>
      </w:pPr>
      <w:r>
        <w:t>Versioniert: jede Änderung nachvollziehbar, rückrollbar und audit-fähig (Git-History)</w:t>
      </w:r>
    </w:p>
    <w:p>
      <w:pPr>
        <w:pStyle w:val="BechtleAufzhlung"/>
      </w:pPr>
      <w:r>
        <w:t>Passwortlos: OIDC Federated Identity – keine Passwörter oder Zertifikate in Pipelines</w:t>
      </w:r>
    </w:p>
    <w:p>
      <w:pPr>
        <w:pStyle w:val="BechtleAufzhlung"/>
      </w:pPr>
      <w:r>
        <w:t>What-If vor Apply: Pipeline zeigt geplante Änderungen zur Freigabe, bevor etwas ausgeführt wird</w:t>
      </w:r>
    </w:p>
    <w:p>
      <w:pPr>
        <w:pStyle w:val="BechtleAufzhlung"/>
      </w:pPr>
      <w:r>
        <w:t>Approval-Gate: explizite Freigabe erforderlich, bevor die Pipeline Änderungen am Tenant vornimmt</w:t>
      </w:r>
    </w:p>
    <w:p>
      <w:pPr>
        <w:pStyle w:val="Heading2"/>
      </w:pPr>
      <w:r>
        <w:t>2.3 18 geordnete Deployment-Stufen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4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Stufe</w:t>
            </w:r>
          </w:p>
        </w:tc>
        <w:tc>
          <w:tcPr>
            <w:tcW w:type="dxa" w:w="86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604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Intermediate Root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alz-Root-MG + volles ALZ-Policy-Set (149 Defs / 42 Initiativen / 17 Assignments)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Landing Zones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landingzones-MG + 53 Assignments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LZ Corp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landingzones-corp + 5 Assignments (Deny Public Endpoints/IP, Hybrid Networking, Private DNS)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LZ Online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landingzones-online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LZ Local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landingzones-local + 1 Assignment (ALDO Services)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Platform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platform-MG + 40 Assignments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Platform Connectivity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platform-connectivity + 1 Assignment (DDoS-VNET)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Platform Identity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platform-identity + 4 Assignments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Platform Management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platform-management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Platform Security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platform-security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Sandbox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sandbox + Enforce-ALZ-Sandbox Guardrails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Governance – Decommissioned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decommissioned + Enforce-ALZ-Decomm Guardrails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RBAC – Platform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Rollen-Zuweisung auf platform-MG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RBAC – Platform Connectivity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Rollen-Zuweisung auf connectivity-MG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RBAC – Landing Zones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Rollen-Zuweisung auf landingzones-MG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Core Logging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Log Analytics Workspace, 3 DCRs, Managed Identity (avm/ptn/alz/ama:0.2.0)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Hub Networking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Hub-VNets, Firewall, Bastion, Gateways, DNS (aktiv bei hubNetworking)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Virtual WAN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vWAN, vHub, Firewall (aktiv bei vwanConnectivity; Stufe 17 und 18 exklusiv)</w:t>
            </w:r>
          </w:p>
        </w:tc>
      </w:tr>
    </w:tbl>
    <w:p/>
    <w:p>
      <w:pPr>
        <w:pStyle w:val="Heading2"/>
      </w:pPr>
      <w:r>
        <w:t>2.4 Qualitätssicherung</w:t>
      </w:r>
    </w:p>
    <w:p>
      <w:pPr>
        <w:spacing w:after="120"/>
      </w:pPr>
      <w:r>
        <w:t>Alle 20 Bicep-Templates werden offline gegen die MCR gebaut und validiert – ohne Azure-Login. Die statische Validierung (bicep build) läuft in der CI-Pipeline. Status: 20/20 Templates grün, 0 Errors, 0 Warnings (Bicep 0.44.1).</w:t>
      </w:r>
    </w:p>
    <w:p>
      <w:r>
        <w:br w:type="page"/>
      </w:r>
    </w:p>
    <w:p>
      <w:pPr>
        <w:pStyle w:val="Heading1"/>
      </w:pPr>
      <w:r>
        <w:t>3. Zielarchitektur</w:t>
      </w:r>
    </w:p>
    <w:p>
      <w:pPr>
        <w:spacing w:after="120"/>
      </w:pPr>
      <w:r>
        <w:t>Die nachfolgende Abbildung zeigt die vollständige Azure Landing Zone-Zielarchitektur auf Basis des Hub-and-Spoke-Modells: Management-Group-Hierarchie, Subscriptions, Netzwerktopologie, Identität, Sicherheit und DevOps-Pipeline im Überblick.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04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z-hub-spok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andardklein"/>
        <w:jc w:val="center"/>
      </w:pPr>
      <w:r>
        <w:t>Abb. 1: Azure Landing Zone – Hub-and-Spoke-Zielarchitektur (Quelle: Microsoft Cloud Adoption Framework, learn.microsoft.com)</w:t>
      </w:r>
    </w:p>
    <w:p/>
    <w:p>
      <w:pPr>
        <w:pStyle w:val="Heading2"/>
      </w:pPr>
      <w:r>
        <w:t>3.1 Management-Group-Hierarchie</w:t>
      </w:r>
    </w:p>
    <w:p>
      <w:pPr>
        <w:spacing w:after="120"/>
      </w:pPr>
      <w:r>
        <w:t>Die Management-Group-Hierarchie strukturiert alle Azure-Subscriptions des Kunden nach Zweck und Sicherheitsanforderungen. Policies, RBAC-Zuweisungen und Budgets werden auf MG-Ebene definiert und an alle untergeordneten Subscriptions vererbt.</w:t>
      </w:r>
    </w:p>
    <w:p>
      <w:pPr/>
      <w:r>
        <w:rPr>
          <w:rFonts w:ascii="Courier New" w:hAnsi="Courier New"/>
          <w:sz w:val="18"/>
        </w:rPr>
        <w:t>Tenant Root</w:t>
        <w:br/>
        <w:t>└─ alz  (Intermediate Root)</w:t>
        <w:br/>
        <w:t xml:space="preserve">   ├─ alz-platform</w:t>
        <w:br/>
        <w:t xml:space="preserve">   │   ├─ alz-platform-connectivity   → Hub-Netzwerk, Firewall, DNS</w:t>
        <w:br/>
        <w:t xml:space="preserve">   │   ├─ alz-platform-identity       → Identity-Dienste</w:t>
        <w:br/>
        <w:t xml:space="preserve">   │   ├─ alz-platform-management     → Logging, Monitoring</w:t>
        <w:br/>
        <w:t xml:space="preserve">   │   └─ alz-platform-security       → Security-Tooling</w:t>
        <w:br/>
        <w:t xml:space="preserve">   ├─ alz-landingzones</w:t>
        <w:br/>
        <w:t xml:space="preserve">   │   ├─ alz-landingzones-corp       → intern, keine Public Endpoints</w:t>
        <w:br/>
        <w:t xml:space="preserve">   │   ├─ alz-landingzones-online     → internetseitige Workloads</w:t>
        <w:br/>
        <w:t xml:space="preserve">   │   └─ alz-landingzones-local      → souverän / vertraulich</w:t>
        <w:br/>
        <w:t xml:space="preserve">   ├─ alz-sandbox                     → Experimente (gelockerte Policies)</w:t>
        <w:br/>
        <w:t xml:space="preserve">   └─ alz-decommissioned              → Stilllegung (gesperrt)</w:t>
      </w:r>
    </w:p>
    <w:p/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3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Management Group</w:t>
            </w:r>
          </w:p>
        </w:tc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417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Zweck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 (Intermediate Root)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Tenant Root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Einstieg für alle ALZ-Policies; alle anderen MGs erben von hier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Container für alle Plattform-Dienste-Subscriptions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alz-platform-connectivity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alz-platform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Hub-Netzwerk, Firewall, DNS, Gateway-Subscriptions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alz-platform-identity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alz-platform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Identity-Dienste (AD DS, Entra Connect – Roadmap)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alz-platform-management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alz-platform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Logging (Log Analytics), Monitoring, Operations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alz-platform-security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alz-platform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Security-Tooling, Defender-Konfiguration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Container für alle Workload-Subscriptions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alz-landingzones-corp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alz-landingzones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Interne Workloads ohne Public Endpoints; strengste Policies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alz-landingzones-online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alz-landingzones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Internetseitige Workloads (z. B. Public APIs, Websites)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alz-landingzones-local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alz-landingzones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Souveräne / vertrauliche Workloads (Azure Local)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alz-sandbox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Experimentier-Bereich mit gelockerten Policies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alz-decommissioned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alz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Stilllegungszone; Ressourcen-Erstellung gesperrt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53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z-mg-hierarch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3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andardklein"/>
        <w:jc w:val="center"/>
      </w:pPr>
      <w:r>
        <w:t>Abb. 2: Management-Group-Hierarchie mit Policy-Vererbung (Quelle: Microsoft Cloud Adoption Framework)</w:t>
      </w:r>
    </w:p>
    <w:p/>
    <w:p>
      <w:pPr>
        <w:pStyle w:val="Heading2"/>
      </w:pPr>
      <w:r>
        <w:t>3.2 Subscription-Strategie</w:t>
      </w:r>
    </w:p>
    <w:p>
      <w:pPr>
        <w:spacing w:after="120"/>
      </w:pPr>
      <w:r>
        <w:t>Der Einstieg erfolgt mit einer einzelnen Subscription (Single-Subscription-Setup). Alle vier Plattform-Rollen (Management, Connectivity, Identity, Security) werden auf dieselbe Subscription abgebildet. Die Trennung in vier dedizierte Platform-Subscriptions kann jederzeit nachgeholt werden – die MG-Hierarchie und alle Policies bleiben dabei unverändert.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01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0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Subscription-Modell</w:t>
            </w:r>
          </w:p>
        </w:tc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Anforderung</w:t>
            </w:r>
          </w:p>
        </w:tc>
        <w:tc>
          <w:tcPr>
            <w:tcW w:type="dxa" w:w="172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Empfehlung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Pilot / Start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 Subscription – alle Plattformrollen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EA / MCA / Pay-as-you-go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Sofort starten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Produktionsbetrieb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 dedizierte Platform-Subscriptions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EA / MCA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Nach Pilot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Workload-Skalierung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Je Workload eigene Sub in Corp/Online/Local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EA / MCA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Bei Bedarf</w:t>
            </w:r>
          </w:p>
        </w:tc>
      </w:tr>
    </w:tbl>
    <w:p/>
    <w:p>
      <w:pPr>
        <w:pStyle w:val="Standardklein"/>
      </w:pPr>
      <w:r>
        <w:t>Hinweis: Kein Free-Tier-Account. Alle benötigten Resource Provider werden durch den Accelerator automatisch registriert.</w:t>
      </w:r>
    </w:p>
    <w:p>
      <w:pPr>
        <w:pStyle w:val="Heading2"/>
      </w:pPr>
      <w:r>
        <w:t>3.3 Namens- und Regionskonzept</w:t>
      </w:r>
    </w:p>
    <w:p>
      <w:pPr>
        <w:spacing w:after="120"/>
      </w:pPr>
      <w:r>
        <w:t>Primärregion: Germany West Central (germanywestcentral). Sekundärregion: North Europe (northeurope). Die Namensvergabe folgt dem Microsoft-Standard ohne Präfix oder Postfix.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2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Konvention / Bereich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Management Groups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alz, alz-platform, alz-platform-{connectivity,identity,management,security}, alz-landingzones, 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Resource Groups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rg-alz-&lt;zweck&gt;-&lt;region&gt;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law-alz-&lt;region&gt;, mi-alz-&lt;region&gt;, dcr-*-alz-&lt;region&gt;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Netzwerk-Ressourcen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vnet-alz-hub-&lt;region&gt;, afw-alz-&lt;region&gt;, bas-alz-&lt;region&gt;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Hub-VNet Primär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10.0.0.0/22 (Germany West Central)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Hub-VNet Sekundär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10.1.0.0/22 (North Europe)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Spoke-Netz (Beispiel)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10.2.0.0/24 (überlappungsfrei zu Hubs und On-Premises)</w:t>
            </w:r>
          </w:p>
        </w:tc>
      </w:tr>
    </w:tbl>
    <w:p/>
    <w:p>
      <w:r>
        <w:br w:type="page"/>
      </w:r>
    </w:p>
    <w:p>
      <w:pPr>
        <w:pStyle w:val="Heading1"/>
      </w:pPr>
      <w:r>
        <w:t>4. Governance und Policies</w:t>
      </w:r>
    </w:p>
    <w:p>
      <w:pPr>
        <w:spacing w:after="120"/>
      </w:pPr>
      <w:r>
        <w:t>Das Herzstück der Azure Landing Zone ist das vollständige ALZ-Policy-Set, bezogen über avm/ptn/alz/empty:0.3.6. Statt eines schlanken Eigenbau-Sets wird das vollständige, von Microsoft gepflegte Policy-Framework ausgerollt.</w:t>
      </w:r>
    </w:p>
    <w:p>
      <w:pPr>
        <w:pStyle w:val="Standardklein"/>
      </w:pPr>
      <w:r>
        <w:rPr>
          <w:b/>
        </w:rPr>
        <w:t>▶ Vollständige Referenz: Alle 12 Management Groups, 149 Policy-Definitionen, 42 Initiativen, 123 Assignments, 5 RBAC-Rollen und 20 Bicep-Module sind konkret und namentlich dokumentiert in: Azure-Landing-Zone-ALZ-Referenz.docx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45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115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Anzahl</w:t>
            </w:r>
          </w:p>
        </w:tc>
        <w:tc>
          <w:tcPr>
            <w:tcW w:type="dxa" w:w="547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Policy-Definitionen (Custom)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Monitoring (55), Network (20), Storage (16), SQL (13), Guardrails je Dienst …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Policy-Set-Definitionen (Initiativen)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Deploy-MDFC-Config, Deploy-Private-DNS-Zones, Enforce-Guardrails-* je Dienst, Enforce-ACSB …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Policy-Assignments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Direkt zugewiesen auf 9 MG-Ebenen; Kind-MGs erben zusätzlich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Custom RBAC-Rollen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Subscription-Owner, Security-Operations, Network-Management, Application-Owners, Network-Subnet-Contributor</w:t>
            </w:r>
          </w:p>
        </w:tc>
      </w:tr>
    </w:tbl>
    <w:p/>
    <w:p>
      <w:pPr>
        <w:pStyle w:val="Heading2"/>
      </w:pPr>
      <w:r>
        <w:t>4.1 Assignment-Verteilung je Management-Group-Ebene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3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Management Group</w:t>
            </w:r>
          </w:p>
        </w:tc>
        <w:tc>
          <w:tcPr>
            <w:tcW w:type="dxa" w:w="129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Assignments</w:t>
            </w:r>
          </w:p>
        </w:tc>
        <w:tc>
          <w:tcPr>
            <w:tcW w:type="dxa" w:w="547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Repräsentative Beispiele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 (Intermediate Root)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Deploy-MDFC-Config-H224, Deploy-MDEndpoints, Deploy-AzActivity-Log, Enforce-ACSB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Deny-Storage-http, Deny-MgmtPorts-Internet, Deploy-VM-Monitoring, Enforce-Guardrails-*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alz-landingzones-corp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Deny-Public-Endpoints, Deny-Public-IP-On-NIC, Deny-HybridNetworking, Deploy-Private-DNS-Zones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alz-landingzones-online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(erbt von landingzones)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alz-landingzones-local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Enforce-ALDO-Services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Deploy-VM-Monitoring, Enforce-Backup, Enforce-Guardrails-*, DenyAction-DeleteUAMIAMA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alz-platform-connectivity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Enable-DDoS-VNET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alz-platform-identity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Deny-MgmtPorts-Internet, Deny-Public-IP, Deny-Subnet-Without-Nsg, Deploy-VM-Backup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alz-platform-management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(erbt von platform)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alz-platform-security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(erbt von platform)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alz-sandbox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Enforce-ALZ-Sandbox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alz-decommissioned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Enforce-ALZ-Decomm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Summe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4.2 DoNotEnforce-Modus für sanftes Onboarding</w:t>
      </w:r>
    </w:p>
    <w:p>
      <w:pPr>
        <w:spacing w:after="120"/>
      </w:pPr>
      <w:r>
        <w:t>Viele Assignments – insbesondere die Enforce-Guardrails-*-Initiativen – sind im Auslieferungszustand auf DoNotEnforce gesetzt. Policies werden ausgewertet und im Compliance-Dashboard sichtbar, aber keine Ressource wird blockiert. Das ermöglicht ein sanftes, nicht-unterbrechendes Onboarding:</w:t>
      </w:r>
    </w:p>
    <w:p>
      <w:pPr>
        <w:pStyle w:val="BechtleAufzhlung"/>
      </w:pPr>
      <w:r>
        <w:t>Phase 1 – Audit-first: DoNotEnforce für alle Initiativen; Compliance-Dashboard zeigt Handlungsbedarf ohne Produktionsunterbrechung</w:t>
      </w:r>
    </w:p>
    <w:p>
      <w:pPr>
        <w:pStyle w:val="BechtleAufzhlung"/>
      </w:pPr>
      <w:r>
        <w:t>Phase 2 – Selektives Enforcing: Initiativen je Workload-Typ und Compliance-Anforderung auf »Enabled« schalten</w:t>
      </w:r>
    </w:p>
    <w:p>
      <w:pPr>
        <w:pStyle w:val="BechtleAufzhlung"/>
      </w:pPr>
      <w:r>
        <w:t>Phase 3 – Vollständiges Enforcement: alle relevanten Guardrails aktiv nach erfolgreicher Remediation</w:t>
      </w:r>
    </w:p>
    <w:p>
      <w:pPr>
        <w:pStyle w:val="Heading2"/>
      </w:pPr>
      <w:r>
        <w:t>4.3 Was die Policies konkret bewirken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Policy-Typ</w:t>
            </w:r>
          </w:p>
        </w:tc>
        <w:tc>
          <w:tcPr>
            <w:tcW w:type="dxa" w:w="345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Beispiele</w:t>
            </w:r>
          </w:p>
        </w:tc>
        <w:tc>
          <w:tcPr>
            <w:tcW w:type="dxa" w:w="40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Wirkung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Verschlüsselung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Deny-Storage-http, Enforce-TLS-SSL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Erzwingt HTTPS/TLS für alle Storage-Accounts und Services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Netzwerk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Deny-Subnet-Without-Nsg, Deny-MgmtPorts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Jedes Subnetz braucht NSG; kein RDP/SSH aus Internet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Diagnose / Monitoring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Deploy-AzActivity-Log, Deploy-Diag-LogsCat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Activity Logs und Diagnose automatisch in Log Analytics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Defender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Deploy-MDFC-Config-H224, Deploy-MDEndpoints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Defender for Cloud automatisch per DeployIfNotExists aktiviert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Deploy-VM-Backup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VMs ohne Backup-Tag automatisch in Recovery Vault gesichert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Corp – Public Endpoints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Deny-Public-Endpoints, Deny-Public-IP-On-NIC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Keine öffentlichen IPs oder PaaS-Endpunkte in corp-Zone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SQL &amp; Datenbanken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Deploy-SQL-Tde, Deny-Sql-MinTLS, Deploy-MDFC-SqlAtp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Transparent Data Encryption, TLS 1.2+, Defender for SQL aktiv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Storage – vollständig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Deny-Storage-SharedKey, Deny-Storage-PublicAccess,</w:t>
              <w:br/>
              <w:t>Deny-Storage-SFTP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Shared Key deaktiviert, kein öffentlicher Blob-Zugriff, SFTP gesperrt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Governance &amp; Tagging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Audit-Tags-Mandatory-Rg, Deny-Classic-Resources,</w:t>
              <w:br/>
              <w:t>Enforce-ACSB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Pflicht-Tags auf Resource Groups, keine klassischen Ressourcen, Sicherheitsbaseline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RBAC-Schutz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DenyAction-DeleteUAMIAMA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Schützt die Managed Identity der Monitoring-Agenten vor versehentlicher Löschung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Guardrails je Dienst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Enforce-Guardrails-KeyVault, -AKS,</w:t>
              <w:br/>
              <w:t>-AppServices, -OpenAI (28 Initiativen)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Dienstspezifische Sicherheitsleitplanken für alle gängigen Azure-Dienste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Update Management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Deploy-AUMConfigure-VMLinuxAzure,</w:t>
              <w:br/>
              <w:t>Deploy-AUMConfigure-VMWinAzure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Automatisches Patch-Management für alle Linux- und Windows-VMs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Private DNS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Deploy-Private-DNS-Zones (59 Policies)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Private Endpunkte werden automatisch in Private DNS Zones registriert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Sandbox &amp; Decommissioned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Enforce-ALZ-Sandbox, Enforce-ALZ-Decomm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Sandbox: nur erlaubte Dienste; Decomm: blockiert alle neuen Ressourcen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Sovereign / Local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Enforce-ALDO-Services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Auf alz-landingzones-local: ausschließlich in GWC erlaubte Azure-Dienste</w:t>
            </w:r>
          </w:p>
        </w:tc>
      </w:tr>
    </w:tbl>
    <w:p/>
    <w:p>
      <w:pPr>
        <w:pStyle w:val="Standardklein"/>
      </w:pPr>
      <w:r>
        <w:t>Hinweis: Die Assignments Deploy-MDFC-Config-H224 und Deploy-MDEndpoints auf alz-Root-Ebene aktivieren Microsoft Defender for Cloud auf Standard-Tier – das verursacht laufende Kosten je Resource. Tiering ist über die Konfiguration steuerbar.</w:t>
      </w:r>
    </w:p>
    <w:p>
      <w:r>
        <w:br w:type="page"/>
      </w:r>
    </w:p>
    <w:p>
      <w:pPr>
        <w:pStyle w:val="Heading1"/>
      </w:pPr>
      <w:r>
        <w:t>5. Netzwerk-Architektur</w:t>
      </w:r>
    </w:p>
    <w:p>
      <w:pPr>
        <w:pStyle w:val="Heading2"/>
      </w:pPr>
      <w:r>
        <w:t>5.1 Hub-and-Spoke-Topologie</w:t>
      </w:r>
    </w:p>
    <w:p>
      <w:pPr>
        <w:spacing w:after="120"/>
      </w:pPr>
      <w:r>
        <w:t>Die Netzwerk-Architektur folgt dem Hub-and-Spoke-Muster: Ein zentrales Hub-Netzwerk stellt Shared Services (Firewall, Bastion, DNS, Gateways) für alle angeschlossenen Workload-Netzwerke (Spokes) bereit. Der gesamte ausgehende und eingehende Datenverkehr der Spokes läuft über die Azure Firewall im Hub.</w:t>
      </w:r>
    </w:p>
    <w:p>
      <w:pPr>
        <w:spacing w:after="120"/>
      </w:pPr>
      <w:r>
        <w:t>Es wird ein Hub-VNet in der Primärregion Germany West Central deployed. Spokes werden über VNet-Peering an den Hub angebunden und nutzen gemeinsam Firewall, Bastion und DNS. Ein zweiter Hub in einer Sekundärregion ist für spätere Geo-Redundanz vorgesehen, aber nicht Teil des initialen Deployments.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04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z-hub-spok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andardklein"/>
        <w:jc w:val="center"/>
      </w:pPr>
      <w:r>
        <w:t>Abb. 3: Hub-and-Spoke-Netzwerktopologie – Connectivity Subscription mit Firewall, Bastion, VPN/ExpressRoute und DNS Private Resolver als zentrale Shared Services (Quelle: Microsoft Cloud Adoption Framework)</w:t>
      </w:r>
    </w:p>
    <w:p/>
    <w:p>
      <w:pPr>
        <w:pStyle w:val="Heading2"/>
      </w:pPr>
      <w:r>
        <w:t>5.2 Subnetze und Dienste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345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Subnetz</w:t>
            </w:r>
          </w:p>
        </w:tc>
        <w:tc>
          <w:tcPr>
            <w:tcW w:type="dxa" w:w="216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Hub 1 Primär (GWC)</w:t>
            </w:r>
          </w:p>
        </w:tc>
        <w:tc>
          <w:tcPr>
            <w:tcW w:type="dxa" w:w="216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Hub 2 Sekundär (NE)</w:t>
            </w:r>
          </w:p>
        </w:tc>
        <w:tc>
          <w:tcPr>
            <w:tcW w:type="dxa" w:w="23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Zweck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AzureFirewallSubnet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10.0.0.0/26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10.1.0.0/26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Azure Firewall (Pflichtsubnetz)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AzureFirewallManagementSubnet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10.0.0.192/26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10.1.0.192/26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Firewall Management Traffic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AzureBastionSubnet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10.0.0.64/26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10.1.0.64/26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Azure Bastion (sicheres RDP/SSH)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GatewaySubnet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10.0.0.128/27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10.1.0.128/27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VPN-/ExpressRoute-Gateways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DNSPrivateResolverInboundSubnet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10.0.0.160/28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10.1.0.160/28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DNS Private Resolver Inbound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DNSPrivateResolverOutboundSubnet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10.0.0.176/28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10.1.0.176/28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DNS Private Resolver Outbound</w:t>
            </w:r>
          </w:p>
        </w:tc>
      </w:tr>
    </w:tbl>
    <w:p/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Dienst</w:t>
            </w:r>
          </w:p>
        </w:tc>
        <w:tc>
          <w:tcPr>
            <w:tcW w:type="dxa" w:w="129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01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Kosten/Monat (ca.)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Schalter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Azure Firewall Premium (je Hub)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 (beide)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~€1.100/Hub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deployAzureFirewall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Azure Bastion (Standard)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 (beide)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~€120/Hub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deployBastion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VPN Gateway (VpnGw1AZ, BGP, ASN 65515)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 (beide)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~€140/Hub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deployVpnGateway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ExpressRoute Gateway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 (beide)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~€280/Hub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deployExpressRouteGateway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DDoS Network Protection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 (Hub 1)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~€2.500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deployDdosProtectionPlan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Private DNS Zones (alle Azure-Zonen)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 (beide)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~€15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deployPrivateDnsZones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DNS Private Resolver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 (beide)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~€25/Hub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deployDnsPrivateResolver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Gesamt Default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~€5.800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network_type: none → €0</w:t>
            </w:r>
          </w:p>
        </w:tc>
      </w:tr>
    </w:tbl>
    <w:p/>
    <w:p>
      <w:pPr>
        <w:pStyle w:val="Standardklein"/>
      </w:pPr>
      <w:r>
        <w:t>Alle Dienste sind im Microsoft-Standard aktiviert. Für kostenarme Rollouts: network_type: none (nur MGs + Policies + Logging, ≈ €0) oder individuelle Schalter in der Bicep-Parameter-Datei auf false setzen.</w:t>
      </w:r>
    </w:p>
    <w:p>
      <w:pPr>
        <w:pStyle w:val="Heading2"/>
      </w:pPr>
      <w:r>
        <w:t>5.3 DNS-Konzept</w:t>
      </w:r>
    </w:p>
    <w:p>
      <w:pPr>
        <w:spacing w:after="120"/>
      </w:pPr>
      <w:r>
        <w:t>Das DNS-Konzept basiert auf Azure Private DNS Zones für alle PaaS-Dienste (Private Endpoints) und dem DNS Private Resolver für hybride Namensauflösung.</w:t>
      </w:r>
    </w:p>
    <w:p>
      <w:pPr>
        <w:pStyle w:val="BechtleAufzhlung"/>
      </w:pPr>
      <w:r>
        <w:t>Private DNS Zones: zentral im Hub-VNet, VNet-Links in Spoke-Netzwerke</w:t>
      </w:r>
    </w:p>
    <w:p>
      <w:pPr>
        <w:pStyle w:val="BechtleAufzhlung"/>
      </w:pPr>
      <w:r>
        <w:t>DNS Private Resolver: Inbound für On-Premises → Azure; Outbound für Weiterleitung zu On-Premises</w:t>
      </w:r>
    </w:p>
    <w:p>
      <w:pPr>
        <w:pStyle w:val="BechtleAufzhlung"/>
      </w:pPr>
      <w:r>
        <w:t>Policy-Enforcement: Initiative Deploy-Private-DNS-Zones (59 Policies) stellt sicher, dass PaaS-Dienste mit Private Endpoints automatisch korrekt in DNS eingetragen werden</w:t>
      </w:r>
    </w:p>
    <w:p>
      <w:pPr>
        <w:pStyle w:val="Heading2"/>
      </w:pPr>
      <w:r>
        <w:t>5.4 Alternative: Virtual WAN</w:t>
      </w:r>
    </w:p>
    <w:p>
      <w:pPr>
        <w:spacing w:after="120"/>
      </w:pPr>
      <w:r>
        <w:t>Als Alternative kann Virtual WAN (vwanConnectivity) gewählt werden. Geeignet für Szenarien mit vielen Standorten oder bestehenden WAN-Strukturen.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Aspekt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Hub-and-Spoke</w:t>
            </w:r>
          </w:p>
        </w:tc>
        <w:tc>
          <w:tcPr>
            <w:tcW w:type="dxa" w:w="432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Virtual WAN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Komplexität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Mittel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Höher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Kosten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Flexibel (je Dienst steuerbar)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Höher (vHub-Gebühren)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Eignung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Standardfall, 1–3 Standorte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Viele Standorte, globales Routing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Implementierungsstatus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Umgesetzt (default)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Vorbereitet / inaktive Alternative</w:t>
            </w:r>
          </w:p>
        </w:tc>
      </w:tr>
    </w:tbl>
    <w:p/>
    <w:p>
      <w:pPr>
        <w:pStyle w:val="BechtleAufzhlung"/>
      </w:pPr>
      <w:r>
        <w:t>Zu prüfen: Anzahl der Standorte, bestehende WAN-Infrastruktur, Routing-Anforderungen</w:t>
      </w:r>
    </w:p>
    <w:p>
      <w:pPr>
        <w:pStyle w:val="BechtleAufzhlung"/>
      </w:pPr>
      <w:r>
        <w:t>Mögliche Folgestufe: Migration zu Virtual WAN bei Bedarf (Template liegt vor)</w:t>
      </w:r>
    </w:p>
    <w:p>
      <w:pPr>
        <w:pStyle w:val="BechtleAufzhlung"/>
      </w:pPr>
      <w:r>
        <w:t>Abgrenzung: ExpressRoute/VPN-Konfiguration und IP-Adresskonzept On-Premises sind nicht Teil der Landing Zone</w:t>
      </w:r>
    </w:p>
    <w:p>
      <w:pPr>
        <w:pStyle w:val="Heading2"/>
      </w:pPr>
      <w:r>
        <w:t>5.5 Bechtle-Empfehlung: ~€1.050/Monat-Konfiguration</w:t>
      </w:r>
    </w:p>
    <w:p>
      <w:pPr>
        <w:spacing w:after="120"/>
      </w:pPr>
      <w:r>
        <w:t>Durch drei gezielte Anpassungen reduziert sich der monatliche Basispreis von ~€5.800 auf ~€1.050 – ohne den Funktionsumfang der Landing Zone einzuschränken. Alle Governance-Objekte (MGs, Policies, RBAC), das Logging-Framework und die vollständige Hub-and-Spoke-Topologie mit zentraler Firewall bleiben erhalten.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Anpassung</w:t>
            </w:r>
          </w:p>
        </w:tc>
        <w:tc>
          <w:tcPr>
            <w:tcW w:type="dxa" w:w="273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Microsoft-Default</w:t>
            </w:r>
          </w:p>
        </w:tc>
        <w:tc>
          <w:tcPr>
            <w:tcW w:type="dxa" w:w="302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Bechtle-Empfehlung</w:t>
            </w:r>
          </w:p>
        </w:tc>
        <w:tc>
          <w:tcPr>
            <w:tcW w:type="dxa" w:w="144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Ersparnis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Firewall SKU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Premium × 2 Regionen (~€2.200)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Standard × 1 Region (~€700)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~€1.500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DDoS Network Protection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AN (~€2.500/Monat)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AUS – bei internet-facing Workloads aktivieren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~€2.500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ExpressRoute Gateway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AN × 2 Regionen (~€560)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AUS – bei ER-Leitung aktivieren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~€560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VPN Gateway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AN × 2 Regionen (~€280)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AN × 1 Region (~€140)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Bastion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AN × 2 Regionen (~€240)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AN × 1 Region (~€120)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DNS Private Resolver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AN × 2 Regionen (~€50)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AN × 1 Region (~€25)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Netzwerk gesamt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~€5.800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~€1.050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~€4.750</w:t>
            </w:r>
          </w:p>
        </w:tc>
      </w:tr>
    </w:tbl>
    <w:p/>
    <w:p>
      <w:pPr>
        <w:spacing w:after="120"/>
      </w:pPr>
      <w:r>
        <w:t>Was bleibt vollständig erhalten:</w:t>
      </w:r>
    </w:p>
    <w:p>
      <w:pPr>
        <w:pStyle w:val="BechtleAufzhlung"/>
      </w:pPr>
      <w:r>
        <w:t>Alle 149 Policy-Definitionen, 42 Initiativen, 123 Assignments – voller Governance-Umfang</w:t>
      </w:r>
    </w:p>
    <w:p>
      <w:pPr>
        <w:pStyle w:val="BechtleAufzhlung"/>
      </w:pPr>
      <w:r>
        <w:t>Hub-and-Spoke-Topologie mit zentraler Azure Firewall (Datenverkehr-Inspektion, FQDN-Filterung, Threat Intelligence)</w:t>
      </w:r>
    </w:p>
    <w:p>
      <w:pPr>
        <w:pStyle w:val="BechtleAufzhlung"/>
      </w:pPr>
      <w:r>
        <w:t>Azure Bastion für sicheres RDP/SSH ohne öffentliche IPs</w:t>
      </w:r>
    </w:p>
    <w:p>
      <w:pPr>
        <w:pStyle w:val="BechtleAufzhlung"/>
      </w:pPr>
      <w:r>
        <w:t>VPN Gateway für On-Premises-Konnektivität (BGP, active-active, ASN 65515)</w:t>
      </w:r>
    </w:p>
    <w:p>
      <w:pPr>
        <w:pStyle w:val="BechtleAufzhlung"/>
      </w:pPr>
      <w:r>
        <w:t>Private DNS Zones + DNS Private Resolver für hybride Namensauflösung</w:t>
      </w:r>
    </w:p>
    <w:p>
      <w:pPr>
        <w:pStyle w:val="BechtleAufzhlung"/>
      </w:pPr>
      <w:r>
        <w:t>Zentrales Logging (Log Analytics, DCRs, DINE-Policies)</w:t>
      </w:r>
    </w:p>
    <w:p>
      <w:pPr>
        <w:pStyle w:val="BechtleAufzhlung"/>
      </w:pPr>
      <w:r>
        <w:t>Alle 5 Custom RBAC-Rollen und 18 Deploy-Stufen</w:t>
      </w:r>
    </w:p>
    <w:p>
      <w:pPr>
        <w:spacing w:after="120"/>
      </w:pPr>
      <w:r>
        <w:t>Was vorläufig zurückgestellt wird (nicht gestrichen):</w:t>
      </w:r>
    </w:p>
    <w:p>
      <w:pPr>
        <w:pStyle w:val="BechtleAufzhlung"/>
      </w:pPr>
      <w:r>
        <w:rPr>
          <w:b/>
        </w:rPr>
        <w:t xml:space="preserve">Zweite Region: </w:t>
      </w:r>
      <w:r>
        <w:t>Sekundäre Region (North Europe): Deployment auf Primärregion beschränkt; Ausbau auf zwei Regionen bei Bedarf jederzeit möglich</w:t>
      </w:r>
    </w:p>
    <w:p>
      <w:pPr>
        <w:pStyle w:val="BechtleAufzhlung"/>
      </w:pPr>
      <w:r>
        <w:rPr>
          <w:b/>
        </w:rPr>
        <w:t xml:space="preserve">Firewall Premium: </w:t>
      </w:r>
      <w:r>
        <w:t>Azure Firewall Premium: Standard → Premium-Upgrade ist unterbrechungsfrei möglich; Premium-Features (IDPS, TLS-Inspektion, URL-Filterung) bei konkretem Bedarf aktivieren</w:t>
      </w:r>
    </w:p>
    <w:p>
      <w:pPr>
        <w:pStyle w:val="BechtleAufzhlung"/>
      </w:pPr>
      <w:r>
        <w:rPr>
          <w:b/>
        </w:rPr>
        <w:t xml:space="preserve">DDoS Protection: </w:t>
      </w:r>
      <w:r>
        <w:t>DDoS Network Protection: erst sinnvoll bei internet-facing Workloads mit öffentlichen IPs; kann per einzelnem Schalter (deployDdosProtectionPlan: true) nachträglich aktiviert werden</w:t>
      </w:r>
    </w:p>
    <w:p>
      <w:pPr>
        <w:pStyle w:val="BechtleAufzhlung"/>
      </w:pPr>
      <w:r>
        <w:rPr>
          <w:b/>
        </w:rPr>
        <w:t xml:space="preserve">ExpressRoute: </w:t>
      </w:r>
      <w:r>
        <w:t>ExpressRoute Gateway: erst bei bestellter ER-Leitung relevant; VPN Gateway übernimmt in der Zwischenzeit die On-Prem-Anbindung</w:t>
      </w:r>
    </w:p>
    <w:p>
      <w:pPr>
        <w:spacing w:after="120"/>
      </w:pPr>
      <w:r>
        <w:t>Bicep-Parameter für die Bechtle-Empfehlung (in templates/networking/hubnetworking/main.bicepparam):</w:t>
      </w:r>
    </w:p>
    <w:p>
      <w:pPr/>
      <w:r>
        <w:rPr>
          <w:rFonts w:ascii="Courier New" w:hAnsi="Courier New"/>
          <w:sz w:val="16"/>
        </w:rPr>
        <w:t>azureFirewallSettings:        { deployAzureFirewall: true, azureFirewallTier: 'Standard' }</w:t>
        <w:br/>
        <w:t>bastionHostSettings:          { deployBastion: true }</w:t>
        <w:br/>
        <w:t>vpnGatewaySettings:           { deployVpnGateway: true }</w:t>
        <w:br/>
        <w:t>expressRouteGatewaySettings:  { deployExpressRouteGateway: false }  // bei Bedarf: true</w:t>
        <w:br/>
        <w:t>ddosProtectionPlanSettings:   { deployDdosProtectionPlan: false }   // bei Bedarf: true</w:t>
        <w:br/>
        <w:t>privateDnsSettings:           { deployPrivateDnsZones: true, deployDnsPrivateResolver: true }</w:t>
        <w:br/>
        <w:t>// Sekundär-Hub (northeurope): Deployment-Stufe 17 für zweite Region nicht ausführen</w:t>
      </w:r>
    </w:p>
    <w:p/>
    <w:p>
      <w:pPr>
        <w:pStyle w:val="Standardklein"/>
      </w:pPr>
      <w:r>
        <w:t>Hinweis: Der Wechsel von Firewall Standard auf Premium ist ein In-Place-Upgrade ohne Neukonfiguration der Firewall-Regeln. Der Wechsel von einer auf zwei Regionen erfordert einen weiteren Bootstrap-Lauf mit aktualisierter Regionskonfiguration.</w:t>
      </w:r>
    </w:p>
    <w:p>
      <w:r>
        <w:br w:type="page"/>
      </w:r>
    </w:p>
    <w:p>
      <w:pPr>
        <w:pStyle w:val="Heading1"/>
      </w:pPr>
      <w:r>
        <w:t>6. Sicherheit</w:t>
      </w:r>
    </w:p>
    <w:p>
      <w:pPr>
        <w:spacing w:after="120"/>
      </w:pPr>
      <w:r>
        <w:t>Die Sicherheitsarchitektur ist mehrschichtig: präventive Kontrollen (Netzwerksegmentierung, Policy-Enforcing), detective Controls (Logging, Monitoring, Defender for Cloud) und automatische Remediation.</w:t>
      </w:r>
    </w:p>
    <w:p>
      <w:pPr>
        <w:pStyle w:val="Heading2"/>
      </w:pPr>
      <w:r>
        <w:t>6.1 Microsoft Defender for Cloud</w:t>
      </w:r>
    </w:p>
    <w:p>
      <w:pPr>
        <w:spacing w:after="120"/>
      </w:pPr>
      <w:r>
        <w:t>Microsoft Defender for Cloud wird nicht manuell konfiguriert, sondern über Policy-Assignments auf alz-Root-Ebene automatisch aktiviert (DeployIfNotExists). Jede neue Subscription in der MG-Hierarchie erhält automatisch die Defender-Konfiguration.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45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40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Effekt</w:t>
            </w:r>
          </w:p>
        </w:tc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Deploy-MDFC-Config-H224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Aktiviert Defender for Cloud Konfiguration + Security Contacts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Basis kostenlos; Pläne je Ressource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Deploy-MDEndpoints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Defender for Endpoint Agent auf VMs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Im Server-Plan enthalten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Deploy-MDEndpointsAMA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Defender for Endpoint Integration mit MDE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Im Server-Plan enthalten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Deploy-MDFC-OssDb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Advanced Threat Protection für Open-Source-DBs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~€13/Server/Monat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Deploy-MDFC-SqlAtp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Defender für SQL Server und Managed Instances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~€13/Server/Monat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Deploy-ASC-Monitoring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Microsoft Cloud Security Benchmark v1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Kostenlos (Audit)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Deploy-MCSB2-Monitoring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Microsoft Cloud Security Benchmark v2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Kostenlos (Audit)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Enforce-ACSB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Azure Compute Security Baseline Compliance-Auditing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Kostenlos (Audit)</w:t>
            </w:r>
          </w:p>
        </w:tc>
      </w:tr>
    </w:tbl>
    <w:p/>
    <w:p>
      <w:pPr>
        <w:pStyle w:val="Heading2"/>
      </w:pPr>
      <w:r>
        <w:t>6.2 Zentrales Logging als Sicherheits-Backbone</w:t>
      </w:r>
    </w:p>
    <w:p>
      <w:pPr>
        <w:spacing w:after="120"/>
      </w:pPr>
      <w:r>
        <w:t>Der Log Analytics Workspace (law-alz-&lt;region&gt;, 365 Tage Retention) ist das zentrale Sicherheits-Repository. Policy-Assignments speisen automatisch ein:</w:t>
      </w:r>
    </w:p>
    <w:p>
      <w:pPr>
        <w:pStyle w:val="BechtleAufzhlung"/>
      </w:pPr>
      <w:r>
        <w:t>Activity Logs aller Subscriptions (Deploy-AzActivity-Log)</w:t>
      </w:r>
    </w:p>
    <w:p>
      <w:pPr>
        <w:pStyle w:val="BechtleAufzhlung"/>
      </w:pPr>
      <w:r>
        <w:t>Diagnose-Kategorien aller unterstützten Ressourcen (Deploy-Diag-LogsCat)</w:t>
      </w:r>
    </w:p>
    <w:p>
      <w:pPr>
        <w:pStyle w:val="BechtleAufzhlung"/>
      </w:pPr>
      <w:r>
        <w:t>VM Insights, Change Tracking und Defender-for-SQL-Daten (über Data Collection Rules)</w:t>
      </w:r>
    </w:p>
    <w:p>
      <w:pPr>
        <w:pStyle w:val="BechtleAufzhlung"/>
      </w:pPr>
      <w:r>
        <w:t>Service Health Alerts (Deploy-SvcHealth-BuiltIn)</w:t>
      </w:r>
    </w:p>
    <w:p>
      <w:pPr>
        <w:pStyle w:val="Heading2"/>
      </w:pPr>
      <w:r>
        <w:t>6.3 Optional: Microsoft Sentinel (Roadmap)</w:t>
      </w:r>
    </w:p>
    <w:p>
      <w:pPr>
        <w:pStyle w:val="BechtleAufzhlung"/>
      </w:pPr>
      <w:r>
        <w:t>Zu prüfen: SIEM-Anforderungen, Compliance-Verpflichtungen, Security-Operations-Kapazitäten</w:t>
      </w:r>
    </w:p>
    <w:p>
      <w:pPr>
        <w:pStyle w:val="BechtleAufzhlung"/>
      </w:pPr>
      <w:r>
        <w:t>Mögliche Folgestufe: Sentinel-Onboarding mit Data Connectors (Azure AD, Defender for Cloud, Office 365) und Analyseregeln</w:t>
      </w:r>
    </w:p>
    <w:p>
      <w:pPr>
        <w:pStyle w:val="BechtleAufzhlung"/>
      </w:pPr>
      <w:r>
        <w:t>Abgrenzung: Sentinel-Konfiguration, Playbooks und Incident-Handling sind nicht Teil der Landing Zone</w:t>
      </w:r>
    </w:p>
    <w:p>
      <w:r>
        <w:br w:type="page"/>
      </w:r>
    </w:p>
    <w:p>
      <w:pPr>
        <w:pStyle w:val="Heading1"/>
      </w:pPr>
      <w:r>
        <w:t>7. Monitoring und zentrales Logging</w:t>
      </w:r>
    </w:p>
    <w:p>
      <w:pPr>
        <w:spacing w:after="120"/>
      </w:pPr>
      <w:r>
        <w:t>Das zentrale Logging und Monitoring wird über das AVM-Pattern (avm/ptn/alz/ama:0.2.0) bereitgestellt. Alle benötigten Data Collection Rules werden automatisch erstellt und über Policy-Assignments mit Ressourcen verbunden.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Ressource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Name / Konvention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AVM-Modul</w:t>
            </w:r>
          </w:p>
        </w:tc>
        <w:tc>
          <w:tcPr>
            <w:tcW w:type="dxa" w:w="187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Resource Group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rg-alz-logging-&lt;region&gt;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avm/res/resources/resource-group:0.4.3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Kostenlos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law-alz-&lt;region&gt; (PerGB2018, 365 Tage)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avm/res/operational-insights/workspace:0.14.2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 GB/Mon. frei; dann ~€2/GB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User-Assigned Managed Identity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mi-alz-&lt;region&gt;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avm/ptn/alz/ama:0.2.0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Kostenlos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DCR – VM Insights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dcr-vmi-alz-&lt;region&gt;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avm/ptn/alz/ama:0.2.0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Im LAW enthalten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DCR – Change Tracking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dcr-ct-alz-&lt;region&gt;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avm/ptn/alz/ama:0.2.0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Im LAW enthalten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DCR – Defender SQL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dcr-mdfcsql-alz-&lt;region&gt;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avm/ptn/alz/ama:0.2.0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Im LAW enthalten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LAW Solution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ChangeTracking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(im Workspace)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Im LAW enthalten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Automation Account (optional)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aa-alz-&lt;region&gt; (Basic)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avm/res/automation/automation-account:0.17.1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Default aus; bei Bedarf</w:t>
            </w:r>
          </w:p>
        </w:tc>
      </w:tr>
    </w:tbl>
    <w:p/>
    <w:p>
      <w:pPr>
        <w:spacing w:after="120"/>
      </w:pPr>
      <w:r>
        <w:t>DINE-Policies (Deploy-VM-Monitoring, Deploy-VM-ChangeTrack u. a.) auf den landingzones- und platform-MG-Ebenen stellen sicher, dass jede neue VM oder Scale Set automatisch mit dem Log Analytics Workspace und den DCRs verbunden wird – ohne manuelle Konfiguration.</w:t>
      </w:r>
    </w:p>
    <w:p>
      <w:pPr>
        <w:pStyle w:val="Heading1"/>
      </w:pPr>
      <w:r>
        <w:t>8. Identity und RBAC</w:t>
      </w:r>
    </w:p>
    <w:p>
      <w:pPr>
        <w:pStyle w:val="Heading2"/>
      </w:pPr>
      <w:r>
        <w:t>8.1 Custom RBAC-Rollen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Rolle</w:t>
            </w:r>
          </w:p>
        </w:tc>
        <w:tc>
          <w:tcPr>
            <w:tcW w:type="dxa" w:w="432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Typische Zuweisung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Subscription-Owner (alz)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Delegierter Owner für Subscriptions – eingeschränkt, ohne volle Owner-Rechte (1 Action)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Plattform-Admins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Security-Operations (alz)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Horizontale Sicherheitssicht über alle Subscriptions (12 Actions)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Security-Team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Network-Management (alz)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Plattformweites Netzwerk-Management: VNets, UDRs, NSGs, NVAs (4 Actions)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Netzwerk-Team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Application-Owners (alz)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Contributor-Rechte auf Resource-Group-Ebene für Applikations-/Ops-Teams (1 Action)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Applikations-Teams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Network-Subnet-Contributor (alz)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Vollständiger Zugriff auf Subnetz-Management (8 Actions)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Netzwerk-Ops</w:t>
            </w:r>
          </w:p>
        </w:tc>
      </w:tr>
    </w:tbl>
    <w:p/>
    <w:p>
      <w:pPr>
        <w:pStyle w:val="Heading2"/>
      </w:pPr>
      <w:r>
        <w:t>8.2 RBAC-Zuweisungsmodell</w:t>
      </w:r>
    </w:p>
    <w:p>
      <w:pPr>
        <w:spacing w:after="120"/>
      </w:pPr>
      <w:r>
        <w:t>RBAC-Zuweisungen werden als Entra-ID-Gruppen-Object-IDs in den Bicep-Parameter-Dateien gepflegt und pro MG zugewiesen. Ein leeres Array ist ein No-Op – der Schritt läuft gefahrlos ohne Zuweisungen. Object-IDs werden nach dem Kickoff durch den Kunden befüllt.</w:t>
      </w:r>
    </w:p>
    <w:p>
      <w:pPr>
        <w:pStyle w:val="Heading2"/>
      </w:pPr>
      <w:r>
        <w:t>8.3 Identity-Domäne (Roadmap)</w:t>
      </w:r>
    </w:p>
    <w:p>
      <w:pPr>
        <w:pStyle w:val="BechtleAufzhlung"/>
      </w:pPr>
      <w:r>
        <w:t>Zu prüfen: Entra-ID-Struktur, PIM-Anforderungen, Conditional Access Policies, hybride Identitäten</w:t>
      </w:r>
    </w:p>
    <w:p>
      <w:pPr>
        <w:pStyle w:val="BechtleAufzhlung"/>
      </w:pPr>
      <w:r>
        <w:t>Mögliche Folgestufe: Identity-Baseline mit Entra ID Diagnostik, PIM-Konfiguration und Conditional Access</w:t>
      </w:r>
    </w:p>
    <w:p>
      <w:pPr>
        <w:pStyle w:val="BechtleAufzhlung"/>
      </w:pPr>
      <w:r>
        <w:t>Abgrenzung: Entra ID Tenant-Konfiguration, MFA-Rollout und Identity-Governance sind nicht Bestandteil der Landing Zone</w:t>
      </w:r>
    </w:p>
    <w:p>
      <w:r>
        <w:br w:type="page"/>
      </w:r>
    </w:p>
    <w:p>
      <w:pPr>
        <w:pStyle w:val="Heading1"/>
      </w:pPr>
      <w:r>
        <w:t>9. Automatisierung, CI/CD und Betrieb</w:t>
      </w:r>
    </w:p>
    <w:p>
      <w:pPr>
        <w:pStyle w:val="Heading2"/>
      </w:pPr>
      <w:r>
        <w:t>9.1 Bootstrap – Phase 0</w:t>
      </w:r>
    </w:p>
    <w:p>
      <w:pPr>
        <w:spacing w:after="120"/>
      </w:pPr>
      <w:r>
        <w:t>Bevor die eigentliche Landing Zone deployed wird, richtet der Accelerator in Phase 0 alle notwendigen Infrastrukturen für Pipelines und Identitäten ein. Der Bootstrap ist Terraform-basiert – auch wenn das IaC-Modell Bicep ist.</w:t>
      </w:r>
    </w:p>
    <w:p>
      <w:pPr>
        <w:spacing w:after="120"/>
      </w:pPr>
      <w:r>
        <w:t>Was der Bootstrap erstellt:</w:t>
      </w:r>
    </w:p>
    <w:p>
      <w:pPr>
        <w:pStyle w:val="BechtleAufzhlung"/>
      </w:pPr>
      <w:r>
        <w:t>Bootstrap-Resource-Group + Storage Account (Terraform State)</w:t>
      </w:r>
    </w:p>
    <w:p>
      <w:pPr>
        <w:pStyle w:val="BechtleAufzhlung"/>
      </w:pPr>
      <w:r>
        <w:t>Managed Identity mit Federated Credentials (OIDC) – keine Passwörter, keine Zertifikate</w:t>
      </w:r>
    </w:p>
    <w:p>
      <w:pPr>
        <w:pStyle w:val="BechtleAufzhlung"/>
      </w:pPr>
      <w:r>
        <w:t>GitHub-Repository mit dem gesamten Starter-Modul und allen Deployment-Templates</w:t>
      </w:r>
    </w:p>
    <w:p>
      <w:pPr>
        <w:pStyle w:val="BechtleAufzhlung"/>
      </w:pPr>
      <w:r>
        <w:t>GitHub Environments mit Approval-Gates (apply_approvers: Freigabe-E-Mail)</w:t>
      </w:r>
    </w:p>
    <w:p>
      <w:pPr>
        <w:pStyle w:val="BechtleAufzhlung"/>
      </w:pPr>
      <w:r>
        <w:t>Generierte Deployment-Pipelines (GitHub Actions Workflows) für alle 18 Stufen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Voraussetzung</w:t>
            </w:r>
          </w:p>
        </w:tc>
        <w:tc>
          <w:tcPr>
            <w:tcW w:type="dxa" w:w="748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PowerShell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≥ 7.4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Azure CLI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≥ 2.60, angemeldet via az login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ALZ PS-Modul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Install-Module ALZ -Scope CurrentUser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Azure-Berechtigungen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Owner auf den Subscriptions + erhöhter Zugriff am Tenant Root (MG-Erstellung)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GitHub PAT (Classic)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Scopes: repo, workflow, admin:org, delete_repo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Erhöhter Zugriff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Entra ID → Properties → Access management for Azure resources → Ein (einmalig; danach deaktivieren)</w:t>
            </w:r>
          </w:p>
        </w:tc>
      </w:tr>
    </w:tbl>
    <w:p/>
    <w:p>
      <w:pPr>
        <w:pStyle w:val="Heading2"/>
      </w:pPr>
      <w:r>
        <w:t>9.2 Pipeline-Workflow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7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460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Azure-Wirkung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1. Trigger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Push oder Pull Request löst Pipeline aus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Keine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2. Validation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bicep build aller Templates (statische Validierung)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Keine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3. What-If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Vorschau aller geplanten Änderungen je Deploy-Stufe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Keine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4. Approval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Freigabe durch apply_approvers in GitHub Environment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Keine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5. Apply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Sequentielle Ausführung der 18 Deploy-Stufen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Erzeugt/aktualisiert Azure-Ressourcen</w:t>
            </w:r>
          </w:p>
        </w:tc>
      </w:tr>
    </w:tbl>
    <w:p/>
    <w:p>
      <w:pPr>
        <w:pStyle w:val="Heading2"/>
      </w:pPr>
      <w:r>
        <w:t>9.3 GitOps-Betriebsmodell</w:t>
      </w:r>
    </w:p>
    <w:p>
      <w:pPr>
        <w:pStyle w:val="BechtleAufzhlung"/>
      </w:pPr>
      <w:r>
        <w:t>Nachvollziehbarkeit: jede Änderung mit Autor, Timestamp und Begründung im Git-Log</w:t>
      </w:r>
    </w:p>
    <w:p>
      <w:pPr>
        <w:pStyle w:val="BechtleAufzhlung"/>
      </w:pPr>
      <w:r>
        <w:t>Rückrollbarkeit: jede Änderung kann durch neuen Commit rückgängig gemacht werden</w:t>
      </w:r>
    </w:p>
    <w:p>
      <w:pPr>
        <w:pStyle w:val="BechtleAufzhlung"/>
      </w:pPr>
      <w:r>
        <w:t>Audit-Fähigkeit: Git-History + Azure Activity Log = vollständiges Änderungsprotokoll</w:t>
      </w:r>
    </w:p>
    <w:p>
      <w:pPr>
        <w:pStyle w:val="BechtleAufzhlung"/>
      </w:pPr>
      <w:r>
        <w:t>Kollaboration: mehrere Teammitglieder können parallel arbeiten, Code Reviews sind Standard</w:t>
      </w:r>
    </w:p>
    <w:p>
      <w:r>
        <w:br w:type="page"/>
      </w:r>
    </w:p>
    <w:p>
      <w:pPr>
        <w:pStyle w:val="Heading1"/>
      </w:pPr>
      <w:r>
        <w:t>10. Kosten und Kostensteuerung</w:t>
      </w:r>
    </w:p>
    <w:p>
      <w:pPr>
        <w:spacing w:after="120"/>
      </w:pPr>
      <w:r>
        <w:t>Die Kosten der Azure Landing Zone werden primär durch die Netzwerk-Dienste bestimmt. Governance-Objekte (MGs, Policies, RBAC), Logging und Identity-Ressourcen sind nahezu kostenlos. Bechtle empfiehlt eine zielgerichtete Konfiguration mit ~€1.050/Monat, die alle wesentlichen Funktionen enthält und durch nachträgliche Schalter auf den vollen Microsoft-Standard (~€5.800/Monat) erweiterbar ist.</w:t>
      </w:r>
    </w:p>
    <w:p>
      <w:pPr>
        <w:pStyle w:val="Heading2"/>
      </w:pPr>
      <w:r>
        <w:t>10.1 Kostenvergleich: Varianten im Überblick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302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Dienst / Komponente</w:t>
            </w:r>
          </w:p>
        </w:tc>
        <w:tc>
          <w:tcPr>
            <w:tcW w:type="dxa" w:w="23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Microsoft-Default</w:t>
            </w:r>
          </w:p>
        </w:tc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Bechtle-Empfehlung (~€1.050)</w:t>
            </w:r>
          </w:p>
        </w:tc>
        <w:tc>
          <w:tcPr>
            <w:tcW w:type="dxa" w:w="187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Pilot (€0)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Azure Firewall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2x Premium ~€2.200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1x Standard ~€700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DDoS Network Protection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~€2.500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ExpressRoute Gateway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2x ~€560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VPN Gateway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2x ~€280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1x ~€140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Azure Bastion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2x ~€240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1x ~€120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DNS Private Resolver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2x ~€50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1x ~€25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~€15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~€50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~€50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MGs / Policies / RBAC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Gesamt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~€5.800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~€1.050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ca. €50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Regionen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GWC + NE (beide)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GWC (Primär)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GWC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Netzwerk-Typ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hubNetworking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hubNetworking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10.2 Bechtle-Empfehlung: ~€1.050/Monat</w:t>
      </w:r>
    </w:p>
    <w:p>
      <w:pPr>
        <w:spacing w:after="120"/>
      </w:pPr>
      <w:r>
        <w:t>Die Bechtle-Konfiguration stellt alle produktionsrelevanten Netzwerk- und Sicherheitsdienste in der Primärregion (Germany West Central) bereit. Kein Funktionsverlust gegenüber dem Microsoft-Default – lediglich Dienste, die erst bei konkretem Bedarf relevant werden, sind initial deaktiviert.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74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Funktion</w:t>
            </w:r>
          </w:p>
        </w:tc>
        <w:tc>
          <w:tcPr>
            <w:tcW w:type="dxa" w:w="115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Aktivierbar durch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Management Groups (12 MGs)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Policy-Set (149 Defs / 123 Assignments)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Zentrales Logging (LAW + 3 DCRs)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Hub-and-Spoke-Topologie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Azure Firewall (Standard, 1 Region)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Azure Bastion (1 Region)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VPN Gateway (1 Region)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DNS Private Resolver (1 Region)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Firewall Premium (IDPS, TLS)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Zurückgestellt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azureFirewallTier: Premium (In-Place-Upgrade, kein Rebuild)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DDoS Network Protection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Zurückgestellt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deployDdosProtectionPlan: true (bei internet-facing Workloads)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ExpressRoute Gateway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Zurückgestellt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deployExpressRouteGateway: true (bei ER-Leitungsbestellung)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Sekundäre Region (optional)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Zurückgestellt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Zweiten Hub-Deployment-Lauf ausführen</w:t>
            </w:r>
          </w:p>
        </w:tc>
      </w:tr>
    </w:tbl>
    <w:p/>
    <w:p>
      <w:pPr>
        <w:pStyle w:val="Heading2"/>
      </w:pPr>
      <w:r>
        <w:t>10.3 Gestufter Ausbau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16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Stufe</w:t>
            </w:r>
          </w:p>
        </w:tc>
        <w:tc>
          <w:tcPr>
            <w:tcW w:type="dxa" w:w="33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Konfiguration</w:t>
            </w:r>
          </w:p>
        </w:tc>
        <w:tc>
          <w:tcPr>
            <w:tcW w:type="dxa" w:w="144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Kosten/Monat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Auslöser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 – Governance-Pilot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network_type: 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ca. €50 (nur LAW)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Sofort – MGs, Policies, Logging, kein Kostenrisiko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 – Bechtle-Empfehlung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Firewall Standard, 1 Region, kein DDoS/ER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~€1.050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Erste Workloads; On-Prem-Anbindung geplant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 – Geo-Redundanz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+ Sekundär-Hub (optional)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~€1.800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SLA-Anforderungen erfordern zweite Region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 – Firewall Premium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azureFirewallTier: Premium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~€2.400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IDPS / TLS-Inspektion / URL-Filterung benötigt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 – DDoS Protection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deployDdosProtectionPlan: 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~€4.900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Internet-facing Workloads mit DDoS-Risiko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 – Microsoft-Default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Alle Dienste, beide Regionen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~€5.800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Vollständiger Enterprise-Standard</w:t>
            </w:r>
          </w:p>
        </w:tc>
      </w:tr>
    </w:tbl>
    <w:p/>
    <w:p>
      <w:pPr>
        <w:pStyle w:val="Standardklein"/>
      </w:pPr>
      <w:r>
        <w:t>Alle Stufen sind additive Aenderungen an bestehenden Parameter-Dateien. Kein Rueckbau von bereits deployten Ressourcen erforderlich. Der Standard-zu-Premium-Upgrade der Azure Firewall erfolgt ohne Unterbrechung und ohne Neukonfiguration der Firewall-Regeln.</w:t>
      </w:r>
    </w:p>
    <w:p>
      <w:pPr>
        <w:pStyle w:val="Heading2"/>
      </w:pPr>
      <w:r>
        <w:t>10.4 Konfigurationsvergleich: Vor- und Nachteile</w:t>
      </w:r>
    </w:p>
    <w:p>
      <w:pPr>
        <w:spacing w:after="120"/>
      </w:pPr>
      <w:r>
        <w:t>Die folgende Tabelle bewertet jede Ausbaustufe anhand von Vorteilen, Nachteilen und typischen Einsatzszenarien – als Entscheidungshilfe für das initiale Sizing.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216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Konfiguration</w:t>
            </w:r>
          </w:p>
        </w:tc>
        <w:tc>
          <w:tcPr>
            <w:tcW w:type="dxa" w:w="115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Kosten/Mon.</w:t>
            </w:r>
          </w:p>
        </w:tc>
        <w:tc>
          <w:tcPr>
            <w:tcW w:type="dxa" w:w="33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Vorteile</w:t>
            </w:r>
          </w:p>
        </w:tc>
        <w:tc>
          <w:tcPr>
            <w:tcW w:type="dxa" w:w="33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Nachteile</w:t>
            </w:r>
          </w:p>
        </w:tc>
        <w:tc>
          <w:tcPr>
            <w:tcW w:type="dxa" w:w="244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Empfohlen für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Pilot</w:t>
              <w:br/>
              <w:t>(network_type:</w:t>
              <w:br/>
              <w:t>none)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~€50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+ Nullrisiko</w:t>
              <w:br/>
              <w:t>+ Vollständige Governance (MGs, Policies, Logging)</w:t>
              <w:br/>
              <w:t>+ Ideal für PoC und Compliance-Audit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– Keine Netzwerkkonnektivität</w:t>
              <w:br/>
              <w:t>– Workloads können nicht deployt werden</w:t>
              <w:br/>
              <w:t>– Kein Firewall-/Bastion-Schutz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Einstieg, PoC, Compliance-Audit ohne Netzwerkbedarf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Bechtle-Empfehlung</w:t>
              <w:br/>
              <w:t>(Standard, 1 Region)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~€1.050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+ Voller Funktionsumfang</w:t>
              <w:br/>
              <w:t>+ Firewall, Bastion, VPN, DNS aktiv</w:t>
              <w:br/>
              <w:t>+ 4× günstiger als Microsoft-Default</w:t>
              <w:br/>
              <w:t>+ In-Place-Upgrade auf Premium möglich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– Keine zweite Region (kein Geo-Failover)</w:t>
              <w:br/>
              <w:t>– Kein IDPS / TLS-Inspektion</w:t>
              <w:br/>
              <w:t>– Kein DDoS-Schutz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Standard-Produktionsumgebungen, erste Workloads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Geo-Redundanz</w:t>
              <w:br/>
              <w:t>(+ Hub North Europe)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~€1.800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+ Regionale Ausfallsicherheit</w:t>
              <w:br/>
              <w:t>+ Zwei unabhängige Netzwerkhubs</w:t>
              <w:br/>
              <w:t>+ Automatisches Routing-Failover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– Doppelte Netzwerkkosten</w:t>
              <w:br/>
              <w:t>– Erhöhte Betriebskomplexität</w:t>
              <w:br/>
              <w:t>– Kein IDPS / kein DDoS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SLA-kritische Produktionssysteme, Multi-Region-Anforderungen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Firewall Premium</w:t>
              <w:br/>
              <w:t>(+ IDPS / TLS)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~€2.400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+ IDPS (Intrusion Detection &amp; Prevention)</w:t>
              <w:br/>
              <w:t>+ TLS-Inspektion verschlüsselter Verbindungen</w:t>
              <w:br/>
              <w:t>+ URL-Filterung und erweiterte Bedrohungsabwehr</w:t>
              <w:br/>
              <w:t>+ In-Place-Upgrade ohne Rebuild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– +€1.350 ggü. Bechtle-Empfehlung</w:t>
              <w:br/>
              <w:t>– TLS-Inspektion erfordert Zertifikat-Rollout</w:t>
              <w:br/>
              <w:t>– Erhöhter Konfigurations-aufwand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Hohe Sicherheits-/Compliance-Anforderungen, regulierte Branchen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DDoS Protection</w:t>
              <w:br/>
              <w:t>(Network Plan)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~€4.900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+ Vollständiger DDoS-Schutz für alle öffentlichen IPs</w:t>
              <w:br/>
              <w:t>+ Automatische Traffic-Analyse und Mitigation</w:t>
              <w:br/>
              <w:t>+ SLA-Garantie bei DDoS-Ereignissen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– ~€2.500/Monat Fixkosten (Plan Fee) unabhängig von Angriffen</w:t>
              <w:br/>
              <w:t>– Nur relevant bei internet-facing Workloads</w:t>
              <w:br/>
              <w:t>– Kein Schutz für interne Kommunikation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Internet-facing Workloads mit realen DDoS-Risiken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Microsoft-Default</w:t>
              <w:br/>
              <w:t>(alle Dienste,</w:t>
              <w:br/>
              <w:t>2 Regionen)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~€5.800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+ Maximale Redundanz und Sicherheit</w:t>
              <w:br/>
              <w:t>+ Enterprise-Standard out-of-the-box</w:t>
              <w:br/>
              <w:t>+ Beide Regionen + Premium FW + DDoS</w:t>
              <w:br/>
              <w:t>+ Herstellerempfehlung für Enterprise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– Höchste Kosten aller Varianten</w:t>
              <w:br/>
              <w:t>– Viele Komponenten initial oft ungenutzt</w:t>
              <w:br/>
              <w:t>– Lange Deployment-Zeit für alle Stufen</w:t>
              <w:br/>
              <w:t>– Overkill für die meisten Startszenarien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Unternehmenskritische Systeme mit strengsten Compliance-Anforderungen</w:t>
            </w:r>
          </w:p>
        </w:tc>
      </w:tr>
    </w:tbl>
    <w:p/>
    <w:p>
      <w:pPr>
        <w:pStyle w:val="Heading2"/>
      </w:pPr>
      <w:r>
        <w:t>10.5 Bechtle-Varianten: Drei Einsparstufen im Vergleich</w:t>
      </w:r>
    </w:p>
    <w:p>
      <w:pPr>
        <w:spacing w:after="120"/>
      </w:pPr>
      <w:r>
        <w:t>Innerhalb der Bechtle-Empfehlung gibt es drei konkrete Einsparstufen. Option A ist die aktuelle Baseline. Option B ist vollständig ALZ-konform und spart ~€280/Monat durch Reservierung und Verzicht auf das VPN Gateway bis zur ersten on-premises-Anbindung. Option C erzielt den maximalen Einspareffekt, bricht aber mit dem Microsoft ALZ Enterprise-Anspruch (bewusster Kompromiss).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29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Kosten/Mon.</w:t>
            </w:r>
          </w:p>
        </w:tc>
        <w:tc>
          <w:tcPr>
            <w:tcW w:type="dxa" w:w="129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ALZ-konform</w:t>
            </w:r>
          </w:p>
        </w:tc>
        <w:tc>
          <w:tcPr>
            <w:tcW w:type="dxa" w:w="172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Differenz vs. A</w:t>
            </w:r>
          </w:p>
        </w:tc>
        <w:tc>
          <w:tcPr>
            <w:tcW w:type="dxa" w:w="547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Einschränkung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 – Bechtle-Standard</w:t>
              <w:br/>
              <w:t>(Baseline)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~€1.050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✔ 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– (Referenz)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Keine – voller Funktionsumfang, VPN sofort verfügbar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 – Bechtle-Optimiert</w:t>
              <w:br/>
              <w:t>(VPN zurückgestellt +</w:t>
              <w:br/>
              <w:t>1-J.-Reservation FW)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~€770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✔ Ja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−€280/Mon.</w:t>
              <w:br/>
              <w:t>(26 % günstiger)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VPN Gateway erst deployen wenn on-prem-Anbindung konkret geplant.</w:t>
              <w:br/>
              <w:t>1-Jahres-Bindung auf Firewall (Preisbindung, kein Architektur-Eingriff).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 – Bechtle-Budget</w:t>
              <w:br/>
              <w:t>(Firewall Basic,</w:t>
              <w:br/>
              <w:t>VPN zurückgestellt)</w:t>
              <w:br/>
              <w:t>⚠ ALZ-Bruch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~€500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✘ Nein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−€550/Mon.</w:t>
              <w:br/>
              <w:t>(52 % günstiger)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Firewall Basic: keine Application Rules (kein FQDN-Egress-Filtering),</w:t>
              <w:br/>
              <w:t>kein Threat Intelligence, kein Autoscaling.</w:t>
              <w:br/>
              <w:t>Microsoft klassifiziert Basic ausdrücklich als 'not for enterprise'.</w:t>
              <w:br/>
              <w:t>ALZ-Firewall-Policies mit App-Rules sind nicht kompatibel.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 – Microsoft-Default</w:t>
              <w:br/>
              <w:t>(alle Dienste,</w:t>
              <w:br/>
              <w:t>2 Regionen)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~€5.800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✔ Ja</w:t>
              <w:br/>
              <w:t>(vollständig)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+€4.750/Mon.</w:t>
              <w:br/>
              <w:t>(452 % teurer)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Maximaler Enterprise-Standard – alle Komponenten aktiv:</w:t>
              <w:br/>
              <w:t>Firewall Premium (2×), DDoS Plan, ExpressRoute GW (2×),</w:t>
              <w:br/>
              <w:t>VPN GW (2×), Bastion (2×), DNS Resolver (2×).</w:t>
              <w:br/>
              <w:t>Empfehlung von Microsoft für kritische Unternehmensumgebungen.</w:t>
            </w:r>
          </w:p>
        </w:tc>
      </w:tr>
    </w:tbl>
    <w:p/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23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Dienst</w:t>
            </w:r>
          </w:p>
        </w:tc>
        <w:tc>
          <w:tcPr>
            <w:tcW w:type="dxa" w:w="23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Option A (~€1.050)</w:t>
            </w:r>
          </w:p>
        </w:tc>
        <w:tc>
          <w:tcPr>
            <w:tcW w:type="dxa" w:w="23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Option B (~€770)</w:t>
            </w:r>
          </w:p>
        </w:tc>
        <w:tc>
          <w:tcPr>
            <w:tcW w:type="dxa" w:w="187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Option C (~€500)</w:t>
            </w:r>
          </w:p>
        </w:tc>
        <w:tc>
          <w:tcPr>
            <w:tcW w:type="dxa" w:w="216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Option D (~€5.800)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Azure Firewall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Standard 1×  ~€700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Standard 1× reserved  ~€560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Basic 1×  ~€300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Premium 2×  ~€2.200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 ~€2.500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ExpressRoute GW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2×  ~€560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VPN Gateway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1× aktiv  ~€140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Zurückgest.  €0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Zurückgest.  €0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2×  ~€280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Azure Bastion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1×  ~€120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1×  ~€120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1×  ~€120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2×  ~€240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DNS Private Resolver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1×  ~€25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1×  ~€25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1×  ~€25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2×  ~€50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~€15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~€15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~€15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Log Analytics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~€50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~€50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~€50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Regionen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GWC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GWC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GWC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GWC + NE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Gesamt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~€1.050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~€770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~€510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~€5.800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ALZ-konform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✔ Ja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✔ Ja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✘ Nein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 Ja (vollst.)</w:t>
            </w:r>
          </w:p>
        </w:tc>
      </w:tr>
    </w:tbl>
    <w:p/>
    <w:p>
      <w:r>
        <w:br w:type="page"/>
      </w:r>
    </w:p>
    <w:p>
      <w:pPr>
        <w:pStyle w:val="Heading1"/>
      </w:pPr>
      <w:r>
        <w:t>11. Roadmap, Phasen und Gates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16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Gate / Ergebnis</w:t>
            </w:r>
          </w:p>
        </w:tc>
        <w:tc>
          <w:tcPr>
            <w:tcW w:type="dxa" w:w="144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 – Beratung &amp; Kickoff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Discovery-Workshop: Anforderungen, Subscription-Strategie, Netzwerk-Scope,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Entscheidungsprotokoll: Region, network_type, DDoS, Enforcement-Zeitpunkt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 €0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 – Bootstrap &amp; Grundgerüst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Deploy-Accelerator ausführen; MGs + volles Policy-Set im DoNotEnforce;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Governance steht; Compliance-Dashboard zeigt Ist-Zustand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≈ €0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 – Netzwerk-Pilot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Hub-VNets + Private DNS Zones; erste Spoke-VNets; ggf. minimale Firewall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Workloads können in Landing Zones platziert werden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€15–€1.300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 – Sicherheit &amp; Enforcement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Defender for Cloud konfigurieren; Guardrail-Initiativen scharfschalten;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Policy-Compliance &gt; 80 %; Defender aktiviert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+Defender-Kosten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 – Workload-Onboarding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Erste Workloads in Landing Zones; Spoke-Netzwerke; RBAC-Gruppen befüllen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Erste Applikation läuft in ALZ-Scope; Policies greifen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Workload-abhängig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 – Betrieb &amp; Optimierung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Cost Management, Tagging-Pflicht, Monitoring-Dashboards, Policy-Weiterentwicklung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Laufender ALZ-Betrieb; regelmäßige Review-Zyklen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Laufend</w:t>
            </w:r>
          </w:p>
        </w:tc>
      </w:tr>
    </w:tbl>
    <w:p/>
    <w:p>
      <w:r>
        <w:br w:type="page"/>
      </w:r>
    </w:p>
    <w:p>
      <w:pPr>
        <w:pStyle w:val="Heading1"/>
      </w:pPr>
      <w:r>
        <w:t>12. Risiken, offene Punkte und Entscheidungsbedarf</w:t>
      </w:r>
    </w:p>
    <w:p>
      <w:pPr>
        <w:pStyle w:val="Heading2"/>
      </w:pPr>
      <w:r>
        <w:t>12.1 Risikomatrix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44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Auswirkung</w:t>
            </w:r>
          </w:p>
        </w:tc>
        <w:tc>
          <w:tcPr>
            <w:tcW w:type="dxa" w:w="86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WSK</w:t>
            </w:r>
          </w:p>
        </w:tc>
        <w:tc>
          <w:tcPr>
            <w:tcW w:type="dxa" w:w="388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Maßnahme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Subscription-Typ ungültig (Free Tier)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Hoch – Bootstrap schlägt fehl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Mittel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EA/MCA/PAYG sicherstellen vor Bootstrap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IP-Adresskonflikt mit On-Premises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Mittel – Hub-VNet nicht routbar zu On-Prem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Mittel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IP-Adressplan vor Netzwerk-Deployment abstimmen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DDoS-Kosten (Default: an)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Hoch – €2.500/Monat unerwartet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Hoch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deployDdosProtectionPlan: false für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Defender-Kosten (Policy aktiviert auto.)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Mittel – Defender-Pläne ungewollt kostenpflichtig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Mittel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Defender-Tier-Konfiguration vor Apply reviewen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 Root Rechte fehlen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Hoch – MG-Erstellung schlägt fehl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Mittel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Erhöhten Zugriff vor Bootstrap aktivieren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Guardrails blockieren bestehende Ressourcen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Mittel – Compliance-Fehler, ggf. Policy-Konflikte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Gering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DoNotEnforce-Modus für Start; Remediation geplant</w:t>
            </w:r>
          </w:p>
        </w:tc>
      </w:tr>
    </w:tbl>
    <w:p/>
    <w:p>
      <w:pPr>
        <w:pStyle w:val="Heading2"/>
      </w:pPr>
      <w:r>
        <w:t>12.2 Offene Punkte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57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Offener Punkt</w:t>
            </w:r>
          </w:p>
        </w:tc>
        <w:tc>
          <w:tcPr>
            <w:tcW w:type="dxa" w:w="115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Aufwand</w:t>
            </w:r>
          </w:p>
        </w:tc>
        <w:tc>
          <w:tcPr>
            <w:tcW w:type="dxa" w:w="115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Priorität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DNS Private Resolver: Flag deployDnsPrivateResolver vorhanden, aber kein AVM-DNS-Resolver-Modul verdrahtet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Klein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Mittel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Decommissioned-MG: Header verspricht Deny-Policies, keine sind implementiert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Klein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Sandbox-MG: Policy-Exemption für gelockerte Policies fehlt noch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Klein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Smoke Run: Kunden-Tenant + GitHub PAT benötigt für Ende-zu-Ende-Test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Mittel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Hoch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Security-Baseline: Defender-Pricings explizit, Security Contacts, Sentinel-Onboarding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Mittel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Mittel</w:t>
            </w:r>
          </w:p>
        </w:tc>
      </w:tr>
    </w:tbl>
    <w:p/>
    <w:p>
      <w:pPr>
        <w:pStyle w:val="Heading2"/>
      </w:pPr>
      <w:r>
        <w:t>12.3 Entscheidungsbedarf Kunde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Entscheidung</w:t>
            </w:r>
          </w:p>
        </w:tc>
        <w:tc>
          <w:tcPr>
            <w:tcW w:type="dxa" w:w="33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Optionen</w:t>
            </w:r>
          </w:p>
        </w:tc>
        <w:tc>
          <w:tcPr>
            <w:tcW w:type="dxa" w:w="417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Bechtle-Empfehlung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Subscription-Modell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 Sub vs. 4 Platform-Subs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1 Sub für Start; Trennung später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Primärregion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Germany West Central bestätigen oder ändern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GWC (Datenresidenz Deutschland)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Netzwerk-Typ für Pilot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none (€0) vs. hubNetworking (~€5.800)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none für Pilot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An (~€2.500/Monat) vs. Aus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Aus für Start; nach Internet-Workloads prüfen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Enforcement-Zeitpunkt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Wann von DoNotEnforce auf Enabled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Nach 4–8 Wochen Audit-Phase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On-Prem-Anbindung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VPN vs. ExpressRoute vs. keins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Nach Bandbreiten-/SLA-Anforderung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Defender-Tier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Standard vs. Free je Plan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Standard für Produktions-Workloads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Entra ID / Identity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Entra-only vs. hybrid vs. AD DS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Anforderungsabhängig</w:t>
            </w:r>
          </w:p>
        </w:tc>
      </w:tr>
    </w:tbl>
    <w:p/>
    <w:p>
      <w:r>
        <w:br w:type="page"/>
      </w:r>
    </w:p>
    <w:p>
      <w:pPr>
        <w:pStyle w:val="Heading1"/>
      </w:pPr>
      <w:r>
        <w:t>13. Ergänzende Randthemen und Abhängigkeiten</w:t>
      </w:r>
    </w:p>
    <w:p>
      <w:pPr>
        <w:spacing w:after="120"/>
      </w:pPr>
      <w:r>
        <w:t>Die folgenden Themen sind eng mit der Azure Landing Zone verknüpft, aber außerhalb des Landing-Zone-Scopes. Sie werden als Abhängigkeiten und mögliche Folgebausteine eingeordnet.</w:t>
      </w:r>
    </w:p>
    <w:p>
      <w:pPr>
        <w:pStyle w:val="Heading2"/>
      </w:pPr>
      <w:r>
        <w:t>13.1 Entra ID und Identity</w:t>
      </w:r>
    </w:p>
    <w:p>
      <w:pPr>
        <w:pStyle w:val="BechtleAufzhlung"/>
      </w:pPr>
      <w:r>
        <w:t>Zu prüfen: Entra-ID-Tenant-Struktur, vorhandene Gruppen und Rollen, MFA-Status, Conditional Access Policies, PIM-Nutzung</w:t>
      </w:r>
    </w:p>
    <w:p>
      <w:pPr>
        <w:pStyle w:val="BechtleAufzhlung"/>
      </w:pPr>
      <w:r>
        <w:t>Mögliche Folgestufe: Identity-Baseline (Entra Diagnostik → LAW, Conditional Access Grundkonfiguration, PIM für privilegierte Rollen, hybride Identitäten)</w:t>
      </w:r>
    </w:p>
    <w:p>
      <w:pPr>
        <w:pStyle w:val="BechtleAufzhlung"/>
      </w:pPr>
      <w:r>
        <w:t>Abgrenzung: Entra-ID-Konfiguration und MFA-Rollout sind nicht Bestandteil der Landing Zone; die MG alz-platform-identity und die Identity-Subscription sind vorgesehen</w:t>
      </w:r>
    </w:p>
    <w:p>
      <w:pPr>
        <w:pStyle w:val="Heading2"/>
      </w:pPr>
      <w:r>
        <w:t>13.2 On-Premises-Anbindung</w:t>
      </w:r>
    </w:p>
    <w:p>
      <w:pPr>
        <w:pStyle w:val="BechtleAufzhlung"/>
      </w:pPr>
      <w:r>
        <w:t>Zu prüfen: Bandbreitenanforderungen, Latenz-SLA, bestehende Leitungsinfrastruktur, IP-Adressplan und Überlappungsrisiken mit Hub-VNets (10.0.0.0/22, 10.1.0.0/22)</w:t>
      </w:r>
    </w:p>
    <w:p>
      <w:pPr>
        <w:pStyle w:val="BechtleAufzhlung"/>
      </w:pPr>
      <w:r>
        <w:t>Mögliche Folgestufe: VPN-Gateway-Konfiguration (VpnGw1AZ, active-active BGP, ASN 65515 – bereits deployt) oder ExpressRoute-Gateway mit Provider-Anbindung</w:t>
      </w:r>
    </w:p>
    <w:p>
      <w:pPr>
        <w:pStyle w:val="BechtleAufzhlung"/>
      </w:pPr>
      <w:r>
        <w:t>Abgrenzung: Leitungsbestellung, Router-Konfiguration On-Premises und BGP-Peering mit Provider sind außerhalb des Landing-Zone-Scopes</w:t>
      </w:r>
    </w:p>
    <w:p>
      <w:pPr>
        <w:pStyle w:val="Heading2"/>
      </w:pPr>
      <w:r>
        <w:t>13.3 Backup und Disaster Recovery</w:t>
      </w:r>
    </w:p>
    <w:p>
      <w:pPr>
        <w:pStyle w:val="BechtleAufzhlung"/>
      </w:pPr>
      <w:r>
        <w:t>Zu prüfen: RPO/RTO-Anforderungen je Workload, vorhandene Backup-Lösungen, Geo-Redundanz-Bedarf</w:t>
      </w:r>
    </w:p>
    <w:p>
      <w:pPr>
        <w:pStyle w:val="BechtleAufzhlung"/>
      </w:pPr>
      <w:r>
        <w:t>Mögliche Folgestufe: Recovery Services Vault je Landing Zone, Azure Backup Policies, Azure Site Recovery für kritische VMs</w:t>
      </w:r>
    </w:p>
    <w:p>
      <w:pPr>
        <w:pStyle w:val="BechtleAufzhlung"/>
      </w:pPr>
      <w:r>
        <w:t>Abgrenzung: Die Policy Deploy-VM-Backup sichert VMs ohne Backup-Tag automatisch; Recovery-Vault-Konfiguration und DR-Tests sind eigene Projektschritte</w:t>
      </w:r>
    </w:p>
    <w:p>
      <w:pPr>
        <w:pStyle w:val="Heading2"/>
      </w:pPr>
      <w:r>
        <w:t>13.4 Kostenmanagement</w:t>
      </w:r>
    </w:p>
    <w:p>
      <w:pPr>
        <w:pStyle w:val="BechtleAufzhlung"/>
      </w:pPr>
      <w:r>
        <w:t>Zu prüfen: Budget-Limits je Subscription / Abteilung, Tagging-Strategie für Kostenzuordnung, Cost Alert-Schwellwerte</w:t>
      </w:r>
    </w:p>
    <w:p>
      <w:pPr>
        <w:pStyle w:val="BechtleAufzhlung"/>
      </w:pPr>
      <w:r>
        <w:t>Mögliche Folgestufe: Azure Cost Management Dashboards, Budget-Alerts je MG/Sub, Tagging-Enforcement via Policy (Audit-Tags-Mandatory-Rg ist im Policy-Set enthalten)</w:t>
      </w:r>
    </w:p>
    <w:p>
      <w:pPr>
        <w:pStyle w:val="BechtleAufzhlung"/>
      </w:pPr>
      <w:r>
        <w:t>Abgrenzung: Chargeback-Modelle, FinOps-Prozesse und Lizenz-Optimierung sind nicht Teil der Landing Zone</w:t>
      </w:r>
    </w:p>
    <w:p>
      <w:pPr>
        <w:pStyle w:val="Heading2"/>
      </w:pPr>
      <w:r>
        <w:t>13.5 Compliance und Regulatorik</w:t>
      </w:r>
    </w:p>
    <w:p>
      <w:pPr>
        <w:pStyle w:val="BechtleAufzhlung"/>
      </w:pPr>
      <w:r>
        <w:t>Zu prüfen: branchenspezifische Anforderungen (BSI, ISO 27001, DSGVO), Datenresidenz-Vorgaben, regulatorische Berichtspflichten</w:t>
      </w:r>
    </w:p>
    <w:p>
      <w:pPr>
        <w:pStyle w:val="BechtleAufzhlung"/>
      </w:pPr>
      <w:r>
        <w:t>Mögliche Folgestufe: Compliance-spezifische Policy-Initiativen, Defender for Cloud Regulatory Compliance Dashboard, Microsoft Purview</w:t>
      </w:r>
    </w:p>
    <w:p>
      <w:pPr>
        <w:pStyle w:val="BechtleAufzhlung"/>
      </w:pPr>
      <w:r>
        <w:t>Abgrenzung: rechtliche Compliance-Bewertung und Zertifizierungsberatung sind außerhalb des technischen Landing-Zone-Scopes</w:t>
      </w:r>
    </w:p>
    <w:p>
      <w:pPr>
        <w:pStyle w:val="Heading2"/>
      </w:pPr>
      <w:r>
        <w:t>13.6 Workload-Migration</w:t>
      </w:r>
    </w:p>
    <w:p>
      <w:pPr>
        <w:pStyle w:val="BechtleAufzhlung"/>
      </w:pPr>
      <w:r>
        <w:t>Zu prüfen: Inventar bestehender Workloads, Abhängigkeiten, Migrations-Reihenfolge, Downtime-Toleranz</w:t>
      </w:r>
    </w:p>
    <w:p>
      <w:pPr>
        <w:pStyle w:val="BechtleAufzhlung"/>
      </w:pPr>
      <w:r>
        <w:t>Mögliche Folgestufe: Azure Migrate Assessment, Rehosting (Lift &amp; Shift), Refactoring oder Rebuild je Workload</w:t>
      </w:r>
    </w:p>
    <w:p>
      <w:pPr>
        <w:pStyle w:val="BechtleAufzhlung"/>
      </w:pPr>
      <w:r>
        <w:t>Abgrenzung: Workload-Migration ist ein eigenständiges Folgeprojekt; die Landing Zone ist das Ziel, nicht der Migrations-Prozess</w:t>
      </w:r>
    </w:p>
    <w:p>
      <w:r>
        <w:br w:type="page"/>
      </w:r>
    </w:p>
    <w:p>
      <w:pPr>
        <w:pStyle w:val="Heading1"/>
      </w:pPr>
      <w:r>
        <w:t>14. Nächste Schritte und Empfehlung</w:t>
      </w:r>
    </w:p>
    <w:p>
      <w:pPr>
        <w:pStyle w:val="Heading2"/>
      </w:pPr>
      <w:r>
        <w:t>14.1 Sofort-Maßnahmen (ohne Azure-Kosten)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4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04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Maßnahme</w:t>
            </w:r>
          </w:p>
        </w:tc>
        <w:tc>
          <w:tcPr>
            <w:tcW w:type="dxa" w:w="172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Verantwortlich</w:t>
            </w:r>
          </w:p>
        </w:tc>
        <w:tc>
          <w:tcPr>
            <w:tcW w:type="dxa" w:w="115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Aufwand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Kickoff-Termin vereinbaren; Entscheidungsprotokoll erstellen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Beide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 Tag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Azure Subscription bereitstellen (EA/MCA/PAYG, kein Free Tier)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 Stunde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GitHub PAT (Classic) mit Scopes repo, workflow, admin:org erstellen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 Min.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Erhöhten Zugriff am Tenant Root aktivieren (Entra ID → Properties)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Kunde / Admin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 Min.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IP-Adressplan festlegen (Hub-Bereiche 10.0.0.0/22, 10.1.0.0/22 prüfen / anpassen)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Beide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½–1 Tag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Entscheidungsprotokoll ausfüllen: Region, network_type, DDoS, Enforcement-Zeitpunkt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Beide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½ Tag</w:t>
            </w:r>
          </w:p>
        </w:tc>
      </w:tr>
    </w:tbl>
    <w:p/>
    <w:p>
      <w:pPr>
        <w:pStyle w:val="Heading2"/>
      </w:pPr>
      <w:r>
        <w:t>14.2 Empfohlener Pilot-Pfad</w:t>
      </w:r>
    </w:p>
    <w:p>
      <w:pPr>
        <w:pStyle w:val="BechtleAufzhlung"/>
      </w:pPr>
      <w:r>
        <w:t>Schritt 1: Subscription-ID und GitHub PAT in config/inputs-github.yaml eintragen</w:t>
      </w:r>
    </w:p>
    <w:p>
      <w:pPr>
        <w:pStyle w:val="BechtleAufzhlung"/>
      </w:pPr>
      <w:r>
        <w:t>Schritt 2: Deploy-Accelerator lokal ausführen – Bootstrap erstellt Repo, OIDC-Identität und Pipelines</w:t>
      </w:r>
    </w:p>
    <w:p>
      <w:pPr>
        <w:pStyle w:val="BechtleAufzhlung"/>
      </w:pPr>
      <w:r>
        <w:t>Schritt 3: Pipeline mit What-If ausführen und Review: welche Ressourcen werden erstellt?</w:t>
      </w:r>
    </w:p>
    <w:p>
      <w:pPr>
        <w:pStyle w:val="BechtleAufzhlung"/>
      </w:pPr>
      <w:r>
        <w:t>Schritt 4: Apply genehmigen – mit network_type: none (€0) für risikofreien Start</w:t>
      </w:r>
    </w:p>
    <w:p>
      <w:pPr>
        <w:pStyle w:val="BechtleAufzhlung"/>
      </w:pPr>
      <w:r>
        <w:t>Schritt 5: Policy-Compliance-Dashboard reviewen: welche Guardrails greifen, welche nicht?</w:t>
      </w:r>
    </w:p>
    <w:p>
      <w:pPr>
        <w:pStyle w:val="BechtleAufzhlung"/>
      </w:pPr>
      <w:r>
        <w:t>Schritt 6: Nach Analyse schrittweise Enforcement und Netzwerk-Dienste aktivieren</w:t>
      </w:r>
    </w:p>
    <w:p>
      <w:pPr>
        <w:spacing w:after="120"/>
      </w:pPr>
      <w:r>
        <w:t>Das vollständige Runbook mit allen Details steht in docs/ACCELERATOR-BOOTSTRAP.md.</w:t>
      </w:r>
    </w:p>
    <w:p>
      <w:pPr>
        <w:pStyle w:val="Heading2"/>
      </w:pPr>
      <w:r>
        <w:t>14.3 Bechtle-Begleitung</w:t>
      </w:r>
    </w:p>
    <w:p>
      <w:pPr>
        <w:spacing w:after="120"/>
      </w:pPr>
      <w:r>
        <w:t>Bechtle begleitet den Kunden über alle Phasen: von der Kickoff-Workshop-Vorbereitung über den Bootstrap bis zum ersten Workload-Onboarding. Das Angebot umfasst:</w:t>
      </w:r>
    </w:p>
    <w:p>
      <w:pPr>
        <w:pStyle w:val="BechtleAufzhlung"/>
      </w:pPr>
      <w:r>
        <w:t>Kickoff-Workshop (Discovery, Architektur-Entscheidungen, Entscheidungsprotokoll)</w:t>
      </w:r>
    </w:p>
    <w:p>
      <w:pPr>
        <w:pStyle w:val="BechtleAufzhlung"/>
      </w:pPr>
      <w:r>
        <w:t>Bootstrap-Begleitung (technische Durchführung, Troubleshooting, Abnahme)</w:t>
      </w:r>
    </w:p>
    <w:p>
      <w:pPr>
        <w:pStyle w:val="BechtleAufzhlung"/>
      </w:pPr>
      <w:r>
        <w:t>Pilotierung (erste Landing Zone, Spoke-Netzwerk, Workload-Onboarding)</w:t>
      </w:r>
    </w:p>
    <w:p>
      <w:pPr>
        <w:pStyle w:val="BechtleAufzhlung"/>
      </w:pPr>
      <w:r>
        <w:t>Optionaler laufender Betrieb und Weiterentwicklung nach Abschluss der Grundimplementierung</w:t>
      </w:r>
    </w:p>
    <w:p>
      <w:r>
        <w:br w:type="page"/>
      </w:r>
    </w:p>
    <w:p>
      <w:pPr>
        <w:pStyle w:val="Heading1"/>
      </w:pPr>
      <w:r>
        <w:t>Anhang</w:t>
      </w:r>
    </w:p>
    <w:p>
      <w:pPr>
        <w:pStyle w:val="Heading2"/>
      </w:pPr>
      <w:r>
        <w:t>A – 18 Deployment-Stufen (vollständig)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4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Name (.config/ALZ-Powershell.config.json)</w:t>
            </w:r>
          </w:p>
        </w:tc>
        <w:tc>
          <w:tcPr>
            <w:tcW w:type="dxa" w:w="158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46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Template-Pfad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mgmt_groups_int_root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core/governance/mgmt-groups/int-root/main.bicep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mgmt_groups_landing_zones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core/governance/mgmt-groups/landingzones/main.bicep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mgmt_groups_landing_zones_corp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core/governance/mgmt-groups/landingzones/landingzones-corp/main.bicep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mgmt_groups_landing_zones_online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core/governance/mgmt-groups/landingzones/landingzones-online/main.bicep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mgmt_groups_landing_zones_local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core/governance/mgmt-groups/landingzones/landingzones-local/main.bicep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mgmt_groups_platform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core/governance/mgmt-groups/platform/main.bicep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mgmt_groups_platform_connectivity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core/governance/mgmt-groups/platform/platform-connectivity/main.bicep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mgmt_groups_platform_identity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core/governance/mgmt-groups/platform/platform-identity/main.bicep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mgmt_groups_platform_management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core/governance/mgmt-groups/platform/platform-management/main.bicep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mgmt_groups_platform_security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core/governance/mgmt-groups/platform/platform-security/main.bicep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mgmt_groups_sandbox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core/governance/mgmt-groups/sandbox/main.bicep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mgmt_groups_decommissioned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core/governance/mgmt-groups/decommissioned/main.bicep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rbac_platform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core/governance/mgmt-groups/platform/main-rbac.bicep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rbac_platform_connectivity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core/governance/mgmt-groups/platform/platform-connectivity/main-rbac.bicep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rbac_landingzones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managementGroup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core/governance/mgmt-groups/landingzones/main-rbac.bicep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core/logging/main.bicep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hub_networking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networking/hubnetworking/main.bicep (aktiv bei hubNetworking)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virtual_wan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networking/virtualwan/main.bicep (aktiv bei vwanConnectivity)</w:t>
            </w:r>
          </w:p>
        </w:tc>
      </w:tr>
    </w:tbl>
    <w:p/>
    <w:p>
      <w:pPr>
        <w:pStyle w:val="Heading2"/>
      </w:pPr>
      <w:r>
        <w:t>B – Azure Verified Modules (22 Module)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460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100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72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Verw.</w:t>
            </w:r>
          </w:p>
        </w:tc>
        <w:tc>
          <w:tcPr>
            <w:tcW w:type="dxa" w:w="374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Zweck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avm/ptn/alz/empty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MG-Hierarchie + volles ALZ-Policy-Set (Governance)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avm/ptn/authorization/role-assignment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0.2.4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RBAC-Zuweisung auf MG-Ebene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avm/res/resources/resource-group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0.4.3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Resource Groups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avm/res/network/virtual-network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0.7.2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Hub-VNets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avm/res/network/virtual-network-gateway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0.10.1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VPN- und ExpressRoute-Gateways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avm/res/network/route-table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0.5.0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Route Tables für Spoke-Netzwerke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avm/res/network/firewall-policy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0.3.4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Azure Firewall Policy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avm/res/network/dns-resolver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0.5.6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DNS Private Resolver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avm/res/network/ddos-protection-plan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0.3.2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DDoS Network Protection Plan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avm/res/network/bastion-host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0.8.2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Azure Bastion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avm/res/network/azure-firewall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0.9.2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Azure Firewall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avm/ptn/network/private-link-private-dns-zones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0.7.2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Private DNS Zones für Private Link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avm/res/operational-insights/workspace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0.14.2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Log Analytics Workspace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avm/res/network/vpn-server-configuration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VPN Server-Konfiguration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avm/res/network/vpn-gateway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0.2.2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VPN Gateway (Virtual WAN)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avm/res/network/virtual-wan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0.4.3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Virtual WAN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avm/res/network/virtual-hub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0.4.3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Virtual Hub (vWAN)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avm/res/network/public-ip-address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0.12.0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Public IP (Bastion, Gateway)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avm/res/network/network-security-group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0.5.2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Network Security Group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avm/res/network/express-route-gateway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0.8.0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ExpressRoute Gateway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avm/res/automation/automation-account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0.17.1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Automation Account (optional)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avm/ptn/alz/ama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0.2.0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Log Analytics + DCRs + Managed Identity (Logging)</w:t>
            </w:r>
          </w:p>
        </w:tc>
      </w:tr>
    </w:tbl>
    <w:p/>
    <w:p>
      <w:pPr>
        <w:pStyle w:val="Heading2"/>
      </w:pPr>
      <w:r>
        <w:t>C – Glossar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Begriff</w:t>
            </w:r>
          </w:p>
        </w:tc>
        <w:tc>
          <w:tcPr>
            <w:tcW w:type="dxa" w:w="748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ALZ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Azure Landing Zone – standardisiertes, governance-konformes Cloud-Fundament für Workloads in Azure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AVM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Azure Verified Modules – von Microsoft geprüfte Bicep-Module aus der öffentlichen Microsoft Container Registry (MCR)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MG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Management Group – hierarchische Verwaltungseinheit für Azure-Subscriptions; Policies und RBAC werden an alle untergeordneten Subscriptions vererbt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Hub-and-Spoke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Netzwerktopologie: zentraler Hub (Shared Services: Firewall, DNS, Gateways) + angebundene Spoke-Netzwerke (Workloads)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OIDC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OpenID Connect – passwortlose Pipeline-Anmeldung an Azure über Federated Identity (keine gespeicherten Secrets)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DCR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Data Collection Rule – Azure Monitor Konfigurationsobjekt für Telemetrie-Erfassung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DoNotEnforce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Policy-Modus: Policies werden ausgewertet (Audit), aber keine Ressource wird blockiert – ideal für Onboarding-Phasen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DINE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DeployIfNotExists – Policy-Effekt: Azure deployed automatisch fehlende Konfiguration (z. B. Diagnose-Einstellungen)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Guardrail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Automatische Sicherheitsleitplanke per Policy; blockiert unerwünschte Konfigurationen oder korrigiert sie automatisch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Bootstrap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Phase 0 des ALZ-Deployments: Terraform-basierte Einrichtung von GitHub-Repository, OIDC-Identität und Deployment-Pipelines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What-If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Vorschau-Modus von ARM: zeigt alle geplanten Änderungen ohne Ausführung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Vending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Automatisierte Bereitstellung und Platzierung von Subscriptions in die Landing-Zone-Hierarchie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Spoke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Workload-Netzwerk, das über VNet-Peering an den Hub angebunden ist und Datenverkehr über die Hub-Firewall leitet</w:t>
            </w:r>
          </w:p>
        </w:tc>
      </w:tr>
    </w:tbl>
    <w:p/>
    <w:p>
      <w:pPr>
        <w:pStyle w:val="Heading2"/>
      </w:pPr>
      <w:r>
        <w:t>D – Referenzen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0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Quelle</w:t>
            </w:r>
          </w:p>
        </w:tc>
        <w:tc>
          <w:tcPr>
            <w:tcW w:type="dxa" w:w="604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aka.ms/alz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Microsoft Azure Landing Zones – offizielle Dokumentation und Design-Prinzipien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aka.ms/alz/acc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ALZ Bicep Accelerator – offizielles GitHub Repository und Dokumentation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azure.github.io/Azure-Verified-Modules/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Azure Verified Modules Registry – alle AVM-Module mit Versionsverlauf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learn.microsoft.com/azure/azure-resource-manager/bicep/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Microsoft Bicep Dokumentation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learn.microsoft.com/azure/governance/policy/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Azure Policy Dokumentation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learn.microsoft.com/azure/defender-for-cloud/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Microsoft Defender for Cloud Dokumentation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docs/ACCELERATOR-BOOTSTRAP.md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Lokales Runbook: Bootstrap- und Deployment-Schritte (Schritt-für-Schritt)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docs/TECHNICAL-REFERENCE.md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Lokale Technische Referenz: alle 22 AVM-Module, 123 Assignments, 149 Policy-Definitionen</w:t>
            </w:r>
          </w:p>
        </w:tc>
      </w:tr>
    </w:tbl>
    <w:p/>
    <w:sectPr w:rsidR="00A17BB2" w:rsidSect="00444F1C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835" w:right="1701" w:bottom="2268" w:left="1361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A2CF" w14:textId="77777777" w:rsidR="00A17BB2" w:rsidRDefault="00A17BB2" w:rsidP="00BE515E">
      <w:pPr>
        <w:spacing w:line="240" w:lineRule="auto"/>
      </w:pPr>
      <w:r>
        <w:separator/>
      </w:r>
    </w:p>
  </w:endnote>
  <w:endnote w:type="continuationSeparator" w:id="0">
    <w:p w14:paraId="796A97F2" w14:textId="77777777" w:rsidR="00A17BB2" w:rsidRDefault="00A17BB2" w:rsidP="00BE515E">
      <w:pPr>
        <w:spacing w:line="240" w:lineRule="auto"/>
      </w:pPr>
      <w:r>
        <w:continuationSeparator/>
      </w:r>
    </w:p>
  </w:endnote>
  <w:endnote w:type="continuationNotice" w:id="1">
    <w:p w14:paraId="7B996F4D" w14:textId="77777777" w:rsidR="00A17BB2" w:rsidRDefault="00A17B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chtle Pro">
    <w:altName w:val="Cambria"/>
    <w:panose1 w:val="020C0500020203020204"/>
    <w:charset w:val="00"/>
    <w:family w:val="swiss"/>
    <w:pitch w:val="variable"/>
    <w:sig w:usb0="A000006F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48507985"/>
      <w:docPartObj>
        <w:docPartGallery w:val="Page Numbers (Bottom of Page)"/>
        <w:docPartUnique/>
      </w:docPartObj>
    </w:sdtPr>
    <w:sdtContent>
      <w:p w14:paraId="5DF59625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4256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18DF4F7" w14:textId="77777777" w:rsidR="00852985" w:rsidRDefault="00852985" w:rsidP="0085298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3246446"/>
      <w:docPartObj>
        <w:docPartGallery w:val="Page Numbers (Bottom of Page)"/>
        <w:docPartUnique/>
      </w:docPartObj>
    </w:sdtPr>
    <w:sdtContent>
      <w:p w14:paraId="22A9C69B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634DBDB" w14:textId="77777777" w:rsidR="008245F6" w:rsidRDefault="008245F6" w:rsidP="00852985">
    <w:pPr>
      <w:pStyle w:val="Footer"/>
      <w:ind w:right="360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784039A" wp14:editId="5E8B0887">
          <wp:simplePos x="0" y="0"/>
          <wp:positionH relativeFrom="page">
            <wp:posOffset>849630</wp:posOffset>
          </wp:positionH>
          <wp:positionV relativeFrom="page">
            <wp:posOffset>10233660</wp:posOffset>
          </wp:positionV>
          <wp:extent cx="485775" cy="62014"/>
          <wp:effectExtent l="0" t="0" r="0" b="0"/>
          <wp:wrapNone/>
          <wp:docPr id="1343754283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754283" name="Grafik 134375428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775" cy="620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E35F91" w14:textId="77777777" w:rsidR="00AD3CE4" w:rsidRDefault="00000000">
    <w:pPr>
      <w:jc w:val="right"/>
    </w:pPr>
    <w:r>
      <w:rPr>
        <w:sz w:val="16"/>
      </w:rPr>
      <w:t>Bechtle | Azure Landing Zone – Konzept</w:t>
    </w:r>
    <w:r>
      <w:rPr>
        <w:sz w:val="16"/>
      </w:rPr>
    </w:r>
    <w:r>
      <w:rPr>
        <w:sz w:val="16"/>
      </w:rPr>
    </w:r>
    <w:r>
      <w:rPr>
        <w:sz w:val="16"/>
      </w:rPr>
    </w:r>
    <w:r w:rsidR="00E4256D">
      <w:rPr>
        <w:noProof/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 w:rsidR="00E4256D">
      <w:rPr>
        <w:noProof/>
        <w:sz w:val="16"/>
      </w:rPr>
    </w:r>
    <w:r>
      <w:rPr>
        <w:sz w:val="16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2CDE" w14:textId="77777777" w:rsidR="002F6AAB" w:rsidRDefault="002F6AAB" w:rsidP="002F6AAB"/>
  <w:p w14:paraId="5E57F8EB" w14:textId="77777777" w:rsidR="002F6AAB" w:rsidRDefault="002F6AAB" w:rsidP="002F6AAB"/>
  <w:tbl>
    <w:tblPr>
      <w:tblW w:w="1052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06"/>
      <w:gridCol w:w="2730"/>
      <w:gridCol w:w="2976"/>
      <w:gridCol w:w="3017"/>
    </w:tblGrid>
    <w:tr w:rsidR="00452D20" w:rsidRPr="00A83A27" w14:paraId="6FD6F9C5" w14:textId="77777777" w:rsidTr="00C43CC6">
      <w:tc>
        <w:tcPr>
          <w:tcW w:w="1806" w:type="dxa"/>
        </w:tcPr>
        <w:p w14:paraId="6FF53905" w14:textId="77777777" w:rsidR="00452D20" w:rsidRPr="00452D20" w:rsidRDefault="00452D20" w:rsidP="00452D20">
          <w:pPr>
            <w:pStyle w:val="Footer"/>
            <w:rPr>
              <w:rStyle w:val="IntenseEmphasis"/>
            </w:rPr>
          </w:pPr>
          <w:r w:rsidRPr="00452D20">
            <w:rPr>
              <w:rStyle w:val="IntenseEmphasis"/>
            </w:rPr>
            <w:t>Adresse</w:t>
          </w:r>
        </w:p>
        <w:p w14:paraId="2D996A01" w14:textId="77777777" w:rsidR="00452D20" w:rsidRPr="00452D20" w:rsidRDefault="00452D20" w:rsidP="00452D20">
          <w:pPr>
            <w:pStyle w:val="Footer"/>
          </w:pPr>
          <w:r w:rsidRPr="00452D20">
            <w:t xml:space="preserve">Bechtle </w:t>
          </w:r>
          <w:r w:rsidR="00360A5B">
            <w:t>GmbH &amp; Co. KG</w:t>
          </w:r>
        </w:p>
        <w:p w14:paraId="7184857F" w14:textId="77777777" w:rsidR="00C43CC6" w:rsidRDefault="00A71D24" w:rsidP="00452D20">
          <w:pPr>
            <w:pStyle w:val="Footer"/>
          </w:pPr>
          <w:r>
            <w:t xml:space="preserve">Gottlieb-Daimler-Straße </w:t>
          </w:r>
          <w:r w:rsidR="00C43CC6" w:rsidRPr="00C43CC6">
            <w:t>2</w:t>
          </w:r>
        </w:p>
        <w:p w14:paraId="040250E0" w14:textId="77777777" w:rsidR="00C43CC6" w:rsidRDefault="00C43CC6" w:rsidP="00452D20">
          <w:pPr>
            <w:pStyle w:val="Footer"/>
          </w:pPr>
          <w:r w:rsidRPr="00C43CC6">
            <w:t>681</w:t>
          </w:r>
          <w:r w:rsidR="00A71D24">
            <w:t>65</w:t>
          </w:r>
          <w:r w:rsidRPr="00C43CC6">
            <w:t xml:space="preserve"> Mannheim</w:t>
          </w:r>
        </w:p>
        <w:p w14:paraId="67E55EE4" w14:textId="77777777" w:rsidR="00452D20" w:rsidRPr="00452D20" w:rsidRDefault="00452D20" w:rsidP="00452D20">
          <w:pPr>
            <w:pStyle w:val="Footer"/>
          </w:pPr>
          <w:r w:rsidRPr="00452D20">
            <w:t xml:space="preserve">T +49 </w:t>
          </w:r>
          <w:r w:rsidR="00C43CC6">
            <w:t>621</w:t>
          </w:r>
          <w:r w:rsidRPr="00452D20">
            <w:t xml:space="preserve"> </w:t>
          </w:r>
          <w:r w:rsidR="00C43CC6">
            <w:t>87503</w:t>
          </w:r>
          <w:r w:rsidRPr="00452D20">
            <w:t>-</w:t>
          </w:r>
          <w:r w:rsidR="00C752ED">
            <w:t>0</w:t>
          </w:r>
        </w:p>
        <w:p w14:paraId="65762F89" w14:textId="77777777" w:rsidR="00452D20" w:rsidRPr="00452D20" w:rsidRDefault="00452D20" w:rsidP="00452D20">
          <w:pPr>
            <w:pStyle w:val="Footer"/>
          </w:pPr>
        </w:p>
        <w:p w14:paraId="020A8B64" w14:textId="77777777" w:rsidR="00452D20" w:rsidRPr="00452D20" w:rsidRDefault="00452D20" w:rsidP="00452D20">
          <w:pPr>
            <w:pStyle w:val="Footer"/>
          </w:pPr>
          <w:r w:rsidRPr="00452D20">
            <w:t>www.bechtle.com</w:t>
          </w:r>
        </w:p>
      </w:tc>
      <w:tc>
        <w:tcPr>
          <w:tcW w:w="2730" w:type="dxa"/>
        </w:tcPr>
        <w:p w14:paraId="69922F0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Geschäftsführende Gesellschafterin</w:t>
          </w:r>
        </w:p>
        <w:p w14:paraId="28230620" w14:textId="77777777" w:rsidR="00452D20" w:rsidRPr="00452D20" w:rsidRDefault="00C43CC6" w:rsidP="00452D20">
          <w:pPr>
            <w:pStyle w:val="Footer"/>
          </w:pPr>
          <w:r>
            <w:t>MA</w:t>
          </w:r>
          <w:r w:rsidR="00360A5B">
            <w:t xml:space="preserve"> Bechtle Verwaltungs-GmbH</w:t>
          </w:r>
          <w:r w:rsidR="00452D20" w:rsidRPr="00452D20">
            <w:t xml:space="preserve"> </w:t>
          </w:r>
        </w:p>
        <w:p w14:paraId="62AEB74A" w14:textId="77777777" w:rsidR="00452D20" w:rsidRPr="00452D20" w:rsidRDefault="00452D20" w:rsidP="00452D20">
          <w:pPr>
            <w:pStyle w:val="Footer"/>
          </w:pPr>
        </w:p>
        <w:p w14:paraId="63BA7E8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Geschäftsführung</w:t>
          </w:r>
          <w:r w:rsidR="00452D20" w:rsidRPr="00452D20">
            <w:rPr>
              <w:rStyle w:val="IntenseEmphasis"/>
            </w:rPr>
            <w:t>:</w:t>
          </w:r>
        </w:p>
        <w:p w14:paraId="0494E96C" w14:textId="77777777" w:rsidR="00452D20" w:rsidRPr="00452D20" w:rsidRDefault="00C43CC6" w:rsidP="00452D20">
          <w:pPr>
            <w:pStyle w:val="Footer"/>
          </w:pPr>
          <w:r>
            <w:t>Stephan Mauer</w:t>
          </w:r>
        </w:p>
      </w:tc>
      <w:tc>
        <w:tcPr>
          <w:tcW w:w="2976" w:type="dxa"/>
        </w:tcPr>
        <w:p w14:paraId="5FCB88AF" w14:textId="77777777" w:rsidR="00452D20" w:rsidRPr="00452D20" w:rsidRDefault="00452D20" w:rsidP="00A83A27">
          <w:pPr>
            <w:pStyle w:val="Footer"/>
            <w:ind w:right="-6"/>
            <w:rPr>
              <w:rStyle w:val="IntenseEmphasis"/>
            </w:rPr>
          </w:pPr>
          <w:r w:rsidRPr="00452D20">
            <w:rPr>
              <w:rStyle w:val="IntenseEmphasis"/>
            </w:rPr>
            <w:t>Sitz der Gesellschaft</w:t>
          </w:r>
        </w:p>
        <w:p w14:paraId="1E47811C" w14:textId="77777777" w:rsidR="00452D20" w:rsidRPr="00452D20" w:rsidRDefault="00C43CC6" w:rsidP="00A83A27">
          <w:pPr>
            <w:pStyle w:val="Footer"/>
            <w:ind w:right="-6"/>
          </w:pPr>
          <w:r>
            <w:t>Mannheim</w:t>
          </w:r>
        </w:p>
        <w:p w14:paraId="3830D95A" w14:textId="77777777" w:rsidR="00452D20" w:rsidRDefault="00452D20" w:rsidP="00A83A27">
          <w:pPr>
            <w:pStyle w:val="Footer"/>
            <w:ind w:right="-6"/>
          </w:pPr>
          <w:r w:rsidRPr="00452D20">
            <w:t xml:space="preserve">Amtsgericht </w:t>
          </w:r>
          <w:r w:rsidR="00C43CC6">
            <w:t>Mannheim</w:t>
          </w:r>
          <w:r w:rsidRPr="00452D20">
            <w:t>:</w:t>
          </w:r>
        </w:p>
        <w:p w14:paraId="450F24CA" w14:textId="77777777" w:rsidR="00452D20" w:rsidRPr="00452D20" w:rsidRDefault="00452D20" w:rsidP="00A83A27">
          <w:pPr>
            <w:pStyle w:val="Footer"/>
            <w:ind w:right="-6"/>
          </w:pPr>
          <w:r w:rsidRPr="00452D20">
            <w:t xml:space="preserve">HRB </w:t>
          </w:r>
          <w:r w:rsidR="00C43CC6">
            <w:t>8671</w:t>
          </w:r>
        </w:p>
        <w:p w14:paraId="71034414" w14:textId="77777777" w:rsidR="00452D20" w:rsidRPr="00452D20" w:rsidRDefault="00452D20" w:rsidP="00A83A27">
          <w:pPr>
            <w:pStyle w:val="Footer"/>
            <w:ind w:right="-6"/>
          </w:pPr>
        </w:p>
        <w:p w14:paraId="2557A648" w14:textId="77777777" w:rsidR="00360A5B" w:rsidRDefault="00452D20" w:rsidP="00A83A27">
          <w:pPr>
            <w:pStyle w:val="Footer"/>
            <w:ind w:right="-6"/>
          </w:pPr>
          <w:r w:rsidRPr="00452D20">
            <w:t>USt-Ident-Nummer:</w:t>
          </w:r>
        </w:p>
        <w:p w14:paraId="2E92EB1A" w14:textId="77777777" w:rsidR="00452D20" w:rsidRDefault="00452D20" w:rsidP="00A83A27">
          <w:pPr>
            <w:pStyle w:val="Footer"/>
            <w:ind w:right="-6"/>
          </w:pPr>
          <w:r w:rsidRPr="00452D20">
            <w:t>DE</w:t>
          </w:r>
          <w:r w:rsidR="00C43CC6">
            <w:t>813141515</w:t>
          </w:r>
        </w:p>
        <w:p w14:paraId="55522135" w14:textId="77777777" w:rsidR="00360A5B" w:rsidRDefault="00360A5B" w:rsidP="00A83A27">
          <w:pPr>
            <w:pStyle w:val="Footer"/>
            <w:ind w:right="-6"/>
          </w:pPr>
          <w:r>
            <w:t>WEEE-Reg.-Nr.</w:t>
          </w:r>
        </w:p>
        <w:p w14:paraId="4AD0C326" w14:textId="77777777" w:rsidR="00360A5B" w:rsidRDefault="00360A5B" w:rsidP="00A83A27">
          <w:pPr>
            <w:pStyle w:val="Footer"/>
            <w:ind w:right="-6"/>
            <w:rPr>
              <w:lang w:val="en-US"/>
            </w:rPr>
          </w:pPr>
          <w:r w:rsidRPr="00360A5B">
            <w:rPr>
              <w:lang w:val="en-US"/>
            </w:rPr>
            <w:t xml:space="preserve">(Bechtle Logistik &amp; Service </w:t>
          </w:r>
          <w:r w:rsidR="00A83A27">
            <w:rPr>
              <w:lang w:val="en-US"/>
            </w:rPr>
            <w:t>Gm</w:t>
          </w:r>
          <w:r w:rsidRPr="00360A5B">
            <w:rPr>
              <w:lang w:val="en-US"/>
            </w:rPr>
            <w:t>bH, Neck</w:t>
          </w:r>
          <w:r>
            <w:rPr>
              <w:lang w:val="en-US"/>
            </w:rPr>
            <w:t>arsulm):</w:t>
          </w:r>
        </w:p>
        <w:p w14:paraId="45DB5AED" w14:textId="77777777" w:rsidR="00360A5B" w:rsidRPr="00360A5B" w:rsidRDefault="00360A5B" w:rsidP="00A83A27">
          <w:pPr>
            <w:pStyle w:val="Footer"/>
            <w:ind w:right="-6"/>
            <w:rPr>
              <w:lang w:val="en-US"/>
            </w:rPr>
          </w:pPr>
          <w:r>
            <w:rPr>
              <w:lang w:val="en-US"/>
            </w:rPr>
            <w:t>DE 55471086</w:t>
          </w:r>
        </w:p>
      </w:tc>
      <w:tc>
        <w:tcPr>
          <w:tcW w:w="3017" w:type="dxa"/>
        </w:tcPr>
        <w:p w14:paraId="0B3C12F0" w14:textId="77777777" w:rsidR="00452D20" w:rsidRPr="00452D20" w:rsidRDefault="00452D20" w:rsidP="00A83A27">
          <w:pPr>
            <w:pStyle w:val="Footer"/>
            <w:ind w:left="290"/>
            <w:rPr>
              <w:rStyle w:val="IntenseEmphasis"/>
            </w:rPr>
          </w:pPr>
          <w:r w:rsidRPr="00452D20">
            <w:rPr>
              <w:rStyle w:val="IntenseEmphasis"/>
            </w:rPr>
            <w:t>Bankdaten</w:t>
          </w:r>
        </w:p>
        <w:p w14:paraId="1AAF36B0" w14:textId="77777777" w:rsidR="00452D20" w:rsidRPr="00452D20" w:rsidRDefault="00452D20" w:rsidP="00A83A27">
          <w:pPr>
            <w:pStyle w:val="Footer"/>
            <w:ind w:left="290"/>
          </w:pPr>
          <w:r w:rsidRPr="00452D20">
            <w:t>Baden-Württembergische Bank</w:t>
          </w:r>
        </w:p>
        <w:p w14:paraId="4ED1CBF0" w14:textId="77777777" w:rsidR="00C43CC6" w:rsidRDefault="00C43CC6" w:rsidP="00A83A27">
          <w:pPr>
            <w:pStyle w:val="Footer"/>
            <w:ind w:left="290"/>
          </w:pPr>
          <w:r>
            <w:t>EUR-</w:t>
          </w:r>
          <w:r w:rsidR="00452D20" w:rsidRPr="00452D20">
            <w:t xml:space="preserve">IBAN: </w:t>
          </w:r>
        </w:p>
        <w:p w14:paraId="61899366" w14:textId="77777777" w:rsidR="00452D20" w:rsidRPr="00452D20" w:rsidRDefault="00452D20" w:rsidP="00A83A27">
          <w:pPr>
            <w:pStyle w:val="Footer"/>
            <w:ind w:left="290"/>
          </w:pPr>
          <w:r w:rsidRPr="00452D20">
            <w:t>DE</w:t>
          </w:r>
          <w:r w:rsidR="00C43CC6">
            <w:t>08 6005 0101 7496 5106 64</w:t>
          </w:r>
        </w:p>
        <w:p w14:paraId="75E88864" w14:textId="77777777" w:rsidR="00A83A27" w:rsidRPr="00A71D24" w:rsidRDefault="00A83A27" w:rsidP="00A83A27">
          <w:pPr>
            <w:pStyle w:val="Footer"/>
            <w:ind w:left="290"/>
          </w:pPr>
          <w:r w:rsidRPr="00A71D24">
            <w:t>USD-IBAN</w:t>
          </w:r>
          <w:r w:rsidR="00C43CC6" w:rsidRPr="00A71D24">
            <w:t>:</w:t>
          </w:r>
        </w:p>
        <w:p w14:paraId="74C56A72" w14:textId="77777777" w:rsidR="00A83A27" w:rsidRPr="00A71D24" w:rsidRDefault="00A83A27" w:rsidP="00A83A27">
          <w:pPr>
            <w:pStyle w:val="Footer"/>
            <w:ind w:left="290"/>
          </w:pPr>
          <w:r w:rsidRPr="00A71D24">
            <w:t>DE</w:t>
          </w:r>
          <w:r w:rsidR="00C43CC6" w:rsidRPr="00A71D24">
            <w:t>75 6005 0101 7482 1728 58</w:t>
          </w:r>
        </w:p>
        <w:p w14:paraId="54919CDC" w14:textId="77777777" w:rsidR="00C43CC6" w:rsidRPr="00A71D24" w:rsidRDefault="00C43CC6" w:rsidP="00A83A27">
          <w:pPr>
            <w:pStyle w:val="Footer"/>
            <w:ind w:left="290"/>
          </w:pPr>
          <w:r w:rsidRPr="00A71D24">
            <w:t>GBP-IBAN:</w:t>
          </w:r>
        </w:p>
        <w:p w14:paraId="713B9117" w14:textId="77777777" w:rsidR="00C43CC6" w:rsidRPr="00A71D24" w:rsidRDefault="00C43CC6" w:rsidP="00A83A27">
          <w:pPr>
            <w:pStyle w:val="Footer"/>
            <w:ind w:left="290"/>
          </w:pPr>
          <w:r w:rsidRPr="00A71D24">
            <w:t>DE18 6005 0101 7482 1758 24</w:t>
          </w:r>
        </w:p>
        <w:p w14:paraId="153A1226" w14:textId="77777777" w:rsidR="00452D20" w:rsidRPr="00A83A27" w:rsidRDefault="00C43CC6" w:rsidP="00A83A27">
          <w:pPr>
            <w:pStyle w:val="Footer"/>
            <w:ind w:left="290"/>
            <w:rPr>
              <w:lang w:val="en-US"/>
            </w:rPr>
          </w:pPr>
          <w:r w:rsidRPr="00452D20">
            <w:t>BIC: SOLADEST600</w:t>
          </w:r>
        </w:p>
      </w:tc>
    </w:tr>
  </w:tbl>
  <w:p w14:paraId="2538DCB9" w14:textId="77777777" w:rsidR="00452D20" w:rsidRPr="00A83A27" w:rsidRDefault="00452D20" w:rsidP="00A83A2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1462" w14:textId="77777777" w:rsidR="00A17BB2" w:rsidRDefault="00A17BB2" w:rsidP="00BE515E">
      <w:pPr>
        <w:spacing w:line="240" w:lineRule="auto"/>
      </w:pPr>
      <w:r>
        <w:separator/>
      </w:r>
    </w:p>
  </w:footnote>
  <w:footnote w:type="continuationSeparator" w:id="0">
    <w:p w14:paraId="099EBF6B" w14:textId="77777777" w:rsidR="00A17BB2" w:rsidRDefault="00A17BB2" w:rsidP="00BE515E">
      <w:pPr>
        <w:spacing w:line="240" w:lineRule="auto"/>
      </w:pPr>
      <w:r>
        <w:continuationSeparator/>
      </w:r>
    </w:p>
  </w:footnote>
  <w:footnote w:type="continuationNotice" w:id="1">
    <w:p w14:paraId="7875BDE2" w14:textId="77777777" w:rsidR="00A17BB2" w:rsidRDefault="00A17B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6449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0" behindDoc="0" locked="0" layoutInCell="1" allowOverlap="1" wp14:anchorId="19FEDD99" wp14:editId="6187F30C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087823250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80D34" w14:textId="77777777" w:rsidR="00AD3CE4" w:rsidRDefault="00000000">
    <w:pPr>
      <w:jc w:val="right"/>
    </w:pPr>
    <w:r>
      <w:rPr>
        <w:color w:val="1F4E79"/>
        <w:sz w:val="16"/>
      </w:rPr>
      <w:t>&lt;KUNDE&gt; | Azure Landing Zone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DEBB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2" behindDoc="0" locked="0" layoutInCell="1" allowOverlap="1" wp14:anchorId="16D31E3A" wp14:editId="3C3B6239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58507894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F56"/>
    <w:multiLevelType w:val="hybridMultilevel"/>
    <w:tmpl w:val="A9942816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7DD"/>
    <w:multiLevelType w:val="hybridMultilevel"/>
    <w:tmpl w:val="0A7A4CC6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C67AE"/>
    <w:multiLevelType w:val="hybridMultilevel"/>
    <w:tmpl w:val="9EB89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F4E4B"/>
    <w:multiLevelType w:val="hybridMultilevel"/>
    <w:tmpl w:val="8B1897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37E2451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E290D"/>
    <w:multiLevelType w:val="hybridMultilevel"/>
    <w:tmpl w:val="39BC3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816B5"/>
    <w:multiLevelType w:val="multilevel"/>
    <w:tmpl w:val="12826F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A3106B9"/>
    <w:multiLevelType w:val="hybridMultilevel"/>
    <w:tmpl w:val="F566F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548E9"/>
    <w:multiLevelType w:val="hybridMultilevel"/>
    <w:tmpl w:val="09B48D0E"/>
    <w:lvl w:ilvl="0" w:tplc="DCE0FC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A2013"/>
    <w:multiLevelType w:val="hybridMultilevel"/>
    <w:tmpl w:val="7EB0CC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81C84"/>
    <w:multiLevelType w:val="hybridMultilevel"/>
    <w:tmpl w:val="42066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533BD"/>
    <w:multiLevelType w:val="hybridMultilevel"/>
    <w:tmpl w:val="3CD42178"/>
    <w:lvl w:ilvl="0" w:tplc="006CA9F8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978"/>
    <w:multiLevelType w:val="multilevel"/>
    <w:tmpl w:val="1C5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B725C"/>
    <w:multiLevelType w:val="hybridMultilevel"/>
    <w:tmpl w:val="F0CC57E0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289D4DFC"/>
    <w:multiLevelType w:val="hybridMultilevel"/>
    <w:tmpl w:val="DFFC7588"/>
    <w:lvl w:ilvl="0" w:tplc="55DE849A">
      <w:start w:val="1"/>
      <w:numFmt w:val="bullet"/>
      <w:pStyle w:val="BechtleAufzhlung"/>
      <w:lvlText w:val="l"/>
      <w:lvlJc w:val="left"/>
      <w:pPr>
        <w:tabs>
          <w:tab w:val="num" w:pos="-1074"/>
        </w:tabs>
        <w:ind w:left="-1074" w:hanging="360"/>
      </w:pPr>
      <w:rPr>
        <w:rFonts w:ascii="Arial" w:hAnsi="Arial" w:hint="default"/>
        <w:b w:val="0"/>
        <w:i w:val="0"/>
        <w:strike w:val="0"/>
        <w:dstrike w:val="0"/>
        <w:color w:val="969986"/>
        <w:w w:val="375"/>
        <w:sz w:val="16"/>
        <w:u w:color="969986"/>
      </w:rPr>
    </w:lvl>
    <w:lvl w:ilvl="1" w:tplc="52DE80BE">
      <w:start w:val="1"/>
      <w:numFmt w:val="bullet"/>
      <w:lvlText w:val="o"/>
      <w:lvlJc w:val="left"/>
      <w:pPr>
        <w:tabs>
          <w:tab w:val="num" w:pos="6"/>
        </w:tabs>
        <w:ind w:left="6" w:hanging="360"/>
      </w:pPr>
      <w:rPr>
        <w:rFonts w:ascii="Courier New" w:hAnsi="Courier New" w:cs="Courier New" w:hint="default"/>
      </w:rPr>
    </w:lvl>
    <w:lvl w:ilvl="2" w:tplc="5A1E8BA4" w:tentative="1">
      <w:start w:val="1"/>
      <w:numFmt w:val="bullet"/>
      <w:lvlText w:val=""/>
      <w:lvlJc w:val="left"/>
      <w:pPr>
        <w:tabs>
          <w:tab w:val="num" w:pos="726"/>
        </w:tabs>
        <w:ind w:left="726" w:hanging="360"/>
      </w:pPr>
      <w:rPr>
        <w:rFonts w:ascii="Wingdings" w:hAnsi="Wingdings" w:hint="default"/>
      </w:rPr>
    </w:lvl>
    <w:lvl w:ilvl="3" w:tplc="9642074A" w:tentative="1">
      <w:start w:val="1"/>
      <w:numFmt w:val="bullet"/>
      <w:lvlText w:val=""/>
      <w:lvlJc w:val="left"/>
      <w:pPr>
        <w:tabs>
          <w:tab w:val="num" w:pos="1446"/>
        </w:tabs>
        <w:ind w:left="1446" w:hanging="360"/>
      </w:pPr>
      <w:rPr>
        <w:rFonts w:ascii="Symbol" w:hAnsi="Symbol" w:hint="default"/>
      </w:rPr>
    </w:lvl>
    <w:lvl w:ilvl="4" w:tplc="DFDA3BF2" w:tentative="1">
      <w:start w:val="1"/>
      <w:numFmt w:val="bullet"/>
      <w:lvlText w:val="o"/>
      <w:lvlJc w:val="left"/>
      <w:pPr>
        <w:tabs>
          <w:tab w:val="num" w:pos="2166"/>
        </w:tabs>
        <w:ind w:left="2166" w:hanging="360"/>
      </w:pPr>
      <w:rPr>
        <w:rFonts w:ascii="Courier New" w:hAnsi="Courier New" w:cs="Courier New" w:hint="default"/>
      </w:rPr>
    </w:lvl>
    <w:lvl w:ilvl="5" w:tplc="0AAE3176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</w:rPr>
    </w:lvl>
    <w:lvl w:ilvl="6" w:tplc="C2EA3F48" w:tentative="1">
      <w:start w:val="1"/>
      <w:numFmt w:val="bullet"/>
      <w:lvlText w:val=""/>
      <w:lvlJc w:val="left"/>
      <w:pPr>
        <w:tabs>
          <w:tab w:val="num" w:pos="3606"/>
        </w:tabs>
        <w:ind w:left="3606" w:hanging="360"/>
      </w:pPr>
      <w:rPr>
        <w:rFonts w:ascii="Symbol" w:hAnsi="Symbol" w:hint="default"/>
      </w:rPr>
    </w:lvl>
    <w:lvl w:ilvl="7" w:tplc="FD646DF0" w:tentative="1">
      <w:start w:val="1"/>
      <w:numFmt w:val="bullet"/>
      <w:lvlText w:val="o"/>
      <w:lvlJc w:val="left"/>
      <w:pPr>
        <w:tabs>
          <w:tab w:val="num" w:pos="4326"/>
        </w:tabs>
        <w:ind w:left="4326" w:hanging="360"/>
      </w:pPr>
      <w:rPr>
        <w:rFonts w:ascii="Courier New" w:hAnsi="Courier New" w:cs="Courier New" w:hint="default"/>
      </w:rPr>
    </w:lvl>
    <w:lvl w:ilvl="8" w:tplc="2A347CDA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</w:rPr>
    </w:lvl>
  </w:abstractNum>
  <w:abstractNum w:abstractNumId="14" w15:restartNumberingAfterBreak="0">
    <w:nsid w:val="34C94AF9"/>
    <w:multiLevelType w:val="hybridMultilevel"/>
    <w:tmpl w:val="0EA2D1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A1ACB"/>
    <w:multiLevelType w:val="hybridMultilevel"/>
    <w:tmpl w:val="3C0C1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C3334"/>
    <w:multiLevelType w:val="multilevel"/>
    <w:tmpl w:val="2CB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B7CA0"/>
    <w:multiLevelType w:val="hybridMultilevel"/>
    <w:tmpl w:val="8F1A6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458E3"/>
    <w:multiLevelType w:val="hybridMultilevel"/>
    <w:tmpl w:val="96A010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E54B8"/>
    <w:multiLevelType w:val="hybridMultilevel"/>
    <w:tmpl w:val="D13A3E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C1346"/>
    <w:multiLevelType w:val="hybridMultilevel"/>
    <w:tmpl w:val="7FD48DA4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D56D4"/>
    <w:multiLevelType w:val="hybridMultilevel"/>
    <w:tmpl w:val="8DEAE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93C93"/>
    <w:multiLevelType w:val="hybridMultilevel"/>
    <w:tmpl w:val="30326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97E6B"/>
    <w:multiLevelType w:val="hybridMultilevel"/>
    <w:tmpl w:val="57B669C0"/>
    <w:lvl w:ilvl="0" w:tplc="CF2A0502"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C6670"/>
    <w:multiLevelType w:val="hybridMultilevel"/>
    <w:tmpl w:val="4B2E85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62A8C"/>
    <w:multiLevelType w:val="hybridMultilevel"/>
    <w:tmpl w:val="2ACC5CC2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0E3C57"/>
    <w:multiLevelType w:val="multilevel"/>
    <w:tmpl w:val="384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D4C30"/>
    <w:multiLevelType w:val="hybridMultilevel"/>
    <w:tmpl w:val="183061FE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233F0"/>
    <w:multiLevelType w:val="hybridMultilevel"/>
    <w:tmpl w:val="5A9CA052"/>
    <w:lvl w:ilvl="0" w:tplc="F27E7BB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7D6A5D"/>
    <w:multiLevelType w:val="hybridMultilevel"/>
    <w:tmpl w:val="7CB0F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7427D"/>
    <w:multiLevelType w:val="hybridMultilevel"/>
    <w:tmpl w:val="E112345A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1" w15:restartNumberingAfterBreak="0">
    <w:nsid w:val="611A5CCD"/>
    <w:multiLevelType w:val="hybridMultilevel"/>
    <w:tmpl w:val="250820EC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B365F"/>
    <w:multiLevelType w:val="multilevel"/>
    <w:tmpl w:val="416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D6F6E"/>
    <w:multiLevelType w:val="hybridMultilevel"/>
    <w:tmpl w:val="C1463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F2323"/>
    <w:multiLevelType w:val="multilevel"/>
    <w:tmpl w:val="73F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26D79"/>
    <w:multiLevelType w:val="multilevel"/>
    <w:tmpl w:val="FFA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C3D98"/>
    <w:multiLevelType w:val="hybridMultilevel"/>
    <w:tmpl w:val="4FB65BFA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E140B"/>
    <w:multiLevelType w:val="hybridMultilevel"/>
    <w:tmpl w:val="51EC3AFA"/>
    <w:lvl w:ilvl="0" w:tplc="BC5241B4">
      <w:start w:val="10"/>
      <w:numFmt w:val="bullet"/>
      <w:lvlText w:val="-"/>
      <w:lvlJc w:val="left"/>
      <w:pPr>
        <w:ind w:left="144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4825F60"/>
    <w:multiLevelType w:val="hybridMultilevel"/>
    <w:tmpl w:val="6E60E450"/>
    <w:lvl w:ilvl="0" w:tplc="B9E28B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50ECA"/>
    <w:multiLevelType w:val="multilevel"/>
    <w:tmpl w:val="344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D6107"/>
    <w:multiLevelType w:val="hybridMultilevel"/>
    <w:tmpl w:val="2EE6888A"/>
    <w:lvl w:ilvl="0" w:tplc="9CCA74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1A94D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F00F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2A53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B255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64C6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E4F4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5C9F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725E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55089"/>
    <w:multiLevelType w:val="multilevel"/>
    <w:tmpl w:val="AA2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66971"/>
    <w:multiLevelType w:val="hybridMultilevel"/>
    <w:tmpl w:val="8E7220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D69F4"/>
    <w:multiLevelType w:val="multilevel"/>
    <w:tmpl w:val="EA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463815">
    <w:abstractNumId w:val="13"/>
  </w:num>
  <w:num w:numId="2" w16cid:durableId="1050961115">
    <w:abstractNumId w:val="35"/>
  </w:num>
  <w:num w:numId="3" w16cid:durableId="578055728">
    <w:abstractNumId w:val="40"/>
  </w:num>
  <w:num w:numId="4" w16cid:durableId="1605263834">
    <w:abstractNumId w:val="18"/>
  </w:num>
  <w:num w:numId="5" w16cid:durableId="1338121901">
    <w:abstractNumId w:val="3"/>
  </w:num>
  <w:num w:numId="6" w16cid:durableId="438792268">
    <w:abstractNumId w:val="38"/>
  </w:num>
  <w:num w:numId="7" w16cid:durableId="1119563574">
    <w:abstractNumId w:val="28"/>
  </w:num>
  <w:num w:numId="8" w16cid:durableId="1724405076">
    <w:abstractNumId w:val="15"/>
  </w:num>
  <w:num w:numId="9" w16cid:durableId="1879858878">
    <w:abstractNumId w:val="33"/>
  </w:num>
  <w:num w:numId="10" w16cid:durableId="1589539632">
    <w:abstractNumId w:val="22"/>
  </w:num>
  <w:num w:numId="11" w16cid:durableId="68813447">
    <w:abstractNumId w:val="5"/>
  </w:num>
  <w:num w:numId="12" w16cid:durableId="1080369415">
    <w:abstractNumId w:val="24"/>
  </w:num>
  <w:num w:numId="13" w16cid:durableId="6953740">
    <w:abstractNumId w:val="31"/>
  </w:num>
  <w:num w:numId="14" w16cid:durableId="217127353">
    <w:abstractNumId w:val="1"/>
  </w:num>
  <w:num w:numId="15" w16cid:durableId="9189716">
    <w:abstractNumId w:val="8"/>
  </w:num>
  <w:num w:numId="16" w16cid:durableId="340857928">
    <w:abstractNumId w:val="25"/>
  </w:num>
  <w:num w:numId="17" w16cid:durableId="1947039240">
    <w:abstractNumId w:val="29"/>
  </w:num>
  <w:num w:numId="18" w16cid:durableId="624044543">
    <w:abstractNumId w:val="21"/>
  </w:num>
  <w:num w:numId="19" w16cid:durableId="1248418869">
    <w:abstractNumId w:val="14"/>
  </w:num>
  <w:num w:numId="20" w16cid:durableId="1447505779">
    <w:abstractNumId w:val="2"/>
  </w:num>
  <w:num w:numId="21" w16cid:durableId="1994792601">
    <w:abstractNumId w:val="4"/>
  </w:num>
  <w:num w:numId="22" w16cid:durableId="1099790218">
    <w:abstractNumId w:val="19"/>
  </w:num>
  <w:num w:numId="23" w16cid:durableId="1128161240">
    <w:abstractNumId w:val="9"/>
  </w:num>
  <w:num w:numId="24" w16cid:durableId="1811239551">
    <w:abstractNumId w:val="0"/>
  </w:num>
  <w:num w:numId="25" w16cid:durableId="409934079">
    <w:abstractNumId w:val="12"/>
  </w:num>
  <w:num w:numId="26" w16cid:durableId="172843416">
    <w:abstractNumId w:val="30"/>
  </w:num>
  <w:num w:numId="27" w16cid:durableId="407849150">
    <w:abstractNumId w:val="43"/>
  </w:num>
  <w:num w:numId="28" w16cid:durableId="867377857">
    <w:abstractNumId w:val="36"/>
  </w:num>
  <w:num w:numId="29" w16cid:durableId="995647633">
    <w:abstractNumId w:val="37"/>
  </w:num>
  <w:num w:numId="30" w16cid:durableId="405224752">
    <w:abstractNumId w:val="6"/>
  </w:num>
  <w:num w:numId="31" w16cid:durableId="212425702">
    <w:abstractNumId w:val="17"/>
  </w:num>
  <w:num w:numId="32" w16cid:durableId="154105692">
    <w:abstractNumId w:val="23"/>
  </w:num>
  <w:num w:numId="33" w16cid:durableId="1839341032">
    <w:abstractNumId w:val="10"/>
  </w:num>
  <w:num w:numId="34" w16cid:durableId="1185484918">
    <w:abstractNumId w:val="20"/>
  </w:num>
  <w:num w:numId="35" w16cid:durableId="2116245098">
    <w:abstractNumId w:val="11"/>
  </w:num>
  <w:num w:numId="36" w16cid:durableId="653484254">
    <w:abstractNumId w:val="34"/>
  </w:num>
  <w:num w:numId="37" w16cid:durableId="713042507">
    <w:abstractNumId w:val="41"/>
  </w:num>
  <w:num w:numId="38" w16cid:durableId="451048975">
    <w:abstractNumId w:val="32"/>
  </w:num>
  <w:num w:numId="39" w16cid:durableId="2137483614">
    <w:abstractNumId w:val="39"/>
  </w:num>
  <w:num w:numId="40" w16cid:durableId="1108625848">
    <w:abstractNumId w:val="16"/>
  </w:num>
  <w:num w:numId="41" w16cid:durableId="2110813966">
    <w:abstractNumId w:val="26"/>
  </w:num>
  <w:num w:numId="42" w16cid:durableId="513226841">
    <w:abstractNumId w:val="5"/>
  </w:num>
  <w:num w:numId="43" w16cid:durableId="999113663">
    <w:abstractNumId w:val="5"/>
  </w:num>
  <w:num w:numId="44" w16cid:durableId="1671905021">
    <w:abstractNumId w:val="5"/>
  </w:num>
  <w:num w:numId="45" w16cid:durableId="1332833039">
    <w:abstractNumId w:val="5"/>
  </w:num>
  <w:num w:numId="46" w16cid:durableId="1180313990">
    <w:abstractNumId w:val="42"/>
  </w:num>
  <w:num w:numId="47" w16cid:durableId="1339235247">
    <w:abstractNumId w:val="27"/>
  </w:num>
  <w:num w:numId="48" w16cid:durableId="172578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BE"/>
    <w:rsid w:val="00000092"/>
    <w:rsid w:val="00000F19"/>
    <w:rsid w:val="00000F3E"/>
    <w:rsid w:val="0000129A"/>
    <w:rsid w:val="00001A6D"/>
    <w:rsid w:val="0000265F"/>
    <w:rsid w:val="00002918"/>
    <w:rsid w:val="00002B37"/>
    <w:rsid w:val="00003F31"/>
    <w:rsid w:val="0000461A"/>
    <w:rsid w:val="00010B76"/>
    <w:rsid w:val="00011996"/>
    <w:rsid w:val="00011CC7"/>
    <w:rsid w:val="00012C73"/>
    <w:rsid w:val="00013B80"/>
    <w:rsid w:val="00013BC0"/>
    <w:rsid w:val="00013D55"/>
    <w:rsid w:val="0001453A"/>
    <w:rsid w:val="000147F4"/>
    <w:rsid w:val="00015668"/>
    <w:rsid w:val="00017C81"/>
    <w:rsid w:val="00023C9D"/>
    <w:rsid w:val="00025824"/>
    <w:rsid w:val="00025C38"/>
    <w:rsid w:val="000269DC"/>
    <w:rsid w:val="00026F20"/>
    <w:rsid w:val="00027999"/>
    <w:rsid w:val="0003068C"/>
    <w:rsid w:val="00031661"/>
    <w:rsid w:val="00031E0F"/>
    <w:rsid w:val="0003216C"/>
    <w:rsid w:val="00033370"/>
    <w:rsid w:val="0003428D"/>
    <w:rsid w:val="00035AFD"/>
    <w:rsid w:val="00036170"/>
    <w:rsid w:val="00037322"/>
    <w:rsid w:val="00040B74"/>
    <w:rsid w:val="0004104F"/>
    <w:rsid w:val="000417F5"/>
    <w:rsid w:val="000427F7"/>
    <w:rsid w:val="000434D5"/>
    <w:rsid w:val="00044704"/>
    <w:rsid w:val="00045B09"/>
    <w:rsid w:val="00046AE0"/>
    <w:rsid w:val="00050587"/>
    <w:rsid w:val="000508C1"/>
    <w:rsid w:val="00054029"/>
    <w:rsid w:val="0005574B"/>
    <w:rsid w:val="00056392"/>
    <w:rsid w:val="00056BFA"/>
    <w:rsid w:val="00056E1F"/>
    <w:rsid w:val="00057550"/>
    <w:rsid w:val="0005792E"/>
    <w:rsid w:val="00062715"/>
    <w:rsid w:val="00062A99"/>
    <w:rsid w:val="00063336"/>
    <w:rsid w:val="000646F0"/>
    <w:rsid w:val="00064968"/>
    <w:rsid w:val="0006546E"/>
    <w:rsid w:val="000675AB"/>
    <w:rsid w:val="000715D2"/>
    <w:rsid w:val="0007169B"/>
    <w:rsid w:val="00071DB8"/>
    <w:rsid w:val="000726B4"/>
    <w:rsid w:val="00072973"/>
    <w:rsid w:val="00073150"/>
    <w:rsid w:val="00073C44"/>
    <w:rsid w:val="00074565"/>
    <w:rsid w:val="00075287"/>
    <w:rsid w:val="00077240"/>
    <w:rsid w:val="00077B0C"/>
    <w:rsid w:val="00077B8A"/>
    <w:rsid w:val="00077C7D"/>
    <w:rsid w:val="0008056F"/>
    <w:rsid w:val="0008094E"/>
    <w:rsid w:val="00080DA3"/>
    <w:rsid w:val="00084088"/>
    <w:rsid w:val="00084932"/>
    <w:rsid w:val="00085099"/>
    <w:rsid w:val="000855EF"/>
    <w:rsid w:val="00085E90"/>
    <w:rsid w:val="0008733F"/>
    <w:rsid w:val="00087567"/>
    <w:rsid w:val="000876FA"/>
    <w:rsid w:val="000902A3"/>
    <w:rsid w:val="00090886"/>
    <w:rsid w:val="00093A79"/>
    <w:rsid w:val="00093BC4"/>
    <w:rsid w:val="00093FFC"/>
    <w:rsid w:val="00094A3B"/>
    <w:rsid w:val="00094D8A"/>
    <w:rsid w:val="0009518D"/>
    <w:rsid w:val="00095D54"/>
    <w:rsid w:val="00097662"/>
    <w:rsid w:val="000A0FCF"/>
    <w:rsid w:val="000A1037"/>
    <w:rsid w:val="000A1B4E"/>
    <w:rsid w:val="000A1EFC"/>
    <w:rsid w:val="000A2265"/>
    <w:rsid w:val="000A25DD"/>
    <w:rsid w:val="000A26A3"/>
    <w:rsid w:val="000A2ED3"/>
    <w:rsid w:val="000A3899"/>
    <w:rsid w:val="000A3EA8"/>
    <w:rsid w:val="000A409D"/>
    <w:rsid w:val="000A43CD"/>
    <w:rsid w:val="000A4811"/>
    <w:rsid w:val="000A63E5"/>
    <w:rsid w:val="000A67FA"/>
    <w:rsid w:val="000A753B"/>
    <w:rsid w:val="000B076A"/>
    <w:rsid w:val="000B0CDA"/>
    <w:rsid w:val="000B0E75"/>
    <w:rsid w:val="000B2211"/>
    <w:rsid w:val="000B3439"/>
    <w:rsid w:val="000B3A2B"/>
    <w:rsid w:val="000B3CC5"/>
    <w:rsid w:val="000B4C47"/>
    <w:rsid w:val="000B533B"/>
    <w:rsid w:val="000B5942"/>
    <w:rsid w:val="000B7B38"/>
    <w:rsid w:val="000C0423"/>
    <w:rsid w:val="000C053E"/>
    <w:rsid w:val="000C0C59"/>
    <w:rsid w:val="000C0FF8"/>
    <w:rsid w:val="000C21DE"/>
    <w:rsid w:val="000C298F"/>
    <w:rsid w:val="000C301F"/>
    <w:rsid w:val="000C590D"/>
    <w:rsid w:val="000C5BFF"/>
    <w:rsid w:val="000C6149"/>
    <w:rsid w:val="000C6C51"/>
    <w:rsid w:val="000C73BB"/>
    <w:rsid w:val="000C75D3"/>
    <w:rsid w:val="000C7E72"/>
    <w:rsid w:val="000D1354"/>
    <w:rsid w:val="000D1510"/>
    <w:rsid w:val="000D226A"/>
    <w:rsid w:val="000D28D7"/>
    <w:rsid w:val="000D3140"/>
    <w:rsid w:val="000D332D"/>
    <w:rsid w:val="000D36DC"/>
    <w:rsid w:val="000D3F16"/>
    <w:rsid w:val="000D3FD2"/>
    <w:rsid w:val="000D4D72"/>
    <w:rsid w:val="000D5F1C"/>
    <w:rsid w:val="000D6EAF"/>
    <w:rsid w:val="000E0C84"/>
    <w:rsid w:val="000E107A"/>
    <w:rsid w:val="000E1CD4"/>
    <w:rsid w:val="000E2A75"/>
    <w:rsid w:val="000E5004"/>
    <w:rsid w:val="000E5EF9"/>
    <w:rsid w:val="000E6A0B"/>
    <w:rsid w:val="000E74A5"/>
    <w:rsid w:val="000E7A69"/>
    <w:rsid w:val="000E7DEC"/>
    <w:rsid w:val="000F091B"/>
    <w:rsid w:val="000F0B74"/>
    <w:rsid w:val="000F1C11"/>
    <w:rsid w:val="000F1E52"/>
    <w:rsid w:val="000F1EC9"/>
    <w:rsid w:val="000F1F57"/>
    <w:rsid w:val="000F39B8"/>
    <w:rsid w:val="000F3ADF"/>
    <w:rsid w:val="000F4DB2"/>
    <w:rsid w:val="000F7A32"/>
    <w:rsid w:val="001006FE"/>
    <w:rsid w:val="00100708"/>
    <w:rsid w:val="001009D5"/>
    <w:rsid w:val="00100DA9"/>
    <w:rsid w:val="001014A4"/>
    <w:rsid w:val="0010151A"/>
    <w:rsid w:val="0010157D"/>
    <w:rsid w:val="0010192D"/>
    <w:rsid w:val="00101A1B"/>
    <w:rsid w:val="00102A9C"/>
    <w:rsid w:val="0010339E"/>
    <w:rsid w:val="0010371D"/>
    <w:rsid w:val="00103BC4"/>
    <w:rsid w:val="00103CE9"/>
    <w:rsid w:val="00104920"/>
    <w:rsid w:val="00104E7F"/>
    <w:rsid w:val="001061C7"/>
    <w:rsid w:val="00106AEC"/>
    <w:rsid w:val="00107C7B"/>
    <w:rsid w:val="0011065C"/>
    <w:rsid w:val="00110A58"/>
    <w:rsid w:val="0011146C"/>
    <w:rsid w:val="00111783"/>
    <w:rsid w:val="00113A6F"/>
    <w:rsid w:val="0011445B"/>
    <w:rsid w:val="00115459"/>
    <w:rsid w:val="00115564"/>
    <w:rsid w:val="0011723A"/>
    <w:rsid w:val="00117446"/>
    <w:rsid w:val="00120345"/>
    <w:rsid w:val="00120463"/>
    <w:rsid w:val="00122DFE"/>
    <w:rsid w:val="00124C23"/>
    <w:rsid w:val="00125970"/>
    <w:rsid w:val="00126586"/>
    <w:rsid w:val="00126705"/>
    <w:rsid w:val="00127184"/>
    <w:rsid w:val="00130753"/>
    <w:rsid w:val="001315C6"/>
    <w:rsid w:val="00131956"/>
    <w:rsid w:val="00131F25"/>
    <w:rsid w:val="00132089"/>
    <w:rsid w:val="0013245C"/>
    <w:rsid w:val="00132B15"/>
    <w:rsid w:val="00132B1A"/>
    <w:rsid w:val="001334D2"/>
    <w:rsid w:val="00134195"/>
    <w:rsid w:val="00134274"/>
    <w:rsid w:val="00134A5B"/>
    <w:rsid w:val="0013711C"/>
    <w:rsid w:val="001376C9"/>
    <w:rsid w:val="00140104"/>
    <w:rsid w:val="00142477"/>
    <w:rsid w:val="0014326C"/>
    <w:rsid w:val="00143818"/>
    <w:rsid w:val="00143E91"/>
    <w:rsid w:val="0014550C"/>
    <w:rsid w:val="00146443"/>
    <w:rsid w:val="00147B4D"/>
    <w:rsid w:val="00147F69"/>
    <w:rsid w:val="00151732"/>
    <w:rsid w:val="0015262E"/>
    <w:rsid w:val="00152A73"/>
    <w:rsid w:val="00154A0A"/>
    <w:rsid w:val="00155F95"/>
    <w:rsid w:val="001565A5"/>
    <w:rsid w:val="0015692E"/>
    <w:rsid w:val="00157551"/>
    <w:rsid w:val="00157C11"/>
    <w:rsid w:val="0016006E"/>
    <w:rsid w:val="00161206"/>
    <w:rsid w:val="001618CF"/>
    <w:rsid w:val="001625A1"/>
    <w:rsid w:val="00166D07"/>
    <w:rsid w:val="00171EDB"/>
    <w:rsid w:val="00172421"/>
    <w:rsid w:val="00172CAF"/>
    <w:rsid w:val="00174407"/>
    <w:rsid w:val="00175177"/>
    <w:rsid w:val="001761A3"/>
    <w:rsid w:val="00176BA0"/>
    <w:rsid w:val="001772B2"/>
    <w:rsid w:val="0018069B"/>
    <w:rsid w:val="00181AA6"/>
    <w:rsid w:val="00181F8B"/>
    <w:rsid w:val="0018277D"/>
    <w:rsid w:val="001836CF"/>
    <w:rsid w:val="0018547E"/>
    <w:rsid w:val="00187D0C"/>
    <w:rsid w:val="00190EC7"/>
    <w:rsid w:val="0019163E"/>
    <w:rsid w:val="00191643"/>
    <w:rsid w:val="00191CDD"/>
    <w:rsid w:val="00192553"/>
    <w:rsid w:val="00193029"/>
    <w:rsid w:val="001930AF"/>
    <w:rsid w:val="0019412F"/>
    <w:rsid w:val="00194EF6"/>
    <w:rsid w:val="00195F10"/>
    <w:rsid w:val="001A45E1"/>
    <w:rsid w:val="001A5C7A"/>
    <w:rsid w:val="001A62BA"/>
    <w:rsid w:val="001B01D4"/>
    <w:rsid w:val="001B1F4F"/>
    <w:rsid w:val="001B28CD"/>
    <w:rsid w:val="001B39CC"/>
    <w:rsid w:val="001B3AFC"/>
    <w:rsid w:val="001B3EA9"/>
    <w:rsid w:val="001B437A"/>
    <w:rsid w:val="001B56D3"/>
    <w:rsid w:val="001B590C"/>
    <w:rsid w:val="001B5BBD"/>
    <w:rsid w:val="001B77AD"/>
    <w:rsid w:val="001C005B"/>
    <w:rsid w:val="001C1448"/>
    <w:rsid w:val="001C1BAC"/>
    <w:rsid w:val="001C2CD9"/>
    <w:rsid w:val="001C2F68"/>
    <w:rsid w:val="001C3B70"/>
    <w:rsid w:val="001C3CD8"/>
    <w:rsid w:val="001C4C55"/>
    <w:rsid w:val="001C6245"/>
    <w:rsid w:val="001C6249"/>
    <w:rsid w:val="001C6D90"/>
    <w:rsid w:val="001C73F6"/>
    <w:rsid w:val="001C7737"/>
    <w:rsid w:val="001D0858"/>
    <w:rsid w:val="001D0F3B"/>
    <w:rsid w:val="001D0F62"/>
    <w:rsid w:val="001D2D4F"/>
    <w:rsid w:val="001D2D73"/>
    <w:rsid w:val="001D3040"/>
    <w:rsid w:val="001D3118"/>
    <w:rsid w:val="001D326C"/>
    <w:rsid w:val="001D3B15"/>
    <w:rsid w:val="001D3BC7"/>
    <w:rsid w:val="001D40B7"/>
    <w:rsid w:val="001D49B7"/>
    <w:rsid w:val="001D63A5"/>
    <w:rsid w:val="001D63B5"/>
    <w:rsid w:val="001D6DAE"/>
    <w:rsid w:val="001D726F"/>
    <w:rsid w:val="001D7594"/>
    <w:rsid w:val="001D7E72"/>
    <w:rsid w:val="001E0BB5"/>
    <w:rsid w:val="001E18F9"/>
    <w:rsid w:val="001E1A69"/>
    <w:rsid w:val="001E3A6B"/>
    <w:rsid w:val="001E479E"/>
    <w:rsid w:val="001E51CA"/>
    <w:rsid w:val="001E6C2A"/>
    <w:rsid w:val="001F00CD"/>
    <w:rsid w:val="001F144B"/>
    <w:rsid w:val="001F1AF6"/>
    <w:rsid w:val="001F3E50"/>
    <w:rsid w:val="001F5DC9"/>
    <w:rsid w:val="001F68FD"/>
    <w:rsid w:val="001F6CC3"/>
    <w:rsid w:val="00200A1B"/>
    <w:rsid w:val="0020167A"/>
    <w:rsid w:val="00201713"/>
    <w:rsid w:val="002020C0"/>
    <w:rsid w:val="0020453F"/>
    <w:rsid w:val="00204BC8"/>
    <w:rsid w:val="0020523F"/>
    <w:rsid w:val="00205859"/>
    <w:rsid w:val="00206350"/>
    <w:rsid w:val="00206536"/>
    <w:rsid w:val="00206648"/>
    <w:rsid w:val="00213203"/>
    <w:rsid w:val="002137DE"/>
    <w:rsid w:val="0021497C"/>
    <w:rsid w:val="002150AE"/>
    <w:rsid w:val="002152F9"/>
    <w:rsid w:val="002178C9"/>
    <w:rsid w:val="00220787"/>
    <w:rsid w:val="00224DEF"/>
    <w:rsid w:val="00225ACC"/>
    <w:rsid w:val="00226B93"/>
    <w:rsid w:val="002307C4"/>
    <w:rsid w:val="00230BC3"/>
    <w:rsid w:val="00230D5B"/>
    <w:rsid w:val="00231008"/>
    <w:rsid w:val="002328EC"/>
    <w:rsid w:val="002336B0"/>
    <w:rsid w:val="00234128"/>
    <w:rsid w:val="0023429C"/>
    <w:rsid w:val="002344A0"/>
    <w:rsid w:val="00236C5B"/>
    <w:rsid w:val="0024034F"/>
    <w:rsid w:val="00241134"/>
    <w:rsid w:val="0024130A"/>
    <w:rsid w:val="0024171B"/>
    <w:rsid w:val="00241BEC"/>
    <w:rsid w:val="0024269F"/>
    <w:rsid w:val="00245336"/>
    <w:rsid w:val="00245811"/>
    <w:rsid w:val="00246217"/>
    <w:rsid w:val="00246925"/>
    <w:rsid w:val="00246C7A"/>
    <w:rsid w:val="002477DC"/>
    <w:rsid w:val="00250DE3"/>
    <w:rsid w:val="002516D2"/>
    <w:rsid w:val="00253C5C"/>
    <w:rsid w:val="00255ACC"/>
    <w:rsid w:val="0025632B"/>
    <w:rsid w:val="00256C79"/>
    <w:rsid w:val="002603A0"/>
    <w:rsid w:val="00261FED"/>
    <w:rsid w:val="00262646"/>
    <w:rsid w:val="00262CBB"/>
    <w:rsid w:val="0026426F"/>
    <w:rsid w:val="0026445D"/>
    <w:rsid w:val="00265B4A"/>
    <w:rsid w:val="002668C4"/>
    <w:rsid w:val="002673A6"/>
    <w:rsid w:val="00267C94"/>
    <w:rsid w:val="00270DAC"/>
    <w:rsid w:val="002713E7"/>
    <w:rsid w:val="00271BD9"/>
    <w:rsid w:val="00272050"/>
    <w:rsid w:val="00274A79"/>
    <w:rsid w:val="002750AF"/>
    <w:rsid w:val="00275155"/>
    <w:rsid w:val="00275CB8"/>
    <w:rsid w:val="00276EA6"/>
    <w:rsid w:val="00277AE2"/>
    <w:rsid w:val="00281366"/>
    <w:rsid w:val="002835C0"/>
    <w:rsid w:val="00283D22"/>
    <w:rsid w:val="00284A5A"/>
    <w:rsid w:val="00286949"/>
    <w:rsid w:val="00286C5E"/>
    <w:rsid w:val="00287B69"/>
    <w:rsid w:val="0029075B"/>
    <w:rsid w:val="002908F5"/>
    <w:rsid w:val="0029205E"/>
    <w:rsid w:val="00292B96"/>
    <w:rsid w:val="00292CBB"/>
    <w:rsid w:val="0029341E"/>
    <w:rsid w:val="00294C33"/>
    <w:rsid w:val="0029578F"/>
    <w:rsid w:val="00295C31"/>
    <w:rsid w:val="00296F22"/>
    <w:rsid w:val="00297D8C"/>
    <w:rsid w:val="002A303B"/>
    <w:rsid w:val="002A3FF2"/>
    <w:rsid w:val="002A4EAC"/>
    <w:rsid w:val="002A51CC"/>
    <w:rsid w:val="002A5B82"/>
    <w:rsid w:val="002A5C60"/>
    <w:rsid w:val="002A6821"/>
    <w:rsid w:val="002A6939"/>
    <w:rsid w:val="002A69BD"/>
    <w:rsid w:val="002A71B4"/>
    <w:rsid w:val="002A73A2"/>
    <w:rsid w:val="002A7591"/>
    <w:rsid w:val="002B0653"/>
    <w:rsid w:val="002B0F86"/>
    <w:rsid w:val="002B1B50"/>
    <w:rsid w:val="002B1BDE"/>
    <w:rsid w:val="002B1FC3"/>
    <w:rsid w:val="002B2EA3"/>
    <w:rsid w:val="002B39D7"/>
    <w:rsid w:val="002B4DE2"/>
    <w:rsid w:val="002B5163"/>
    <w:rsid w:val="002B673C"/>
    <w:rsid w:val="002B7CAE"/>
    <w:rsid w:val="002C0F36"/>
    <w:rsid w:val="002C11FB"/>
    <w:rsid w:val="002C23E2"/>
    <w:rsid w:val="002C2BA1"/>
    <w:rsid w:val="002C3A88"/>
    <w:rsid w:val="002C5319"/>
    <w:rsid w:val="002C55F7"/>
    <w:rsid w:val="002C5BF3"/>
    <w:rsid w:val="002D01CC"/>
    <w:rsid w:val="002D11B3"/>
    <w:rsid w:val="002D1497"/>
    <w:rsid w:val="002D27A7"/>
    <w:rsid w:val="002D3EAB"/>
    <w:rsid w:val="002D6430"/>
    <w:rsid w:val="002D6BD4"/>
    <w:rsid w:val="002E1403"/>
    <w:rsid w:val="002E371A"/>
    <w:rsid w:val="002E378D"/>
    <w:rsid w:val="002E3A30"/>
    <w:rsid w:val="002E3B88"/>
    <w:rsid w:val="002E454A"/>
    <w:rsid w:val="002E489B"/>
    <w:rsid w:val="002E55D0"/>
    <w:rsid w:val="002E5963"/>
    <w:rsid w:val="002E6B5D"/>
    <w:rsid w:val="002E7322"/>
    <w:rsid w:val="002F114D"/>
    <w:rsid w:val="002F145F"/>
    <w:rsid w:val="002F203B"/>
    <w:rsid w:val="002F32C2"/>
    <w:rsid w:val="002F424D"/>
    <w:rsid w:val="002F455C"/>
    <w:rsid w:val="002F4E90"/>
    <w:rsid w:val="002F536C"/>
    <w:rsid w:val="002F55A0"/>
    <w:rsid w:val="002F62F5"/>
    <w:rsid w:val="002F654C"/>
    <w:rsid w:val="002F6AAB"/>
    <w:rsid w:val="002F7916"/>
    <w:rsid w:val="002F7EF7"/>
    <w:rsid w:val="002F7F1F"/>
    <w:rsid w:val="00301C48"/>
    <w:rsid w:val="00303BD4"/>
    <w:rsid w:val="00303D5F"/>
    <w:rsid w:val="00304689"/>
    <w:rsid w:val="0030477B"/>
    <w:rsid w:val="003064DF"/>
    <w:rsid w:val="00307FE6"/>
    <w:rsid w:val="00310E31"/>
    <w:rsid w:val="00310FE2"/>
    <w:rsid w:val="0031103B"/>
    <w:rsid w:val="00312628"/>
    <w:rsid w:val="00312768"/>
    <w:rsid w:val="00313736"/>
    <w:rsid w:val="00313CA2"/>
    <w:rsid w:val="003140B7"/>
    <w:rsid w:val="00315A61"/>
    <w:rsid w:val="00315CB6"/>
    <w:rsid w:val="00316955"/>
    <w:rsid w:val="003177DE"/>
    <w:rsid w:val="00317CC9"/>
    <w:rsid w:val="00320706"/>
    <w:rsid w:val="00322C59"/>
    <w:rsid w:val="00323E8A"/>
    <w:rsid w:val="00324338"/>
    <w:rsid w:val="0032488F"/>
    <w:rsid w:val="00324C2E"/>
    <w:rsid w:val="00325ACE"/>
    <w:rsid w:val="00325D8E"/>
    <w:rsid w:val="003266DD"/>
    <w:rsid w:val="00326E12"/>
    <w:rsid w:val="00327327"/>
    <w:rsid w:val="003273DB"/>
    <w:rsid w:val="00327910"/>
    <w:rsid w:val="00330DD1"/>
    <w:rsid w:val="00333D18"/>
    <w:rsid w:val="00333EE7"/>
    <w:rsid w:val="00334027"/>
    <w:rsid w:val="003345F3"/>
    <w:rsid w:val="00334B62"/>
    <w:rsid w:val="00335A2F"/>
    <w:rsid w:val="0033758C"/>
    <w:rsid w:val="00337E36"/>
    <w:rsid w:val="003403B1"/>
    <w:rsid w:val="0034050F"/>
    <w:rsid w:val="00340AA4"/>
    <w:rsid w:val="00340BCF"/>
    <w:rsid w:val="003427D3"/>
    <w:rsid w:val="00342B7D"/>
    <w:rsid w:val="00342F70"/>
    <w:rsid w:val="0034314B"/>
    <w:rsid w:val="003434E7"/>
    <w:rsid w:val="00343D6C"/>
    <w:rsid w:val="00344A9B"/>
    <w:rsid w:val="00344C5B"/>
    <w:rsid w:val="00345E89"/>
    <w:rsid w:val="0035036F"/>
    <w:rsid w:val="003510AB"/>
    <w:rsid w:val="003518DC"/>
    <w:rsid w:val="00352019"/>
    <w:rsid w:val="00352DAC"/>
    <w:rsid w:val="003550C2"/>
    <w:rsid w:val="003601F0"/>
    <w:rsid w:val="00360A5B"/>
    <w:rsid w:val="0036161D"/>
    <w:rsid w:val="003617CD"/>
    <w:rsid w:val="003638FB"/>
    <w:rsid w:val="0036402F"/>
    <w:rsid w:val="00364299"/>
    <w:rsid w:val="00364A08"/>
    <w:rsid w:val="00364DD7"/>
    <w:rsid w:val="003655D2"/>
    <w:rsid w:val="00365B98"/>
    <w:rsid w:val="00366689"/>
    <w:rsid w:val="00373110"/>
    <w:rsid w:val="00373568"/>
    <w:rsid w:val="0037399D"/>
    <w:rsid w:val="00373E8B"/>
    <w:rsid w:val="00373FDE"/>
    <w:rsid w:val="003744BB"/>
    <w:rsid w:val="00375383"/>
    <w:rsid w:val="0037652C"/>
    <w:rsid w:val="00376BFF"/>
    <w:rsid w:val="00380D69"/>
    <w:rsid w:val="0038145B"/>
    <w:rsid w:val="0038239B"/>
    <w:rsid w:val="00383DAF"/>
    <w:rsid w:val="00384A1B"/>
    <w:rsid w:val="00385156"/>
    <w:rsid w:val="00385C1A"/>
    <w:rsid w:val="003862AA"/>
    <w:rsid w:val="003864D2"/>
    <w:rsid w:val="0038703B"/>
    <w:rsid w:val="00390827"/>
    <w:rsid w:val="003908BD"/>
    <w:rsid w:val="00390BA8"/>
    <w:rsid w:val="00390BEE"/>
    <w:rsid w:val="00390D19"/>
    <w:rsid w:val="00391009"/>
    <w:rsid w:val="003937B9"/>
    <w:rsid w:val="00394590"/>
    <w:rsid w:val="00395300"/>
    <w:rsid w:val="003956B6"/>
    <w:rsid w:val="00395B33"/>
    <w:rsid w:val="003977BA"/>
    <w:rsid w:val="003A0128"/>
    <w:rsid w:val="003A02FF"/>
    <w:rsid w:val="003A070F"/>
    <w:rsid w:val="003A0F38"/>
    <w:rsid w:val="003A2129"/>
    <w:rsid w:val="003A246F"/>
    <w:rsid w:val="003A3145"/>
    <w:rsid w:val="003A36E0"/>
    <w:rsid w:val="003A3B25"/>
    <w:rsid w:val="003A3CC4"/>
    <w:rsid w:val="003A3D35"/>
    <w:rsid w:val="003A402A"/>
    <w:rsid w:val="003A44A8"/>
    <w:rsid w:val="003A481B"/>
    <w:rsid w:val="003A598C"/>
    <w:rsid w:val="003A68BE"/>
    <w:rsid w:val="003A6B21"/>
    <w:rsid w:val="003A73E9"/>
    <w:rsid w:val="003A7CBB"/>
    <w:rsid w:val="003B0F60"/>
    <w:rsid w:val="003B2A35"/>
    <w:rsid w:val="003B403B"/>
    <w:rsid w:val="003B5740"/>
    <w:rsid w:val="003B5A47"/>
    <w:rsid w:val="003B5EC5"/>
    <w:rsid w:val="003B5F6B"/>
    <w:rsid w:val="003B64ED"/>
    <w:rsid w:val="003B6FA8"/>
    <w:rsid w:val="003B717E"/>
    <w:rsid w:val="003B7D24"/>
    <w:rsid w:val="003B7EBF"/>
    <w:rsid w:val="003C0CAE"/>
    <w:rsid w:val="003C0D25"/>
    <w:rsid w:val="003C20EB"/>
    <w:rsid w:val="003C3B6F"/>
    <w:rsid w:val="003C58D9"/>
    <w:rsid w:val="003C5D37"/>
    <w:rsid w:val="003C5D6D"/>
    <w:rsid w:val="003C671F"/>
    <w:rsid w:val="003C721F"/>
    <w:rsid w:val="003C7303"/>
    <w:rsid w:val="003D2562"/>
    <w:rsid w:val="003D2F39"/>
    <w:rsid w:val="003D2FDE"/>
    <w:rsid w:val="003D3791"/>
    <w:rsid w:val="003D3C9E"/>
    <w:rsid w:val="003D47DD"/>
    <w:rsid w:val="003D4AE1"/>
    <w:rsid w:val="003D5CAC"/>
    <w:rsid w:val="003D5F07"/>
    <w:rsid w:val="003D61B8"/>
    <w:rsid w:val="003D6223"/>
    <w:rsid w:val="003D7008"/>
    <w:rsid w:val="003D743C"/>
    <w:rsid w:val="003D7B4D"/>
    <w:rsid w:val="003E00C3"/>
    <w:rsid w:val="003E0608"/>
    <w:rsid w:val="003E0D28"/>
    <w:rsid w:val="003E1972"/>
    <w:rsid w:val="003E1A99"/>
    <w:rsid w:val="003E1E30"/>
    <w:rsid w:val="003E1E51"/>
    <w:rsid w:val="003E21DA"/>
    <w:rsid w:val="003E443E"/>
    <w:rsid w:val="003E64B8"/>
    <w:rsid w:val="003E77BD"/>
    <w:rsid w:val="003E78A9"/>
    <w:rsid w:val="003F04DA"/>
    <w:rsid w:val="003F0826"/>
    <w:rsid w:val="003F1BC7"/>
    <w:rsid w:val="003F20DB"/>
    <w:rsid w:val="003F33CC"/>
    <w:rsid w:val="003F436D"/>
    <w:rsid w:val="003F44F8"/>
    <w:rsid w:val="003F4740"/>
    <w:rsid w:val="003F5063"/>
    <w:rsid w:val="003F5D4B"/>
    <w:rsid w:val="003F5DEE"/>
    <w:rsid w:val="003F5FBD"/>
    <w:rsid w:val="003F61A4"/>
    <w:rsid w:val="003F7060"/>
    <w:rsid w:val="003F73D1"/>
    <w:rsid w:val="004027F0"/>
    <w:rsid w:val="0040381F"/>
    <w:rsid w:val="00403F64"/>
    <w:rsid w:val="0040498E"/>
    <w:rsid w:val="004050A9"/>
    <w:rsid w:val="004051BB"/>
    <w:rsid w:val="0040556A"/>
    <w:rsid w:val="004061F5"/>
    <w:rsid w:val="004062B2"/>
    <w:rsid w:val="0040670C"/>
    <w:rsid w:val="004071E5"/>
    <w:rsid w:val="00407415"/>
    <w:rsid w:val="00411739"/>
    <w:rsid w:val="00411813"/>
    <w:rsid w:val="00413D85"/>
    <w:rsid w:val="00413F98"/>
    <w:rsid w:val="00414ECC"/>
    <w:rsid w:val="00415679"/>
    <w:rsid w:val="00416173"/>
    <w:rsid w:val="00416543"/>
    <w:rsid w:val="00420C72"/>
    <w:rsid w:val="00421F69"/>
    <w:rsid w:val="00422F3B"/>
    <w:rsid w:val="00423601"/>
    <w:rsid w:val="004236FC"/>
    <w:rsid w:val="00427289"/>
    <w:rsid w:val="0042798E"/>
    <w:rsid w:val="004279C1"/>
    <w:rsid w:val="00430732"/>
    <w:rsid w:val="00430733"/>
    <w:rsid w:val="00432F70"/>
    <w:rsid w:val="00434128"/>
    <w:rsid w:val="004351E3"/>
    <w:rsid w:val="004353D4"/>
    <w:rsid w:val="00435B3B"/>
    <w:rsid w:val="00437A09"/>
    <w:rsid w:val="0044131C"/>
    <w:rsid w:val="00442A09"/>
    <w:rsid w:val="00444678"/>
    <w:rsid w:val="00444D7D"/>
    <w:rsid w:val="00444F1C"/>
    <w:rsid w:val="00447092"/>
    <w:rsid w:val="00447394"/>
    <w:rsid w:val="00447598"/>
    <w:rsid w:val="0044784D"/>
    <w:rsid w:val="00450DEA"/>
    <w:rsid w:val="00452D20"/>
    <w:rsid w:val="00454663"/>
    <w:rsid w:val="00455F30"/>
    <w:rsid w:val="00455F8A"/>
    <w:rsid w:val="004566F4"/>
    <w:rsid w:val="00456995"/>
    <w:rsid w:val="00456AB1"/>
    <w:rsid w:val="004617BF"/>
    <w:rsid w:val="0046265C"/>
    <w:rsid w:val="00463066"/>
    <w:rsid w:val="00463DEC"/>
    <w:rsid w:val="00464D98"/>
    <w:rsid w:val="00465264"/>
    <w:rsid w:val="00465486"/>
    <w:rsid w:val="0046583D"/>
    <w:rsid w:val="00465ED5"/>
    <w:rsid w:val="004702AB"/>
    <w:rsid w:val="004703CB"/>
    <w:rsid w:val="00470C58"/>
    <w:rsid w:val="00470ECC"/>
    <w:rsid w:val="00471AF7"/>
    <w:rsid w:val="00472664"/>
    <w:rsid w:val="00473A07"/>
    <w:rsid w:val="00475F72"/>
    <w:rsid w:val="0047726E"/>
    <w:rsid w:val="004773B8"/>
    <w:rsid w:val="00477A40"/>
    <w:rsid w:val="004804F9"/>
    <w:rsid w:val="0048081B"/>
    <w:rsid w:val="00481E64"/>
    <w:rsid w:val="00483479"/>
    <w:rsid w:val="00485A50"/>
    <w:rsid w:val="00486F2B"/>
    <w:rsid w:val="00487633"/>
    <w:rsid w:val="004904A3"/>
    <w:rsid w:val="00490975"/>
    <w:rsid w:val="00490AC1"/>
    <w:rsid w:val="00490F5A"/>
    <w:rsid w:val="0049163E"/>
    <w:rsid w:val="00492BDC"/>
    <w:rsid w:val="00492BDE"/>
    <w:rsid w:val="004931BB"/>
    <w:rsid w:val="00493E73"/>
    <w:rsid w:val="00493F8D"/>
    <w:rsid w:val="00495095"/>
    <w:rsid w:val="00496336"/>
    <w:rsid w:val="00496798"/>
    <w:rsid w:val="00496876"/>
    <w:rsid w:val="004A1278"/>
    <w:rsid w:val="004A25B2"/>
    <w:rsid w:val="004A3D78"/>
    <w:rsid w:val="004A3F01"/>
    <w:rsid w:val="004A5140"/>
    <w:rsid w:val="004A5278"/>
    <w:rsid w:val="004A5934"/>
    <w:rsid w:val="004A7D54"/>
    <w:rsid w:val="004B0814"/>
    <w:rsid w:val="004B0C50"/>
    <w:rsid w:val="004B0C51"/>
    <w:rsid w:val="004B19F4"/>
    <w:rsid w:val="004B1CA1"/>
    <w:rsid w:val="004B2AAC"/>
    <w:rsid w:val="004B4297"/>
    <w:rsid w:val="004B5C2A"/>
    <w:rsid w:val="004B6243"/>
    <w:rsid w:val="004B63DE"/>
    <w:rsid w:val="004B64CF"/>
    <w:rsid w:val="004B7A45"/>
    <w:rsid w:val="004B7D81"/>
    <w:rsid w:val="004C28B0"/>
    <w:rsid w:val="004C40A4"/>
    <w:rsid w:val="004C4405"/>
    <w:rsid w:val="004C53EE"/>
    <w:rsid w:val="004C5670"/>
    <w:rsid w:val="004C6836"/>
    <w:rsid w:val="004C6E98"/>
    <w:rsid w:val="004C6F3A"/>
    <w:rsid w:val="004C7851"/>
    <w:rsid w:val="004D02BF"/>
    <w:rsid w:val="004D11AF"/>
    <w:rsid w:val="004D2098"/>
    <w:rsid w:val="004D269A"/>
    <w:rsid w:val="004D2843"/>
    <w:rsid w:val="004D36B0"/>
    <w:rsid w:val="004D3DF9"/>
    <w:rsid w:val="004D43C4"/>
    <w:rsid w:val="004D54BE"/>
    <w:rsid w:val="004D56DA"/>
    <w:rsid w:val="004D60F8"/>
    <w:rsid w:val="004E0FCB"/>
    <w:rsid w:val="004E1BD8"/>
    <w:rsid w:val="004E241E"/>
    <w:rsid w:val="004E27A8"/>
    <w:rsid w:val="004E39B8"/>
    <w:rsid w:val="004E49FC"/>
    <w:rsid w:val="004E50C3"/>
    <w:rsid w:val="004E6080"/>
    <w:rsid w:val="004E6D44"/>
    <w:rsid w:val="004E721B"/>
    <w:rsid w:val="004E7840"/>
    <w:rsid w:val="004E7B07"/>
    <w:rsid w:val="004E7E12"/>
    <w:rsid w:val="004F0AFF"/>
    <w:rsid w:val="004F0B54"/>
    <w:rsid w:val="004F1607"/>
    <w:rsid w:val="004F2A24"/>
    <w:rsid w:val="004F5951"/>
    <w:rsid w:val="004F7F25"/>
    <w:rsid w:val="0050188E"/>
    <w:rsid w:val="00502910"/>
    <w:rsid w:val="0050296F"/>
    <w:rsid w:val="00502F46"/>
    <w:rsid w:val="005036D8"/>
    <w:rsid w:val="00504817"/>
    <w:rsid w:val="00504CD5"/>
    <w:rsid w:val="00505255"/>
    <w:rsid w:val="00505670"/>
    <w:rsid w:val="005065C4"/>
    <w:rsid w:val="0050669F"/>
    <w:rsid w:val="00507D96"/>
    <w:rsid w:val="00510327"/>
    <w:rsid w:val="00511976"/>
    <w:rsid w:val="00512A03"/>
    <w:rsid w:val="00512EBF"/>
    <w:rsid w:val="00513073"/>
    <w:rsid w:val="005131CF"/>
    <w:rsid w:val="00513454"/>
    <w:rsid w:val="00513D7E"/>
    <w:rsid w:val="00515F82"/>
    <w:rsid w:val="00517158"/>
    <w:rsid w:val="00517E41"/>
    <w:rsid w:val="0052001D"/>
    <w:rsid w:val="005204BF"/>
    <w:rsid w:val="00520900"/>
    <w:rsid w:val="00521185"/>
    <w:rsid w:val="005236D5"/>
    <w:rsid w:val="00523A73"/>
    <w:rsid w:val="005241AC"/>
    <w:rsid w:val="00524906"/>
    <w:rsid w:val="00525019"/>
    <w:rsid w:val="005253BF"/>
    <w:rsid w:val="005265AE"/>
    <w:rsid w:val="00526D16"/>
    <w:rsid w:val="00530692"/>
    <w:rsid w:val="00530D3A"/>
    <w:rsid w:val="00531033"/>
    <w:rsid w:val="00532F82"/>
    <w:rsid w:val="00535EEC"/>
    <w:rsid w:val="005367A1"/>
    <w:rsid w:val="00537363"/>
    <w:rsid w:val="005411A2"/>
    <w:rsid w:val="00541331"/>
    <w:rsid w:val="0054133B"/>
    <w:rsid w:val="00541682"/>
    <w:rsid w:val="00541F0D"/>
    <w:rsid w:val="005436FB"/>
    <w:rsid w:val="00544451"/>
    <w:rsid w:val="0054453C"/>
    <w:rsid w:val="00545258"/>
    <w:rsid w:val="005454C6"/>
    <w:rsid w:val="00545688"/>
    <w:rsid w:val="00546823"/>
    <w:rsid w:val="00546A81"/>
    <w:rsid w:val="00546DF5"/>
    <w:rsid w:val="00547DBB"/>
    <w:rsid w:val="0055115C"/>
    <w:rsid w:val="00552638"/>
    <w:rsid w:val="00552919"/>
    <w:rsid w:val="005533A6"/>
    <w:rsid w:val="00554A86"/>
    <w:rsid w:val="00554D92"/>
    <w:rsid w:val="00554DAE"/>
    <w:rsid w:val="005550B0"/>
    <w:rsid w:val="00555BBB"/>
    <w:rsid w:val="00556944"/>
    <w:rsid w:val="005574C4"/>
    <w:rsid w:val="00557710"/>
    <w:rsid w:val="0056087F"/>
    <w:rsid w:val="00560FBD"/>
    <w:rsid w:val="005614FC"/>
    <w:rsid w:val="005616F6"/>
    <w:rsid w:val="005623BE"/>
    <w:rsid w:val="00562410"/>
    <w:rsid w:val="00563988"/>
    <w:rsid w:val="00563A7B"/>
    <w:rsid w:val="00564EF7"/>
    <w:rsid w:val="00566373"/>
    <w:rsid w:val="0056670A"/>
    <w:rsid w:val="00566DD8"/>
    <w:rsid w:val="00567866"/>
    <w:rsid w:val="00567D52"/>
    <w:rsid w:val="005706E7"/>
    <w:rsid w:val="005716AF"/>
    <w:rsid w:val="00571965"/>
    <w:rsid w:val="00571C9C"/>
    <w:rsid w:val="0057215F"/>
    <w:rsid w:val="005731F5"/>
    <w:rsid w:val="0057490F"/>
    <w:rsid w:val="00574BCD"/>
    <w:rsid w:val="00575BAB"/>
    <w:rsid w:val="0057669D"/>
    <w:rsid w:val="005772B1"/>
    <w:rsid w:val="00577976"/>
    <w:rsid w:val="00580A8C"/>
    <w:rsid w:val="005816F7"/>
    <w:rsid w:val="00581EA9"/>
    <w:rsid w:val="005833C5"/>
    <w:rsid w:val="005836E2"/>
    <w:rsid w:val="005838E3"/>
    <w:rsid w:val="005845F6"/>
    <w:rsid w:val="005848DC"/>
    <w:rsid w:val="005850AE"/>
    <w:rsid w:val="005858B5"/>
    <w:rsid w:val="00585EC7"/>
    <w:rsid w:val="00585FAA"/>
    <w:rsid w:val="00585FBD"/>
    <w:rsid w:val="00585FE2"/>
    <w:rsid w:val="00586038"/>
    <w:rsid w:val="005864A5"/>
    <w:rsid w:val="005865C9"/>
    <w:rsid w:val="005867B7"/>
    <w:rsid w:val="00587011"/>
    <w:rsid w:val="00590497"/>
    <w:rsid w:val="00590DF0"/>
    <w:rsid w:val="005912C7"/>
    <w:rsid w:val="005917CB"/>
    <w:rsid w:val="00591AF8"/>
    <w:rsid w:val="00591F3A"/>
    <w:rsid w:val="00592817"/>
    <w:rsid w:val="00593593"/>
    <w:rsid w:val="00593A45"/>
    <w:rsid w:val="005943D5"/>
    <w:rsid w:val="00594C91"/>
    <w:rsid w:val="0059667F"/>
    <w:rsid w:val="00596FC7"/>
    <w:rsid w:val="00597C36"/>
    <w:rsid w:val="005A0A1C"/>
    <w:rsid w:val="005A2E72"/>
    <w:rsid w:val="005A3B36"/>
    <w:rsid w:val="005A4360"/>
    <w:rsid w:val="005A439E"/>
    <w:rsid w:val="005A4A48"/>
    <w:rsid w:val="005A542C"/>
    <w:rsid w:val="005A6394"/>
    <w:rsid w:val="005A6EDD"/>
    <w:rsid w:val="005A76E8"/>
    <w:rsid w:val="005B0D46"/>
    <w:rsid w:val="005B101F"/>
    <w:rsid w:val="005B121B"/>
    <w:rsid w:val="005B3B35"/>
    <w:rsid w:val="005B46B8"/>
    <w:rsid w:val="005B4C50"/>
    <w:rsid w:val="005B5011"/>
    <w:rsid w:val="005B5985"/>
    <w:rsid w:val="005B701E"/>
    <w:rsid w:val="005B7461"/>
    <w:rsid w:val="005B7D43"/>
    <w:rsid w:val="005C0107"/>
    <w:rsid w:val="005C0429"/>
    <w:rsid w:val="005C0E9A"/>
    <w:rsid w:val="005C0EDE"/>
    <w:rsid w:val="005C292F"/>
    <w:rsid w:val="005C2DDD"/>
    <w:rsid w:val="005C322F"/>
    <w:rsid w:val="005C38D4"/>
    <w:rsid w:val="005C53BA"/>
    <w:rsid w:val="005C568C"/>
    <w:rsid w:val="005C59E6"/>
    <w:rsid w:val="005C6487"/>
    <w:rsid w:val="005C6488"/>
    <w:rsid w:val="005C75E1"/>
    <w:rsid w:val="005C7B13"/>
    <w:rsid w:val="005D0418"/>
    <w:rsid w:val="005D2738"/>
    <w:rsid w:val="005D2886"/>
    <w:rsid w:val="005D30E7"/>
    <w:rsid w:val="005D3610"/>
    <w:rsid w:val="005D404E"/>
    <w:rsid w:val="005D5353"/>
    <w:rsid w:val="005D5B9E"/>
    <w:rsid w:val="005D5C19"/>
    <w:rsid w:val="005D72CB"/>
    <w:rsid w:val="005E0319"/>
    <w:rsid w:val="005E0892"/>
    <w:rsid w:val="005E0B54"/>
    <w:rsid w:val="005E0E6E"/>
    <w:rsid w:val="005E13EA"/>
    <w:rsid w:val="005E24D8"/>
    <w:rsid w:val="005E33BC"/>
    <w:rsid w:val="005E540E"/>
    <w:rsid w:val="005E5D06"/>
    <w:rsid w:val="005E7E5A"/>
    <w:rsid w:val="005F0C39"/>
    <w:rsid w:val="005F0ED5"/>
    <w:rsid w:val="005F1B20"/>
    <w:rsid w:val="005F1C88"/>
    <w:rsid w:val="005F2093"/>
    <w:rsid w:val="005F272B"/>
    <w:rsid w:val="005F30A8"/>
    <w:rsid w:val="005F39DA"/>
    <w:rsid w:val="005F426F"/>
    <w:rsid w:val="005F4930"/>
    <w:rsid w:val="005F5386"/>
    <w:rsid w:val="005F55AD"/>
    <w:rsid w:val="005F6015"/>
    <w:rsid w:val="005F60A6"/>
    <w:rsid w:val="005F6192"/>
    <w:rsid w:val="005F7702"/>
    <w:rsid w:val="006005B9"/>
    <w:rsid w:val="00601B1E"/>
    <w:rsid w:val="0060249D"/>
    <w:rsid w:val="00602744"/>
    <w:rsid w:val="006031B5"/>
    <w:rsid w:val="00603209"/>
    <w:rsid w:val="00604850"/>
    <w:rsid w:val="00604A2D"/>
    <w:rsid w:val="00604DC9"/>
    <w:rsid w:val="00606C1C"/>
    <w:rsid w:val="00607037"/>
    <w:rsid w:val="006107B8"/>
    <w:rsid w:val="006111E0"/>
    <w:rsid w:val="00612BBB"/>
    <w:rsid w:val="00612EDC"/>
    <w:rsid w:val="00613A0E"/>
    <w:rsid w:val="00613D09"/>
    <w:rsid w:val="006154ED"/>
    <w:rsid w:val="00615AAB"/>
    <w:rsid w:val="00615C1E"/>
    <w:rsid w:val="006218CE"/>
    <w:rsid w:val="0062200C"/>
    <w:rsid w:val="00622F2B"/>
    <w:rsid w:val="00623201"/>
    <w:rsid w:val="006237B9"/>
    <w:rsid w:val="00623F52"/>
    <w:rsid w:val="006249BF"/>
    <w:rsid w:val="00625054"/>
    <w:rsid w:val="00626971"/>
    <w:rsid w:val="00626A01"/>
    <w:rsid w:val="00626F61"/>
    <w:rsid w:val="00630651"/>
    <w:rsid w:val="00631D0A"/>
    <w:rsid w:val="00631D88"/>
    <w:rsid w:val="00631EF9"/>
    <w:rsid w:val="00632A99"/>
    <w:rsid w:val="006338FB"/>
    <w:rsid w:val="006345F0"/>
    <w:rsid w:val="00635482"/>
    <w:rsid w:val="006362F2"/>
    <w:rsid w:val="00636543"/>
    <w:rsid w:val="0063715B"/>
    <w:rsid w:val="006379B5"/>
    <w:rsid w:val="00637A64"/>
    <w:rsid w:val="00642DD2"/>
    <w:rsid w:val="00643A44"/>
    <w:rsid w:val="00643CD0"/>
    <w:rsid w:val="006458F3"/>
    <w:rsid w:val="00645B52"/>
    <w:rsid w:val="00645C40"/>
    <w:rsid w:val="00647134"/>
    <w:rsid w:val="00647D54"/>
    <w:rsid w:val="00650EFD"/>
    <w:rsid w:val="00651582"/>
    <w:rsid w:val="00651BC5"/>
    <w:rsid w:val="00651C2B"/>
    <w:rsid w:val="00652511"/>
    <w:rsid w:val="00653862"/>
    <w:rsid w:val="00653C35"/>
    <w:rsid w:val="00654512"/>
    <w:rsid w:val="00656C6B"/>
    <w:rsid w:val="00657B49"/>
    <w:rsid w:val="00660030"/>
    <w:rsid w:val="00660693"/>
    <w:rsid w:val="00660A24"/>
    <w:rsid w:val="00660EB2"/>
    <w:rsid w:val="00661C68"/>
    <w:rsid w:val="006646FD"/>
    <w:rsid w:val="006655A3"/>
    <w:rsid w:val="006655A4"/>
    <w:rsid w:val="00666083"/>
    <w:rsid w:val="00666116"/>
    <w:rsid w:val="00670CBC"/>
    <w:rsid w:val="00670DA7"/>
    <w:rsid w:val="0067151F"/>
    <w:rsid w:val="006723BD"/>
    <w:rsid w:val="006730E1"/>
    <w:rsid w:val="0067345D"/>
    <w:rsid w:val="00673ED2"/>
    <w:rsid w:val="00674C74"/>
    <w:rsid w:val="0067504D"/>
    <w:rsid w:val="00676296"/>
    <w:rsid w:val="00676485"/>
    <w:rsid w:val="00676557"/>
    <w:rsid w:val="006775B2"/>
    <w:rsid w:val="006801BB"/>
    <w:rsid w:val="00680286"/>
    <w:rsid w:val="00682BBC"/>
    <w:rsid w:val="0068333B"/>
    <w:rsid w:val="00683671"/>
    <w:rsid w:val="00683714"/>
    <w:rsid w:val="00686ADB"/>
    <w:rsid w:val="006875D6"/>
    <w:rsid w:val="006877C2"/>
    <w:rsid w:val="006900DD"/>
    <w:rsid w:val="00690AE2"/>
    <w:rsid w:val="00691230"/>
    <w:rsid w:val="0069277A"/>
    <w:rsid w:val="006928AD"/>
    <w:rsid w:val="00693BF9"/>
    <w:rsid w:val="0069523B"/>
    <w:rsid w:val="00696680"/>
    <w:rsid w:val="00697463"/>
    <w:rsid w:val="00697568"/>
    <w:rsid w:val="006A127E"/>
    <w:rsid w:val="006A17CD"/>
    <w:rsid w:val="006A1A6F"/>
    <w:rsid w:val="006A246B"/>
    <w:rsid w:val="006A27D3"/>
    <w:rsid w:val="006A35FD"/>
    <w:rsid w:val="006A4634"/>
    <w:rsid w:val="006A55D1"/>
    <w:rsid w:val="006A5DF4"/>
    <w:rsid w:val="006A5FD7"/>
    <w:rsid w:val="006A6FA5"/>
    <w:rsid w:val="006A7522"/>
    <w:rsid w:val="006A7618"/>
    <w:rsid w:val="006B0205"/>
    <w:rsid w:val="006B2B4A"/>
    <w:rsid w:val="006B2D4E"/>
    <w:rsid w:val="006B33D7"/>
    <w:rsid w:val="006B4729"/>
    <w:rsid w:val="006B479C"/>
    <w:rsid w:val="006B51BF"/>
    <w:rsid w:val="006B573E"/>
    <w:rsid w:val="006B5925"/>
    <w:rsid w:val="006B746A"/>
    <w:rsid w:val="006C0A39"/>
    <w:rsid w:val="006C158E"/>
    <w:rsid w:val="006C1B97"/>
    <w:rsid w:val="006C24D7"/>
    <w:rsid w:val="006C43F2"/>
    <w:rsid w:val="006C4F39"/>
    <w:rsid w:val="006C58F3"/>
    <w:rsid w:val="006C6154"/>
    <w:rsid w:val="006C61B0"/>
    <w:rsid w:val="006D167B"/>
    <w:rsid w:val="006D2182"/>
    <w:rsid w:val="006D2343"/>
    <w:rsid w:val="006D234D"/>
    <w:rsid w:val="006D242B"/>
    <w:rsid w:val="006D3A6C"/>
    <w:rsid w:val="006D4A11"/>
    <w:rsid w:val="006D5346"/>
    <w:rsid w:val="006D55C1"/>
    <w:rsid w:val="006D6F9B"/>
    <w:rsid w:val="006D732C"/>
    <w:rsid w:val="006D7407"/>
    <w:rsid w:val="006E13E9"/>
    <w:rsid w:val="006E3900"/>
    <w:rsid w:val="006E3972"/>
    <w:rsid w:val="006E3C16"/>
    <w:rsid w:val="006E4289"/>
    <w:rsid w:val="006E5761"/>
    <w:rsid w:val="006F0062"/>
    <w:rsid w:val="006F0C12"/>
    <w:rsid w:val="006F1441"/>
    <w:rsid w:val="006F1F9D"/>
    <w:rsid w:val="006F2276"/>
    <w:rsid w:val="006F228C"/>
    <w:rsid w:val="006F3B9D"/>
    <w:rsid w:val="006F3D90"/>
    <w:rsid w:val="006F3E1E"/>
    <w:rsid w:val="006F44C5"/>
    <w:rsid w:val="006F48B0"/>
    <w:rsid w:val="006F4C83"/>
    <w:rsid w:val="006F5CF6"/>
    <w:rsid w:val="006F699C"/>
    <w:rsid w:val="006F6B41"/>
    <w:rsid w:val="00700CA8"/>
    <w:rsid w:val="00701431"/>
    <w:rsid w:val="007033B7"/>
    <w:rsid w:val="00703E97"/>
    <w:rsid w:val="00705348"/>
    <w:rsid w:val="0070708F"/>
    <w:rsid w:val="00707DA0"/>
    <w:rsid w:val="00710A92"/>
    <w:rsid w:val="0071262D"/>
    <w:rsid w:val="00713D1F"/>
    <w:rsid w:val="00714070"/>
    <w:rsid w:val="007143B3"/>
    <w:rsid w:val="00714F18"/>
    <w:rsid w:val="0071576A"/>
    <w:rsid w:val="007168A2"/>
    <w:rsid w:val="00717A65"/>
    <w:rsid w:val="00717A95"/>
    <w:rsid w:val="00717BB9"/>
    <w:rsid w:val="007205DC"/>
    <w:rsid w:val="00720809"/>
    <w:rsid w:val="00720E2D"/>
    <w:rsid w:val="00721252"/>
    <w:rsid w:val="00721717"/>
    <w:rsid w:val="00721833"/>
    <w:rsid w:val="00722434"/>
    <w:rsid w:val="007232F2"/>
    <w:rsid w:val="00723927"/>
    <w:rsid w:val="00724C75"/>
    <w:rsid w:val="00725B2B"/>
    <w:rsid w:val="007320BA"/>
    <w:rsid w:val="007329AB"/>
    <w:rsid w:val="00733212"/>
    <w:rsid w:val="007350DC"/>
    <w:rsid w:val="0073536C"/>
    <w:rsid w:val="0073615D"/>
    <w:rsid w:val="007374CE"/>
    <w:rsid w:val="007377D0"/>
    <w:rsid w:val="00737B0B"/>
    <w:rsid w:val="00737CB1"/>
    <w:rsid w:val="007402A5"/>
    <w:rsid w:val="00740545"/>
    <w:rsid w:val="00740614"/>
    <w:rsid w:val="007406D8"/>
    <w:rsid w:val="007411AC"/>
    <w:rsid w:val="00741A27"/>
    <w:rsid w:val="00741DEF"/>
    <w:rsid w:val="0074248A"/>
    <w:rsid w:val="00742523"/>
    <w:rsid w:val="00743643"/>
    <w:rsid w:val="00743904"/>
    <w:rsid w:val="00744E15"/>
    <w:rsid w:val="00746FA1"/>
    <w:rsid w:val="007476E9"/>
    <w:rsid w:val="00747F34"/>
    <w:rsid w:val="00750ABB"/>
    <w:rsid w:val="00751786"/>
    <w:rsid w:val="007529E0"/>
    <w:rsid w:val="007530DF"/>
    <w:rsid w:val="00753248"/>
    <w:rsid w:val="007562D2"/>
    <w:rsid w:val="007563C0"/>
    <w:rsid w:val="00756603"/>
    <w:rsid w:val="00756D7E"/>
    <w:rsid w:val="00756FA7"/>
    <w:rsid w:val="00757630"/>
    <w:rsid w:val="007576E4"/>
    <w:rsid w:val="007603CD"/>
    <w:rsid w:val="0076112A"/>
    <w:rsid w:val="00761EAA"/>
    <w:rsid w:val="00764533"/>
    <w:rsid w:val="0076568E"/>
    <w:rsid w:val="00765C4F"/>
    <w:rsid w:val="00767A5D"/>
    <w:rsid w:val="00770017"/>
    <w:rsid w:val="00770945"/>
    <w:rsid w:val="00770EB4"/>
    <w:rsid w:val="00772DE8"/>
    <w:rsid w:val="00772E41"/>
    <w:rsid w:val="00772F41"/>
    <w:rsid w:val="007736D8"/>
    <w:rsid w:val="007739B8"/>
    <w:rsid w:val="00773E70"/>
    <w:rsid w:val="007746F0"/>
    <w:rsid w:val="007749F6"/>
    <w:rsid w:val="007750CA"/>
    <w:rsid w:val="00775951"/>
    <w:rsid w:val="00775987"/>
    <w:rsid w:val="00775D3A"/>
    <w:rsid w:val="007805BB"/>
    <w:rsid w:val="00781107"/>
    <w:rsid w:val="007812BF"/>
    <w:rsid w:val="00781A32"/>
    <w:rsid w:val="0078294C"/>
    <w:rsid w:val="00786108"/>
    <w:rsid w:val="0078615C"/>
    <w:rsid w:val="007869B8"/>
    <w:rsid w:val="00787768"/>
    <w:rsid w:val="007906A0"/>
    <w:rsid w:val="0079085C"/>
    <w:rsid w:val="00790D88"/>
    <w:rsid w:val="00791C60"/>
    <w:rsid w:val="007923D9"/>
    <w:rsid w:val="00793366"/>
    <w:rsid w:val="007939F4"/>
    <w:rsid w:val="0079519D"/>
    <w:rsid w:val="00795D39"/>
    <w:rsid w:val="007961B0"/>
    <w:rsid w:val="00796C8D"/>
    <w:rsid w:val="00797E2E"/>
    <w:rsid w:val="007A04EB"/>
    <w:rsid w:val="007A0583"/>
    <w:rsid w:val="007A0914"/>
    <w:rsid w:val="007A1511"/>
    <w:rsid w:val="007A174A"/>
    <w:rsid w:val="007A1C0D"/>
    <w:rsid w:val="007A2FD4"/>
    <w:rsid w:val="007A3CEA"/>
    <w:rsid w:val="007A4524"/>
    <w:rsid w:val="007A5739"/>
    <w:rsid w:val="007B0B66"/>
    <w:rsid w:val="007B13FA"/>
    <w:rsid w:val="007B16D3"/>
    <w:rsid w:val="007B3550"/>
    <w:rsid w:val="007B3B11"/>
    <w:rsid w:val="007B4523"/>
    <w:rsid w:val="007B5327"/>
    <w:rsid w:val="007B56F9"/>
    <w:rsid w:val="007B6478"/>
    <w:rsid w:val="007B6AE9"/>
    <w:rsid w:val="007B7D11"/>
    <w:rsid w:val="007C16D6"/>
    <w:rsid w:val="007C18A3"/>
    <w:rsid w:val="007C3283"/>
    <w:rsid w:val="007C34A9"/>
    <w:rsid w:val="007C45E7"/>
    <w:rsid w:val="007C4ABC"/>
    <w:rsid w:val="007C5AAD"/>
    <w:rsid w:val="007C5CF2"/>
    <w:rsid w:val="007C6837"/>
    <w:rsid w:val="007D121C"/>
    <w:rsid w:val="007D122B"/>
    <w:rsid w:val="007D1DC9"/>
    <w:rsid w:val="007D202D"/>
    <w:rsid w:val="007D25CE"/>
    <w:rsid w:val="007D2DC1"/>
    <w:rsid w:val="007D3E36"/>
    <w:rsid w:val="007D5594"/>
    <w:rsid w:val="007D61A0"/>
    <w:rsid w:val="007D63D3"/>
    <w:rsid w:val="007D74D8"/>
    <w:rsid w:val="007D7A7B"/>
    <w:rsid w:val="007E05C8"/>
    <w:rsid w:val="007E253A"/>
    <w:rsid w:val="007E26B4"/>
    <w:rsid w:val="007E27A7"/>
    <w:rsid w:val="007E2A0A"/>
    <w:rsid w:val="007E323A"/>
    <w:rsid w:val="007E3479"/>
    <w:rsid w:val="007E34E8"/>
    <w:rsid w:val="007E368D"/>
    <w:rsid w:val="007E69BC"/>
    <w:rsid w:val="007E6B9C"/>
    <w:rsid w:val="007E734E"/>
    <w:rsid w:val="007E7441"/>
    <w:rsid w:val="007E7E51"/>
    <w:rsid w:val="007E7E5E"/>
    <w:rsid w:val="007E7EB5"/>
    <w:rsid w:val="007F04CE"/>
    <w:rsid w:val="007F0FB8"/>
    <w:rsid w:val="007F11F1"/>
    <w:rsid w:val="007F2005"/>
    <w:rsid w:val="007F2856"/>
    <w:rsid w:val="007F2C23"/>
    <w:rsid w:val="007F30F4"/>
    <w:rsid w:val="007F3A0B"/>
    <w:rsid w:val="007F3AC5"/>
    <w:rsid w:val="007F4F57"/>
    <w:rsid w:val="007F78FB"/>
    <w:rsid w:val="00800F2F"/>
    <w:rsid w:val="008014C1"/>
    <w:rsid w:val="00801AF6"/>
    <w:rsid w:val="00802E33"/>
    <w:rsid w:val="00803ECF"/>
    <w:rsid w:val="0080463D"/>
    <w:rsid w:val="00804AC2"/>
    <w:rsid w:val="00804E5D"/>
    <w:rsid w:val="008058B8"/>
    <w:rsid w:val="00805B77"/>
    <w:rsid w:val="008076DC"/>
    <w:rsid w:val="00807A8F"/>
    <w:rsid w:val="00807AB1"/>
    <w:rsid w:val="00810E41"/>
    <w:rsid w:val="0081237C"/>
    <w:rsid w:val="008126CD"/>
    <w:rsid w:val="00812C73"/>
    <w:rsid w:val="00816A07"/>
    <w:rsid w:val="00816B3C"/>
    <w:rsid w:val="00816FB7"/>
    <w:rsid w:val="00817824"/>
    <w:rsid w:val="008178EB"/>
    <w:rsid w:val="00817BE6"/>
    <w:rsid w:val="00820A8B"/>
    <w:rsid w:val="0082146A"/>
    <w:rsid w:val="00821647"/>
    <w:rsid w:val="00821A75"/>
    <w:rsid w:val="00821BF8"/>
    <w:rsid w:val="00823E88"/>
    <w:rsid w:val="008245F6"/>
    <w:rsid w:val="0082538A"/>
    <w:rsid w:val="00825BF8"/>
    <w:rsid w:val="00825D2A"/>
    <w:rsid w:val="00825F81"/>
    <w:rsid w:val="00827061"/>
    <w:rsid w:val="0082745A"/>
    <w:rsid w:val="008278A8"/>
    <w:rsid w:val="008305E4"/>
    <w:rsid w:val="00830D2F"/>
    <w:rsid w:val="00831075"/>
    <w:rsid w:val="008311AB"/>
    <w:rsid w:val="00831BD3"/>
    <w:rsid w:val="0083421D"/>
    <w:rsid w:val="008346DC"/>
    <w:rsid w:val="00834DD2"/>
    <w:rsid w:val="00835B78"/>
    <w:rsid w:val="00836472"/>
    <w:rsid w:val="0083664B"/>
    <w:rsid w:val="00836E7A"/>
    <w:rsid w:val="008400B5"/>
    <w:rsid w:val="00840999"/>
    <w:rsid w:val="0084182A"/>
    <w:rsid w:val="00841EBA"/>
    <w:rsid w:val="008435B2"/>
    <w:rsid w:val="00843929"/>
    <w:rsid w:val="00843D7C"/>
    <w:rsid w:val="00844458"/>
    <w:rsid w:val="0084452D"/>
    <w:rsid w:val="00845151"/>
    <w:rsid w:val="0084517C"/>
    <w:rsid w:val="0084771E"/>
    <w:rsid w:val="00847A19"/>
    <w:rsid w:val="008505A2"/>
    <w:rsid w:val="00851BD0"/>
    <w:rsid w:val="00852506"/>
    <w:rsid w:val="00852985"/>
    <w:rsid w:val="0085406E"/>
    <w:rsid w:val="00854226"/>
    <w:rsid w:val="00854B5D"/>
    <w:rsid w:val="00854DAF"/>
    <w:rsid w:val="00855241"/>
    <w:rsid w:val="00855EE0"/>
    <w:rsid w:val="00856321"/>
    <w:rsid w:val="00856740"/>
    <w:rsid w:val="0086008D"/>
    <w:rsid w:val="00860FB6"/>
    <w:rsid w:val="00861D87"/>
    <w:rsid w:val="00862F41"/>
    <w:rsid w:val="0086305E"/>
    <w:rsid w:val="008639A3"/>
    <w:rsid w:val="0086488C"/>
    <w:rsid w:val="00864A3F"/>
    <w:rsid w:val="008651EF"/>
    <w:rsid w:val="00865B83"/>
    <w:rsid w:val="008661E6"/>
    <w:rsid w:val="008666F0"/>
    <w:rsid w:val="008673DC"/>
    <w:rsid w:val="008678A3"/>
    <w:rsid w:val="0087007D"/>
    <w:rsid w:val="00871782"/>
    <w:rsid w:val="00872361"/>
    <w:rsid w:val="0087495A"/>
    <w:rsid w:val="0087516B"/>
    <w:rsid w:val="00875A33"/>
    <w:rsid w:val="00876398"/>
    <w:rsid w:val="0087654C"/>
    <w:rsid w:val="0088193C"/>
    <w:rsid w:val="00884364"/>
    <w:rsid w:val="00885D05"/>
    <w:rsid w:val="00886EA9"/>
    <w:rsid w:val="00886F15"/>
    <w:rsid w:val="00887CA4"/>
    <w:rsid w:val="00892FCB"/>
    <w:rsid w:val="0089351C"/>
    <w:rsid w:val="00893C59"/>
    <w:rsid w:val="0089500B"/>
    <w:rsid w:val="00896DDE"/>
    <w:rsid w:val="008A1571"/>
    <w:rsid w:val="008A2F39"/>
    <w:rsid w:val="008A4AD6"/>
    <w:rsid w:val="008A4E28"/>
    <w:rsid w:val="008A57D5"/>
    <w:rsid w:val="008A5AC8"/>
    <w:rsid w:val="008A633F"/>
    <w:rsid w:val="008A6EFA"/>
    <w:rsid w:val="008A7220"/>
    <w:rsid w:val="008B0548"/>
    <w:rsid w:val="008B1314"/>
    <w:rsid w:val="008B216C"/>
    <w:rsid w:val="008B22A5"/>
    <w:rsid w:val="008B2742"/>
    <w:rsid w:val="008B30AD"/>
    <w:rsid w:val="008B3B34"/>
    <w:rsid w:val="008B3F90"/>
    <w:rsid w:val="008B40EF"/>
    <w:rsid w:val="008B460A"/>
    <w:rsid w:val="008B5351"/>
    <w:rsid w:val="008B66AD"/>
    <w:rsid w:val="008B6A65"/>
    <w:rsid w:val="008C18C4"/>
    <w:rsid w:val="008C2A3E"/>
    <w:rsid w:val="008C2D4B"/>
    <w:rsid w:val="008C53BC"/>
    <w:rsid w:val="008C69A3"/>
    <w:rsid w:val="008C6E5D"/>
    <w:rsid w:val="008C7505"/>
    <w:rsid w:val="008C7D3C"/>
    <w:rsid w:val="008D16A4"/>
    <w:rsid w:val="008D22ED"/>
    <w:rsid w:val="008D23AC"/>
    <w:rsid w:val="008D2B35"/>
    <w:rsid w:val="008D33B0"/>
    <w:rsid w:val="008D5589"/>
    <w:rsid w:val="008D55E9"/>
    <w:rsid w:val="008D56B4"/>
    <w:rsid w:val="008D5EE0"/>
    <w:rsid w:val="008D75E5"/>
    <w:rsid w:val="008D7D98"/>
    <w:rsid w:val="008D7EB9"/>
    <w:rsid w:val="008D7F3A"/>
    <w:rsid w:val="008E10FA"/>
    <w:rsid w:val="008E12D9"/>
    <w:rsid w:val="008E1B1A"/>
    <w:rsid w:val="008E2705"/>
    <w:rsid w:val="008E2CD8"/>
    <w:rsid w:val="008E38E2"/>
    <w:rsid w:val="008E5D54"/>
    <w:rsid w:val="008E66BA"/>
    <w:rsid w:val="008E7BC0"/>
    <w:rsid w:val="008E7C46"/>
    <w:rsid w:val="008F09BF"/>
    <w:rsid w:val="008F0E22"/>
    <w:rsid w:val="008F3775"/>
    <w:rsid w:val="008F3FBD"/>
    <w:rsid w:val="008F5304"/>
    <w:rsid w:val="008F619E"/>
    <w:rsid w:val="008F66D2"/>
    <w:rsid w:val="00900FB9"/>
    <w:rsid w:val="0090120A"/>
    <w:rsid w:val="009020A9"/>
    <w:rsid w:val="009033FD"/>
    <w:rsid w:val="009048E4"/>
    <w:rsid w:val="00904976"/>
    <w:rsid w:val="00905A09"/>
    <w:rsid w:val="00905A54"/>
    <w:rsid w:val="009102BD"/>
    <w:rsid w:val="009106A4"/>
    <w:rsid w:val="00911F16"/>
    <w:rsid w:val="00912B34"/>
    <w:rsid w:val="00912CB5"/>
    <w:rsid w:val="009135FE"/>
    <w:rsid w:val="00913994"/>
    <w:rsid w:val="00913B5C"/>
    <w:rsid w:val="009145F4"/>
    <w:rsid w:val="00914912"/>
    <w:rsid w:val="00914A53"/>
    <w:rsid w:val="009173D6"/>
    <w:rsid w:val="0091748B"/>
    <w:rsid w:val="00923B86"/>
    <w:rsid w:val="00923C66"/>
    <w:rsid w:val="00924862"/>
    <w:rsid w:val="0092562F"/>
    <w:rsid w:val="0092590A"/>
    <w:rsid w:val="00925AB9"/>
    <w:rsid w:val="009262D1"/>
    <w:rsid w:val="0092696C"/>
    <w:rsid w:val="00926C8F"/>
    <w:rsid w:val="00927719"/>
    <w:rsid w:val="00927C24"/>
    <w:rsid w:val="009323C6"/>
    <w:rsid w:val="009324D0"/>
    <w:rsid w:val="0093260C"/>
    <w:rsid w:val="00932C0F"/>
    <w:rsid w:val="009336EE"/>
    <w:rsid w:val="00934B7E"/>
    <w:rsid w:val="00935014"/>
    <w:rsid w:val="0093572F"/>
    <w:rsid w:val="00936762"/>
    <w:rsid w:val="009400AD"/>
    <w:rsid w:val="00940E70"/>
    <w:rsid w:val="009423E3"/>
    <w:rsid w:val="00942C7A"/>
    <w:rsid w:val="00943059"/>
    <w:rsid w:val="00943362"/>
    <w:rsid w:val="009437F9"/>
    <w:rsid w:val="009440B2"/>
    <w:rsid w:val="00944520"/>
    <w:rsid w:val="009454F4"/>
    <w:rsid w:val="009468BB"/>
    <w:rsid w:val="0094693D"/>
    <w:rsid w:val="00946B90"/>
    <w:rsid w:val="00946CB8"/>
    <w:rsid w:val="00946F10"/>
    <w:rsid w:val="00946FAA"/>
    <w:rsid w:val="009478C9"/>
    <w:rsid w:val="00951660"/>
    <w:rsid w:val="00951AC1"/>
    <w:rsid w:val="009529B0"/>
    <w:rsid w:val="00953196"/>
    <w:rsid w:val="0095344A"/>
    <w:rsid w:val="009538DA"/>
    <w:rsid w:val="00955459"/>
    <w:rsid w:val="00955E74"/>
    <w:rsid w:val="009567F3"/>
    <w:rsid w:val="00957750"/>
    <w:rsid w:val="00957823"/>
    <w:rsid w:val="00957BD9"/>
    <w:rsid w:val="0096003D"/>
    <w:rsid w:val="00960149"/>
    <w:rsid w:val="00961A25"/>
    <w:rsid w:val="00961EC6"/>
    <w:rsid w:val="0096307A"/>
    <w:rsid w:val="00963187"/>
    <w:rsid w:val="009632F0"/>
    <w:rsid w:val="00963A41"/>
    <w:rsid w:val="00964114"/>
    <w:rsid w:val="00964DC3"/>
    <w:rsid w:val="009653CE"/>
    <w:rsid w:val="009655DB"/>
    <w:rsid w:val="009657DA"/>
    <w:rsid w:val="00965B16"/>
    <w:rsid w:val="0096636E"/>
    <w:rsid w:val="009670E4"/>
    <w:rsid w:val="0096747F"/>
    <w:rsid w:val="00967D01"/>
    <w:rsid w:val="00967FFE"/>
    <w:rsid w:val="00970ABD"/>
    <w:rsid w:val="00971150"/>
    <w:rsid w:val="0097128E"/>
    <w:rsid w:val="00971B4C"/>
    <w:rsid w:val="00971B5A"/>
    <w:rsid w:val="00973F0E"/>
    <w:rsid w:val="00973F40"/>
    <w:rsid w:val="0097664D"/>
    <w:rsid w:val="00980EEF"/>
    <w:rsid w:val="009811CE"/>
    <w:rsid w:val="00982840"/>
    <w:rsid w:val="00982ACF"/>
    <w:rsid w:val="00982E38"/>
    <w:rsid w:val="00983B19"/>
    <w:rsid w:val="00985ED3"/>
    <w:rsid w:val="00985FD7"/>
    <w:rsid w:val="009866A8"/>
    <w:rsid w:val="009911A2"/>
    <w:rsid w:val="009915C9"/>
    <w:rsid w:val="009915E1"/>
    <w:rsid w:val="009927FE"/>
    <w:rsid w:val="00992CDD"/>
    <w:rsid w:val="00992DDF"/>
    <w:rsid w:val="00993C45"/>
    <w:rsid w:val="00993EB6"/>
    <w:rsid w:val="00994305"/>
    <w:rsid w:val="00994C87"/>
    <w:rsid w:val="00995DD7"/>
    <w:rsid w:val="009960CF"/>
    <w:rsid w:val="009968C4"/>
    <w:rsid w:val="00997A5B"/>
    <w:rsid w:val="009A058A"/>
    <w:rsid w:val="009A123B"/>
    <w:rsid w:val="009A2F97"/>
    <w:rsid w:val="009A4895"/>
    <w:rsid w:val="009A4B77"/>
    <w:rsid w:val="009A57DE"/>
    <w:rsid w:val="009A5A33"/>
    <w:rsid w:val="009A5ACC"/>
    <w:rsid w:val="009A6A4C"/>
    <w:rsid w:val="009A6EFF"/>
    <w:rsid w:val="009A72CC"/>
    <w:rsid w:val="009B0716"/>
    <w:rsid w:val="009B08AD"/>
    <w:rsid w:val="009B1A9F"/>
    <w:rsid w:val="009B28ED"/>
    <w:rsid w:val="009B2D4E"/>
    <w:rsid w:val="009B3E84"/>
    <w:rsid w:val="009B4DE1"/>
    <w:rsid w:val="009B5A16"/>
    <w:rsid w:val="009B71FA"/>
    <w:rsid w:val="009B7424"/>
    <w:rsid w:val="009B7DAD"/>
    <w:rsid w:val="009C1AA7"/>
    <w:rsid w:val="009C24F0"/>
    <w:rsid w:val="009C3450"/>
    <w:rsid w:val="009C3B00"/>
    <w:rsid w:val="009C4409"/>
    <w:rsid w:val="009C49A0"/>
    <w:rsid w:val="009D05F2"/>
    <w:rsid w:val="009D19F2"/>
    <w:rsid w:val="009D2067"/>
    <w:rsid w:val="009D28EF"/>
    <w:rsid w:val="009D5935"/>
    <w:rsid w:val="009D5A6B"/>
    <w:rsid w:val="009D600D"/>
    <w:rsid w:val="009D72FD"/>
    <w:rsid w:val="009D73AA"/>
    <w:rsid w:val="009D7FDE"/>
    <w:rsid w:val="009E0F37"/>
    <w:rsid w:val="009E108E"/>
    <w:rsid w:val="009E1420"/>
    <w:rsid w:val="009E197C"/>
    <w:rsid w:val="009E19AE"/>
    <w:rsid w:val="009E1DF6"/>
    <w:rsid w:val="009E2474"/>
    <w:rsid w:val="009E2840"/>
    <w:rsid w:val="009E2DA5"/>
    <w:rsid w:val="009E52AD"/>
    <w:rsid w:val="009E6043"/>
    <w:rsid w:val="009E62F3"/>
    <w:rsid w:val="009F058C"/>
    <w:rsid w:val="009F06F6"/>
    <w:rsid w:val="009F086B"/>
    <w:rsid w:val="009F0C93"/>
    <w:rsid w:val="009F1A37"/>
    <w:rsid w:val="009F1F73"/>
    <w:rsid w:val="009F1FF9"/>
    <w:rsid w:val="009F290D"/>
    <w:rsid w:val="009F336F"/>
    <w:rsid w:val="009F3A7E"/>
    <w:rsid w:val="009F44D7"/>
    <w:rsid w:val="009F5A21"/>
    <w:rsid w:val="009F5A75"/>
    <w:rsid w:val="009F692C"/>
    <w:rsid w:val="00A00362"/>
    <w:rsid w:val="00A01738"/>
    <w:rsid w:val="00A02C14"/>
    <w:rsid w:val="00A036DC"/>
    <w:rsid w:val="00A04379"/>
    <w:rsid w:val="00A04712"/>
    <w:rsid w:val="00A07A6C"/>
    <w:rsid w:val="00A13871"/>
    <w:rsid w:val="00A13C6C"/>
    <w:rsid w:val="00A14461"/>
    <w:rsid w:val="00A1473D"/>
    <w:rsid w:val="00A14826"/>
    <w:rsid w:val="00A15361"/>
    <w:rsid w:val="00A1543E"/>
    <w:rsid w:val="00A154E6"/>
    <w:rsid w:val="00A1623B"/>
    <w:rsid w:val="00A16861"/>
    <w:rsid w:val="00A1796E"/>
    <w:rsid w:val="00A17BB2"/>
    <w:rsid w:val="00A20829"/>
    <w:rsid w:val="00A217F5"/>
    <w:rsid w:val="00A223BC"/>
    <w:rsid w:val="00A23075"/>
    <w:rsid w:val="00A2319F"/>
    <w:rsid w:val="00A2329E"/>
    <w:rsid w:val="00A23D18"/>
    <w:rsid w:val="00A247C0"/>
    <w:rsid w:val="00A24A54"/>
    <w:rsid w:val="00A24D29"/>
    <w:rsid w:val="00A24F6D"/>
    <w:rsid w:val="00A25017"/>
    <w:rsid w:val="00A26800"/>
    <w:rsid w:val="00A26CF9"/>
    <w:rsid w:val="00A26F5A"/>
    <w:rsid w:val="00A27D2D"/>
    <w:rsid w:val="00A305BE"/>
    <w:rsid w:val="00A33FFD"/>
    <w:rsid w:val="00A34791"/>
    <w:rsid w:val="00A34BDC"/>
    <w:rsid w:val="00A3528B"/>
    <w:rsid w:val="00A3542F"/>
    <w:rsid w:val="00A35B30"/>
    <w:rsid w:val="00A36255"/>
    <w:rsid w:val="00A367A2"/>
    <w:rsid w:val="00A36841"/>
    <w:rsid w:val="00A36B10"/>
    <w:rsid w:val="00A37163"/>
    <w:rsid w:val="00A4120A"/>
    <w:rsid w:val="00A41534"/>
    <w:rsid w:val="00A429D9"/>
    <w:rsid w:val="00A42B72"/>
    <w:rsid w:val="00A43DFF"/>
    <w:rsid w:val="00A44361"/>
    <w:rsid w:val="00A45271"/>
    <w:rsid w:val="00A45645"/>
    <w:rsid w:val="00A47FA9"/>
    <w:rsid w:val="00A51091"/>
    <w:rsid w:val="00A52082"/>
    <w:rsid w:val="00A525D1"/>
    <w:rsid w:val="00A528D2"/>
    <w:rsid w:val="00A54E63"/>
    <w:rsid w:val="00A54FB1"/>
    <w:rsid w:val="00A550A9"/>
    <w:rsid w:val="00A550FF"/>
    <w:rsid w:val="00A5511A"/>
    <w:rsid w:val="00A56460"/>
    <w:rsid w:val="00A60047"/>
    <w:rsid w:val="00A60297"/>
    <w:rsid w:val="00A622EA"/>
    <w:rsid w:val="00A63113"/>
    <w:rsid w:val="00A6330D"/>
    <w:rsid w:val="00A639B3"/>
    <w:rsid w:val="00A65BAB"/>
    <w:rsid w:val="00A678D6"/>
    <w:rsid w:val="00A71643"/>
    <w:rsid w:val="00A71D24"/>
    <w:rsid w:val="00A724DE"/>
    <w:rsid w:val="00A725B1"/>
    <w:rsid w:val="00A72D1A"/>
    <w:rsid w:val="00A72D91"/>
    <w:rsid w:val="00A737D9"/>
    <w:rsid w:val="00A7405C"/>
    <w:rsid w:val="00A747E4"/>
    <w:rsid w:val="00A75E0D"/>
    <w:rsid w:val="00A822F0"/>
    <w:rsid w:val="00A83395"/>
    <w:rsid w:val="00A8340F"/>
    <w:rsid w:val="00A83A27"/>
    <w:rsid w:val="00A8433A"/>
    <w:rsid w:val="00A84438"/>
    <w:rsid w:val="00A84FC2"/>
    <w:rsid w:val="00A84FFC"/>
    <w:rsid w:val="00A85837"/>
    <w:rsid w:val="00A86B82"/>
    <w:rsid w:val="00A90A8D"/>
    <w:rsid w:val="00A9396F"/>
    <w:rsid w:val="00A9477E"/>
    <w:rsid w:val="00A948BB"/>
    <w:rsid w:val="00A95E93"/>
    <w:rsid w:val="00AA0933"/>
    <w:rsid w:val="00AA152B"/>
    <w:rsid w:val="00AA1612"/>
    <w:rsid w:val="00AA19D9"/>
    <w:rsid w:val="00AA2D1A"/>
    <w:rsid w:val="00AA2FB7"/>
    <w:rsid w:val="00AA36C2"/>
    <w:rsid w:val="00AA380D"/>
    <w:rsid w:val="00AA7278"/>
    <w:rsid w:val="00AA7398"/>
    <w:rsid w:val="00AB0E4D"/>
    <w:rsid w:val="00AB1233"/>
    <w:rsid w:val="00AB1852"/>
    <w:rsid w:val="00AB3596"/>
    <w:rsid w:val="00AB386A"/>
    <w:rsid w:val="00AB4305"/>
    <w:rsid w:val="00AB5351"/>
    <w:rsid w:val="00AB635C"/>
    <w:rsid w:val="00AB6CBB"/>
    <w:rsid w:val="00AB701A"/>
    <w:rsid w:val="00AC05A4"/>
    <w:rsid w:val="00AC09A7"/>
    <w:rsid w:val="00AC0C47"/>
    <w:rsid w:val="00AC262D"/>
    <w:rsid w:val="00AC2885"/>
    <w:rsid w:val="00AC2AA2"/>
    <w:rsid w:val="00AC4540"/>
    <w:rsid w:val="00AC5A01"/>
    <w:rsid w:val="00AC61B4"/>
    <w:rsid w:val="00AC6234"/>
    <w:rsid w:val="00AC6A3F"/>
    <w:rsid w:val="00AC7432"/>
    <w:rsid w:val="00AC7960"/>
    <w:rsid w:val="00AC7B1D"/>
    <w:rsid w:val="00AD0C3C"/>
    <w:rsid w:val="00AD16FD"/>
    <w:rsid w:val="00AD1F02"/>
    <w:rsid w:val="00AD2162"/>
    <w:rsid w:val="00AD259C"/>
    <w:rsid w:val="00AD27C1"/>
    <w:rsid w:val="00AD2801"/>
    <w:rsid w:val="00AD30C7"/>
    <w:rsid w:val="00AD3BF1"/>
    <w:rsid w:val="00AD3CE4"/>
    <w:rsid w:val="00AD415A"/>
    <w:rsid w:val="00AD4457"/>
    <w:rsid w:val="00AD7CA2"/>
    <w:rsid w:val="00AE00FF"/>
    <w:rsid w:val="00AE0757"/>
    <w:rsid w:val="00AE0C9B"/>
    <w:rsid w:val="00AE0CF6"/>
    <w:rsid w:val="00AE0F6B"/>
    <w:rsid w:val="00AE2443"/>
    <w:rsid w:val="00AE2CA0"/>
    <w:rsid w:val="00AE51B6"/>
    <w:rsid w:val="00AE623D"/>
    <w:rsid w:val="00AE6F0B"/>
    <w:rsid w:val="00AE72A0"/>
    <w:rsid w:val="00AE775E"/>
    <w:rsid w:val="00AE77FB"/>
    <w:rsid w:val="00AF0575"/>
    <w:rsid w:val="00AF0A3A"/>
    <w:rsid w:val="00AF11B3"/>
    <w:rsid w:val="00AF193E"/>
    <w:rsid w:val="00AF1D81"/>
    <w:rsid w:val="00AF21FB"/>
    <w:rsid w:val="00AF726C"/>
    <w:rsid w:val="00B00DA7"/>
    <w:rsid w:val="00B016B8"/>
    <w:rsid w:val="00B01BA5"/>
    <w:rsid w:val="00B01FCB"/>
    <w:rsid w:val="00B027D1"/>
    <w:rsid w:val="00B030CE"/>
    <w:rsid w:val="00B034AF"/>
    <w:rsid w:val="00B03A36"/>
    <w:rsid w:val="00B03D53"/>
    <w:rsid w:val="00B072B8"/>
    <w:rsid w:val="00B107D0"/>
    <w:rsid w:val="00B11EDD"/>
    <w:rsid w:val="00B12394"/>
    <w:rsid w:val="00B12772"/>
    <w:rsid w:val="00B1300F"/>
    <w:rsid w:val="00B145D0"/>
    <w:rsid w:val="00B16359"/>
    <w:rsid w:val="00B16844"/>
    <w:rsid w:val="00B16AF9"/>
    <w:rsid w:val="00B1752D"/>
    <w:rsid w:val="00B2028C"/>
    <w:rsid w:val="00B20C3E"/>
    <w:rsid w:val="00B21BE3"/>
    <w:rsid w:val="00B21E44"/>
    <w:rsid w:val="00B24023"/>
    <w:rsid w:val="00B24AA6"/>
    <w:rsid w:val="00B24FB0"/>
    <w:rsid w:val="00B250FD"/>
    <w:rsid w:val="00B270E7"/>
    <w:rsid w:val="00B27655"/>
    <w:rsid w:val="00B3094C"/>
    <w:rsid w:val="00B3397C"/>
    <w:rsid w:val="00B346E0"/>
    <w:rsid w:val="00B35995"/>
    <w:rsid w:val="00B36262"/>
    <w:rsid w:val="00B40078"/>
    <w:rsid w:val="00B41922"/>
    <w:rsid w:val="00B41A93"/>
    <w:rsid w:val="00B41CEB"/>
    <w:rsid w:val="00B43375"/>
    <w:rsid w:val="00B44CF0"/>
    <w:rsid w:val="00B44F93"/>
    <w:rsid w:val="00B463BC"/>
    <w:rsid w:val="00B4655A"/>
    <w:rsid w:val="00B50594"/>
    <w:rsid w:val="00B51413"/>
    <w:rsid w:val="00B52286"/>
    <w:rsid w:val="00B52C8D"/>
    <w:rsid w:val="00B52CAF"/>
    <w:rsid w:val="00B52F29"/>
    <w:rsid w:val="00B52FE7"/>
    <w:rsid w:val="00B53192"/>
    <w:rsid w:val="00B537B9"/>
    <w:rsid w:val="00B537D9"/>
    <w:rsid w:val="00B53BFE"/>
    <w:rsid w:val="00B5452A"/>
    <w:rsid w:val="00B5474E"/>
    <w:rsid w:val="00B5503F"/>
    <w:rsid w:val="00B562BC"/>
    <w:rsid w:val="00B56555"/>
    <w:rsid w:val="00B5698E"/>
    <w:rsid w:val="00B57C9B"/>
    <w:rsid w:val="00B6264B"/>
    <w:rsid w:val="00B63798"/>
    <w:rsid w:val="00B638F2"/>
    <w:rsid w:val="00B63F21"/>
    <w:rsid w:val="00B65D4C"/>
    <w:rsid w:val="00B66121"/>
    <w:rsid w:val="00B6636F"/>
    <w:rsid w:val="00B66C80"/>
    <w:rsid w:val="00B71BA0"/>
    <w:rsid w:val="00B71C4D"/>
    <w:rsid w:val="00B7357F"/>
    <w:rsid w:val="00B7382A"/>
    <w:rsid w:val="00B74404"/>
    <w:rsid w:val="00B74881"/>
    <w:rsid w:val="00B74B92"/>
    <w:rsid w:val="00B758B0"/>
    <w:rsid w:val="00B7599C"/>
    <w:rsid w:val="00B763C3"/>
    <w:rsid w:val="00B76667"/>
    <w:rsid w:val="00B76FFA"/>
    <w:rsid w:val="00B81EBB"/>
    <w:rsid w:val="00B81FF9"/>
    <w:rsid w:val="00B839B7"/>
    <w:rsid w:val="00B844C9"/>
    <w:rsid w:val="00B849EE"/>
    <w:rsid w:val="00B84CC5"/>
    <w:rsid w:val="00B85AB2"/>
    <w:rsid w:val="00B860B7"/>
    <w:rsid w:val="00B86F8F"/>
    <w:rsid w:val="00B87645"/>
    <w:rsid w:val="00B90055"/>
    <w:rsid w:val="00B905A3"/>
    <w:rsid w:val="00B90729"/>
    <w:rsid w:val="00B9231D"/>
    <w:rsid w:val="00B93121"/>
    <w:rsid w:val="00B932AD"/>
    <w:rsid w:val="00B948AB"/>
    <w:rsid w:val="00B949C9"/>
    <w:rsid w:val="00B94A92"/>
    <w:rsid w:val="00B94C7A"/>
    <w:rsid w:val="00B94DDF"/>
    <w:rsid w:val="00B95096"/>
    <w:rsid w:val="00B956FC"/>
    <w:rsid w:val="00B9627D"/>
    <w:rsid w:val="00B96962"/>
    <w:rsid w:val="00B96C85"/>
    <w:rsid w:val="00BA2E5C"/>
    <w:rsid w:val="00BA30D7"/>
    <w:rsid w:val="00BA3224"/>
    <w:rsid w:val="00BA34A1"/>
    <w:rsid w:val="00BA37ED"/>
    <w:rsid w:val="00BA38C0"/>
    <w:rsid w:val="00BA3937"/>
    <w:rsid w:val="00BA3E7C"/>
    <w:rsid w:val="00BA40F0"/>
    <w:rsid w:val="00BA4DDA"/>
    <w:rsid w:val="00BA567F"/>
    <w:rsid w:val="00BA5C2E"/>
    <w:rsid w:val="00BB0356"/>
    <w:rsid w:val="00BB179C"/>
    <w:rsid w:val="00BB2818"/>
    <w:rsid w:val="00BB46A9"/>
    <w:rsid w:val="00BB4E56"/>
    <w:rsid w:val="00BB6040"/>
    <w:rsid w:val="00BB6114"/>
    <w:rsid w:val="00BB6379"/>
    <w:rsid w:val="00BB7293"/>
    <w:rsid w:val="00BB72F4"/>
    <w:rsid w:val="00BB7B6D"/>
    <w:rsid w:val="00BC1BE3"/>
    <w:rsid w:val="00BC2A51"/>
    <w:rsid w:val="00BC2B62"/>
    <w:rsid w:val="00BC3790"/>
    <w:rsid w:val="00BC386D"/>
    <w:rsid w:val="00BC4268"/>
    <w:rsid w:val="00BC484E"/>
    <w:rsid w:val="00BC4F62"/>
    <w:rsid w:val="00BC5090"/>
    <w:rsid w:val="00BC54A4"/>
    <w:rsid w:val="00BC56D1"/>
    <w:rsid w:val="00BC6861"/>
    <w:rsid w:val="00BC6CC2"/>
    <w:rsid w:val="00BC786B"/>
    <w:rsid w:val="00BD2D78"/>
    <w:rsid w:val="00BD3562"/>
    <w:rsid w:val="00BD3B20"/>
    <w:rsid w:val="00BD443F"/>
    <w:rsid w:val="00BD57FE"/>
    <w:rsid w:val="00BD719B"/>
    <w:rsid w:val="00BD753E"/>
    <w:rsid w:val="00BE1F61"/>
    <w:rsid w:val="00BE36B6"/>
    <w:rsid w:val="00BE515E"/>
    <w:rsid w:val="00BE706F"/>
    <w:rsid w:val="00BE719B"/>
    <w:rsid w:val="00BF03E1"/>
    <w:rsid w:val="00BF0B90"/>
    <w:rsid w:val="00BF1718"/>
    <w:rsid w:val="00BF1F33"/>
    <w:rsid w:val="00BF1FB8"/>
    <w:rsid w:val="00BF2667"/>
    <w:rsid w:val="00BF2C75"/>
    <w:rsid w:val="00BF2E69"/>
    <w:rsid w:val="00BF40F0"/>
    <w:rsid w:val="00BF414F"/>
    <w:rsid w:val="00BF4386"/>
    <w:rsid w:val="00BF49BA"/>
    <w:rsid w:val="00BF5CC8"/>
    <w:rsid w:val="00BF65BD"/>
    <w:rsid w:val="00BF7E23"/>
    <w:rsid w:val="00C00A03"/>
    <w:rsid w:val="00C00E8C"/>
    <w:rsid w:val="00C027DA"/>
    <w:rsid w:val="00C02839"/>
    <w:rsid w:val="00C02B80"/>
    <w:rsid w:val="00C02C36"/>
    <w:rsid w:val="00C049A6"/>
    <w:rsid w:val="00C04D13"/>
    <w:rsid w:val="00C0710C"/>
    <w:rsid w:val="00C11081"/>
    <w:rsid w:val="00C135D7"/>
    <w:rsid w:val="00C13F96"/>
    <w:rsid w:val="00C151E7"/>
    <w:rsid w:val="00C16432"/>
    <w:rsid w:val="00C1696F"/>
    <w:rsid w:val="00C1718C"/>
    <w:rsid w:val="00C201B8"/>
    <w:rsid w:val="00C215F5"/>
    <w:rsid w:val="00C22F96"/>
    <w:rsid w:val="00C24AFF"/>
    <w:rsid w:val="00C25E52"/>
    <w:rsid w:val="00C25F96"/>
    <w:rsid w:val="00C27FFE"/>
    <w:rsid w:val="00C30A3C"/>
    <w:rsid w:val="00C311D2"/>
    <w:rsid w:val="00C31E86"/>
    <w:rsid w:val="00C33CAA"/>
    <w:rsid w:val="00C34DCA"/>
    <w:rsid w:val="00C36110"/>
    <w:rsid w:val="00C364E9"/>
    <w:rsid w:val="00C375E8"/>
    <w:rsid w:val="00C37B21"/>
    <w:rsid w:val="00C37B36"/>
    <w:rsid w:val="00C40178"/>
    <w:rsid w:val="00C40478"/>
    <w:rsid w:val="00C40523"/>
    <w:rsid w:val="00C40B34"/>
    <w:rsid w:val="00C40CCE"/>
    <w:rsid w:val="00C4199D"/>
    <w:rsid w:val="00C41BEF"/>
    <w:rsid w:val="00C41FB1"/>
    <w:rsid w:val="00C43581"/>
    <w:rsid w:val="00C43CC6"/>
    <w:rsid w:val="00C44AB0"/>
    <w:rsid w:val="00C44D7D"/>
    <w:rsid w:val="00C45424"/>
    <w:rsid w:val="00C45EAE"/>
    <w:rsid w:val="00C46B75"/>
    <w:rsid w:val="00C474B5"/>
    <w:rsid w:val="00C50885"/>
    <w:rsid w:val="00C53037"/>
    <w:rsid w:val="00C53734"/>
    <w:rsid w:val="00C54E03"/>
    <w:rsid w:val="00C55534"/>
    <w:rsid w:val="00C56C06"/>
    <w:rsid w:val="00C571B5"/>
    <w:rsid w:val="00C579C8"/>
    <w:rsid w:val="00C57B22"/>
    <w:rsid w:val="00C60714"/>
    <w:rsid w:val="00C62329"/>
    <w:rsid w:val="00C63211"/>
    <w:rsid w:val="00C643E0"/>
    <w:rsid w:val="00C64F2F"/>
    <w:rsid w:val="00C6543E"/>
    <w:rsid w:val="00C65EC7"/>
    <w:rsid w:val="00C6653D"/>
    <w:rsid w:val="00C66C61"/>
    <w:rsid w:val="00C71255"/>
    <w:rsid w:val="00C7146C"/>
    <w:rsid w:val="00C7163F"/>
    <w:rsid w:val="00C71759"/>
    <w:rsid w:val="00C71E90"/>
    <w:rsid w:val="00C72CE1"/>
    <w:rsid w:val="00C73CBF"/>
    <w:rsid w:val="00C748C0"/>
    <w:rsid w:val="00C7492C"/>
    <w:rsid w:val="00C752ED"/>
    <w:rsid w:val="00C75362"/>
    <w:rsid w:val="00C7674F"/>
    <w:rsid w:val="00C824FD"/>
    <w:rsid w:val="00C84B2E"/>
    <w:rsid w:val="00C864E6"/>
    <w:rsid w:val="00C8756C"/>
    <w:rsid w:val="00C87773"/>
    <w:rsid w:val="00C90EAD"/>
    <w:rsid w:val="00C9122F"/>
    <w:rsid w:val="00C916F1"/>
    <w:rsid w:val="00C91918"/>
    <w:rsid w:val="00C92483"/>
    <w:rsid w:val="00C92D9B"/>
    <w:rsid w:val="00C92F44"/>
    <w:rsid w:val="00C933C8"/>
    <w:rsid w:val="00C93D95"/>
    <w:rsid w:val="00C93EDE"/>
    <w:rsid w:val="00C9462A"/>
    <w:rsid w:val="00C94E37"/>
    <w:rsid w:val="00C95332"/>
    <w:rsid w:val="00C96E02"/>
    <w:rsid w:val="00C97E49"/>
    <w:rsid w:val="00CA0443"/>
    <w:rsid w:val="00CA0735"/>
    <w:rsid w:val="00CA09CB"/>
    <w:rsid w:val="00CA20DD"/>
    <w:rsid w:val="00CA32BF"/>
    <w:rsid w:val="00CA427E"/>
    <w:rsid w:val="00CA479B"/>
    <w:rsid w:val="00CA5656"/>
    <w:rsid w:val="00CA630B"/>
    <w:rsid w:val="00CA6B56"/>
    <w:rsid w:val="00CA73C0"/>
    <w:rsid w:val="00CA78DF"/>
    <w:rsid w:val="00CB0D34"/>
    <w:rsid w:val="00CB1CAB"/>
    <w:rsid w:val="00CB1F9F"/>
    <w:rsid w:val="00CB3FC2"/>
    <w:rsid w:val="00CB48BD"/>
    <w:rsid w:val="00CB553B"/>
    <w:rsid w:val="00CB5CD0"/>
    <w:rsid w:val="00CB613F"/>
    <w:rsid w:val="00CB6601"/>
    <w:rsid w:val="00CB70B7"/>
    <w:rsid w:val="00CC044C"/>
    <w:rsid w:val="00CC08B8"/>
    <w:rsid w:val="00CC22CF"/>
    <w:rsid w:val="00CC2BD0"/>
    <w:rsid w:val="00CC4477"/>
    <w:rsid w:val="00CC463D"/>
    <w:rsid w:val="00CC4989"/>
    <w:rsid w:val="00CC4E6A"/>
    <w:rsid w:val="00CC63EE"/>
    <w:rsid w:val="00CC68B1"/>
    <w:rsid w:val="00CC7CAB"/>
    <w:rsid w:val="00CC7D40"/>
    <w:rsid w:val="00CD09A9"/>
    <w:rsid w:val="00CD0C40"/>
    <w:rsid w:val="00CD11A0"/>
    <w:rsid w:val="00CD1F48"/>
    <w:rsid w:val="00CD3586"/>
    <w:rsid w:val="00CD40D0"/>
    <w:rsid w:val="00CD4158"/>
    <w:rsid w:val="00CD4375"/>
    <w:rsid w:val="00CD58F9"/>
    <w:rsid w:val="00CD6242"/>
    <w:rsid w:val="00CD6807"/>
    <w:rsid w:val="00CD6C7B"/>
    <w:rsid w:val="00CD7576"/>
    <w:rsid w:val="00CD7CB9"/>
    <w:rsid w:val="00CE04F2"/>
    <w:rsid w:val="00CE0643"/>
    <w:rsid w:val="00CE2E3A"/>
    <w:rsid w:val="00CE343B"/>
    <w:rsid w:val="00CE381A"/>
    <w:rsid w:val="00CE4E61"/>
    <w:rsid w:val="00CE51AF"/>
    <w:rsid w:val="00CE5689"/>
    <w:rsid w:val="00CE659F"/>
    <w:rsid w:val="00CE6DE3"/>
    <w:rsid w:val="00CE7104"/>
    <w:rsid w:val="00CE7BA9"/>
    <w:rsid w:val="00CF0341"/>
    <w:rsid w:val="00CF2216"/>
    <w:rsid w:val="00CF3D6A"/>
    <w:rsid w:val="00CF3DFC"/>
    <w:rsid w:val="00CF479F"/>
    <w:rsid w:val="00CF6B89"/>
    <w:rsid w:val="00CF7377"/>
    <w:rsid w:val="00D002CD"/>
    <w:rsid w:val="00D00EE6"/>
    <w:rsid w:val="00D00EEF"/>
    <w:rsid w:val="00D03136"/>
    <w:rsid w:val="00D03BCD"/>
    <w:rsid w:val="00D042DB"/>
    <w:rsid w:val="00D04D29"/>
    <w:rsid w:val="00D05217"/>
    <w:rsid w:val="00D0614C"/>
    <w:rsid w:val="00D0651E"/>
    <w:rsid w:val="00D067A7"/>
    <w:rsid w:val="00D06960"/>
    <w:rsid w:val="00D069EE"/>
    <w:rsid w:val="00D07721"/>
    <w:rsid w:val="00D079CD"/>
    <w:rsid w:val="00D10817"/>
    <w:rsid w:val="00D114F3"/>
    <w:rsid w:val="00D11CDF"/>
    <w:rsid w:val="00D12B59"/>
    <w:rsid w:val="00D132D2"/>
    <w:rsid w:val="00D136B9"/>
    <w:rsid w:val="00D1404C"/>
    <w:rsid w:val="00D146AB"/>
    <w:rsid w:val="00D15183"/>
    <w:rsid w:val="00D16BD7"/>
    <w:rsid w:val="00D16EFB"/>
    <w:rsid w:val="00D21DC0"/>
    <w:rsid w:val="00D2233E"/>
    <w:rsid w:val="00D23788"/>
    <w:rsid w:val="00D238F0"/>
    <w:rsid w:val="00D239DD"/>
    <w:rsid w:val="00D23BB3"/>
    <w:rsid w:val="00D24086"/>
    <w:rsid w:val="00D2693E"/>
    <w:rsid w:val="00D27998"/>
    <w:rsid w:val="00D27ACF"/>
    <w:rsid w:val="00D27F6D"/>
    <w:rsid w:val="00D30F52"/>
    <w:rsid w:val="00D310A2"/>
    <w:rsid w:val="00D3117E"/>
    <w:rsid w:val="00D31808"/>
    <w:rsid w:val="00D31929"/>
    <w:rsid w:val="00D325C1"/>
    <w:rsid w:val="00D33556"/>
    <w:rsid w:val="00D3390C"/>
    <w:rsid w:val="00D33DD1"/>
    <w:rsid w:val="00D3441A"/>
    <w:rsid w:val="00D349B8"/>
    <w:rsid w:val="00D34B63"/>
    <w:rsid w:val="00D34F08"/>
    <w:rsid w:val="00D3549F"/>
    <w:rsid w:val="00D36FED"/>
    <w:rsid w:val="00D373D9"/>
    <w:rsid w:val="00D37679"/>
    <w:rsid w:val="00D3782B"/>
    <w:rsid w:val="00D41C2B"/>
    <w:rsid w:val="00D42BE0"/>
    <w:rsid w:val="00D42E63"/>
    <w:rsid w:val="00D43576"/>
    <w:rsid w:val="00D438F2"/>
    <w:rsid w:val="00D43C9A"/>
    <w:rsid w:val="00D4419F"/>
    <w:rsid w:val="00D44B09"/>
    <w:rsid w:val="00D4611C"/>
    <w:rsid w:val="00D46CD6"/>
    <w:rsid w:val="00D46D2A"/>
    <w:rsid w:val="00D470EB"/>
    <w:rsid w:val="00D47361"/>
    <w:rsid w:val="00D51076"/>
    <w:rsid w:val="00D52ACC"/>
    <w:rsid w:val="00D53163"/>
    <w:rsid w:val="00D539E8"/>
    <w:rsid w:val="00D53ADE"/>
    <w:rsid w:val="00D54C4C"/>
    <w:rsid w:val="00D56968"/>
    <w:rsid w:val="00D56A8D"/>
    <w:rsid w:val="00D56D6B"/>
    <w:rsid w:val="00D575C2"/>
    <w:rsid w:val="00D57605"/>
    <w:rsid w:val="00D57F11"/>
    <w:rsid w:val="00D60220"/>
    <w:rsid w:val="00D61E99"/>
    <w:rsid w:val="00D62293"/>
    <w:rsid w:val="00D623D7"/>
    <w:rsid w:val="00D62849"/>
    <w:rsid w:val="00D630F7"/>
    <w:rsid w:val="00D63D26"/>
    <w:rsid w:val="00D6582E"/>
    <w:rsid w:val="00D668FA"/>
    <w:rsid w:val="00D66A2A"/>
    <w:rsid w:val="00D6789B"/>
    <w:rsid w:val="00D67F18"/>
    <w:rsid w:val="00D70B68"/>
    <w:rsid w:val="00D70DC9"/>
    <w:rsid w:val="00D71698"/>
    <w:rsid w:val="00D71B1B"/>
    <w:rsid w:val="00D7248B"/>
    <w:rsid w:val="00D73546"/>
    <w:rsid w:val="00D73721"/>
    <w:rsid w:val="00D74413"/>
    <w:rsid w:val="00D744FA"/>
    <w:rsid w:val="00D7476A"/>
    <w:rsid w:val="00D7488E"/>
    <w:rsid w:val="00D74FDB"/>
    <w:rsid w:val="00D75079"/>
    <w:rsid w:val="00D76A8B"/>
    <w:rsid w:val="00D76EC8"/>
    <w:rsid w:val="00D77B1C"/>
    <w:rsid w:val="00D8063C"/>
    <w:rsid w:val="00D80B33"/>
    <w:rsid w:val="00D80E8E"/>
    <w:rsid w:val="00D8173C"/>
    <w:rsid w:val="00D822B2"/>
    <w:rsid w:val="00D84ED7"/>
    <w:rsid w:val="00D85B71"/>
    <w:rsid w:val="00D8617D"/>
    <w:rsid w:val="00D864CA"/>
    <w:rsid w:val="00D86DD0"/>
    <w:rsid w:val="00D87B3E"/>
    <w:rsid w:val="00D91989"/>
    <w:rsid w:val="00D92AF0"/>
    <w:rsid w:val="00D92CD9"/>
    <w:rsid w:val="00D9332A"/>
    <w:rsid w:val="00D93A26"/>
    <w:rsid w:val="00D941ED"/>
    <w:rsid w:val="00D94DC2"/>
    <w:rsid w:val="00D9669E"/>
    <w:rsid w:val="00D9695C"/>
    <w:rsid w:val="00D969C2"/>
    <w:rsid w:val="00DA070E"/>
    <w:rsid w:val="00DA1060"/>
    <w:rsid w:val="00DA1184"/>
    <w:rsid w:val="00DA1E38"/>
    <w:rsid w:val="00DA2C81"/>
    <w:rsid w:val="00DA5998"/>
    <w:rsid w:val="00DA5E5F"/>
    <w:rsid w:val="00DA71A6"/>
    <w:rsid w:val="00DB0A52"/>
    <w:rsid w:val="00DB1074"/>
    <w:rsid w:val="00DB1228"/>
    <w:rsid w:val="00DB1467"/>
    <w:rsid w:val="00DB2795"/>
    <w:rsid w:val="00DB30AA"/>
    <w:rsid w:val="00DB3609"/>
    <w:rsid w:val="00DB3B32"/>
    <w:rsid w:val="00DB4767"/>
    <w:rsid w:val="00DB499C"/>
    <w:rsid w:val="00DB55A5"/>
    <w:rsid w:val="00DB5C31"/>
    <w:rsid w:val="00DB5EDD"/>
    <w:rsid w:val="00DB6123"/>
    <w:rsid w:val="00DB6C24"/>
    <w:rsid w:val="00DB6CEC"/>
    <w:rsid w:val="00DB785C"/>
    <w:rsid w:val="00DB7B4B"/>
    <w:rsid w:val="00DC017D"/>
    <w:rsid w:val="00DC1756"/>
    <w:rsid w:val="00DC1959"/>
    <w:rsid w:val="00DC1FC7"/>
    <w:rsid w:val="00DC2515"/>
    <w:rsid w:val="00DC2C94"/>
    <w:rsid w:val="00DC2F58"/>
    <w:rsid w:val="00DC31D2"/>
    <w:rsid w:val="00DC34CA"/>
    <w:rsid w:val="00DC3835"/>
    <w:rsid w:val="00DC4CD0"/>
    <w:rsid w:val="00DC5624"/>
    <w:rsid w:val="00DC57E7"/>
    <w:rsid w:val="00DC6211"/>
    <w:rsid w:val="00DC7290"/>
    <w:rsid w:val="00DD0B27"/>
    <w:rsid w:val="00DD1147"/>
    <w:rsid w:val="00DD1698"/>
    <w:rsid w:val="00DD3670"/>
    <w:rsid w:val="00DD5F04"/>
    <w:rsid w:val="00DD673A"/>
    <w:rsid w:val="00DD6CF4"/>
    <w:rsid w:val="00DD6F0D"/>
    <w:rsid w:val="00DD7BE7"/>
    <w:rsid w:val="00DE333E"/>
    <w:rsid w:val="00DE3E61"/>
    <w:rsid w:val="00DE3E68"/>
    <w:rsid w:val="00DE4019"/>
    <w:rsid w:val="00DE4851"/>
    <w:rsid w:val="00DE4870"/>
    <w:rsid w:val="00DE5855"/>
    <w:rsid w:val="00DE6BA7"/>
    <w:rsid w:val="00DE6CF7"/>
    <w:rsid w:val="00DE6DCA"/>
    <w:rsid w:val="00DE7894"/>
    <w:rsid w:val="00DE7C6C"/>
    <w:rsid w:val="00DE7F4D"/>
    <w:rsid w:val="00DF08FB"/>
    <w:rsid w:val="00DF0C98"/>
    <w:rsid w:val="00DF24C1"/>
    <w:rsid w:val="00DF2B19"/>
    <w:rsid w:val="00DF2C60"/>
    <w:rsid w:val="00DF32B0"/>
    <w:rsid w:val="00DF3815"/>
    <w:rsid w:val="00DF4939"/>
    <w:rsid w:val="00DF5767"/>
    <w:rsid w:val="00DF6F35"/>
    <w:rsid w:val="00DF7A7D"/>
    <w:rsid w:val="00E00580"/>
    <w:rsid w:val="00E01F26"/>
    <w:rsid w:val="00E0237C"/>
    <w:rsid w:val="00E035A1"/>
    <w:rsid w:val="00E035FE"/>
    <w:rsid w:val="00E03A96"/>
    <w:rsid w:val="00E03E0D"/>
    <w:rsid w:val="00E041A7"/>
    <w:rsid w:val="00E04BD9"/>
    <w:rsid w:val="00E066AF"/>
    <w:rsid w:val="00E066C8"/>
    <w:rsid w:val="00E06E2C"/>
    <w:rsid w:val="00E0754D"/>
    <w:rsid w:val="00E07D02"/>
    <w:rsid w:val="00E10073"/>
    <w:rsid w:val="00E10EEA"/>
    <w:rsid w:val="00E11C97"/>
    <w:rsid w:val="00E12CFE"/>
    <w:rsid w:val="00E13589"/>
    <w:rsid w:val="00E13A53"/>
    <w:rsid w:val="00E14098"/>
    <w:rsid w:val="00E15507"/>
    <w:rsid w:val="00E15971"/>
    <w:rsid w:val="00E15CED"/>
    <w:rsid w:val="00E17ABF"/>
    <w:rsid w:val="00E21DB1"/>
    <w:rsid w:val="00E22475"/>
    <w:rsid w:val="00E2286B"/>
    <w:rsid w:val="00E230A4"/>
    <w:rsid w:val="00E23E5B"/>
    <w:rsid w:val="00E25D30"/>
    <w:rsid w:val="00E26A15"/>
    <w:rsid w:val="00E30B72"/>
    <w:rsid w:val="00E3161B"/>
    <w:rsid w:val="00E316F2"/>
    <w:rsid w:val="00E3227E"/>
    <w:rsid w:val="00E3323A"/>
    <w:rsid w:val="00E336AC"/>
    <w:rsid w:val="00E35D2C"/>
    <w:rsid w:val="00E3626D"/>
    <w:rsid w:val="00E36A99"/>
    <w:rsid w:val="00E36B58"/>
    <w:rsid w:val="00E37007"/>
    <w:rsid w:val="00E3750F"/>
    <w:rsid w:val="00E37545"/>
    <w:rsid w:val="00E37B9C"/>
    <w:rsid w:val="00E4236E"/>
    <w:rsid w:val="00E4256D"/>
    <w:rsid w:val="00E42B0D"/>
    <w:rsid w:val="00E43A06"/>
    <w:rsid w:val="00E44F19"/>
    <w:rsid w:val="00E44FC2"/>
    <w:rsid w:val="00E451C9"/>
    <w:rsid w:val="00E45497"/>
    <w:rsid w:val="00E456F9"/>
    <w:rsid w:val="00E45D9D"/>
    <w:rsid w:val="00E4642A"/>
    <w:rsid w:val="00E46B5E"/>
    <w:rsid w:val="00E509CB"/>
    <w:rsid w:val="00E5143A"/>
    <w:rsid w:val="00E52909"/>
    <w:rsid w:val="00E53546"/>
    <w:rsid w:val="00E54705"/>
    <w:rsid w:val="00E549FE"/>
    <w:rsid w:val="00E5581C"/>
    <w:rsid w:val="00E55D75"/>
    <w:rsid w:val="00E55F17"/>
    <w:rsid w:val="00E5604E"/>
    <w:rsid w:val="00E606FD"/>
    <w:rsid w:val="00E6125E"/>
    <w:rsid w:val="00E6244F"/>
    <w:rsid w:val="00E62FBA"/>
    <w:rsid w:val="00E65BC0"/>
    <w:rsid w:val="00E665FF"/>
    <w:rsid w:val="00E7155B"/>
    <w:rsid w:val="00E7193B"/>
    <w:rsid w:val="00E71C68"/>
    <w:rsid w:val="00E723B9"/>
    <w:rsid w:val="00E724B6"/>
    <w:rsid w:val="00E72DCA"/>
    <w:rsid w:val="00E73F90"/>
    <w:rsid w:val="00E749A5"/>
    <w:rsid w:val="00E74CE4"/>
    <w:rsid w:val="00E7507E"/>
    <w:rsid w:val="00E7519A"/>
    <w:rsid w:val="00E75602"/>
    <w:rsid w:val="00E758A4"/>
    <w:rsid w:val="00E75AB7"/>
    <w:rsid w:val="00E75B9C"/>
    <w:rsid w:val="00E75CD6"/>
    <w:rsid w:val="00E76E44"/>
    <w:rsid w:val="00E773A2"/>
    <w:rsid w:val="00E77C9F"/>
    <w:rsid w:val="00E8050D"/>
    <w:rsid w:val="00E81557"/>
    <w:rsid w:val="00E81A6A"/>
    <w:rsid w:val="00E82115"/>
    <w:rsid w:val="00E8219D"/>
    <w:rsid w:val="00E853A5"/>
    <w:rsid w:val="00E86C3F"/>
    <w:rsid w:val="00E86F08"/>
    <w:rsid w:val="00E90B22"/>
    <w:rsid w:val="00E91B87"/>
    <w:rsid w:val="00E91D31"/>
    <w:rsid w:val="00E91EE5"/>
    <w:rsid w:val="00E930B1"/>
    <w:rsid w:val="00E94513"/>
    <w:rsid w:val="00E958C1"/>
    <w:rsid w:val="00E966A4"/>
    <w:rsid w:val="00E970DD"/>
    <w:rsid w:val="00E97BD4"/>
    <w:rsid w:val="00EA1743"/>
    <w:rsid w:val="00EA2244"/>
    <w:rsid w:val="00EA23DC"/>
    <w:rsid w:val="00EA23EE"/>
    <w:rsid w:val="00EA3299"/>
    <w:rsid w:val="00EA33B3"/>
    <w:rsid w:val="00EA39F3"/>
    <w:rsid w:val="00EA3D6C"/>
    <w:rsid w:val="00EA5C6D"/>
    <w:rsid w:val="00EA6B60"/>
    <w:rsid w:val="00EA732E"/>
    <w:rsid w:val="00EB0017"/>
    <w:rsid w:val="00EB03F3"/>
    <w:rsid w:val="00EB1C3A"/>
    <w:rsid w:val="00EB22A0"/>
    <w:rsid w:val="00EB32CE"/>
    <w:rsid w:val="00EB3361"/>
    <w:rsid w:val="00EB33A5"/>
    <w:rsid w:val="00EB3533"/>
    <w:rsid w:val="00EB3E2C"/>
    <w:rsid w:val="00EB41FD"/>
    <w:rsid w:val="00EB48E2"/>
    <w:rsid w:val="00EB4BB5"/>
    <w:rsid w:val="00EB5F67"/>
    <w:rsid w:val="00EB6673"/>
    <w:rsid w:val="00EC01F5"/>
    <w:rsid w:val="00EC04CD"/>
    <w:rsid w:val="00EC07B0"/>
    <w:rsid w:val="00EC1779"/>
    <w:rsid w:val="00EC182F"/>
    <w:rsid w:val="00EC1A0C"/>
    <w:rsid w:val="00EC25E8"/>
    <w:rsid w:val="00EC2873"/>
    <w:rsid w:val="00EC2A3E"/>
    <w:rsid w:val="00EC2B19"/>
    <w:rsid w:val="00EC2F0C"/>
    <w:rsid w:val="00EC30EF"/>
    <w:rsid w:val="00EC32C6"/>
    <w:rsid w:val="00EC3457"/>
    <w:rsid w:val="00EC3CFD"/>
    <w:rsid w:val="00EC3D82"/>
    <w:rsid w:val="00EC4757"/>
    <w:rsid w:val="00EC5159"/>
    <w:rsid w:val="00EC6216"/>
    <w:rsid w:val="00EC7EBC"/>
    <w:rsid w:val="00ED00FA"/>
    <w:rsid w:val="00ED01A6"/>
    <w:rsid w:val="00ED0DB0"/>
    <w:rsid w:val="00ED0E86"/>
    <w:rsid w:val="00ED0ECB"/>
    <w:rsid w:val="00ED1B45"/>
    <w:rsid w:val="00ED1E2F"/>
    <w:rsid w:val="00ED258B"/>
    <w:rsid w:val="00ED35DF"/>
    <w:rsid w:val="00ED3D2A"/>
    <w:rsid w:val="00ED3D78"/>
    <w:rsid w:val="00ED6B09"/>
    <w:rsid w:val="00EE0188"/>
    <w:rsid w:val="00EE1446"/>
    <w:rsid w:val="00EE1C4C"/>
    <w:rsid w:val="00EE2407"/>
    <w:rsid w:val="00EE24E6"/>
    <w:rsid w:val="00EE3FEA"/>
    <w:rsid w:val="00EE4609"/>
    <w:rsid w:val="00EE4C93"/>
    <w:rsid w:val="00EE6B04"/>
    <w:rsid w:val="00EF0C8F"/>
    <w:rsid w:val="00EF10E4"/>
    <w:rsid w:val="00EF11EB"/>
    <w:rsid w:val="00EF23E9"/>
    <w:rsid w:val="00EF24D6"/>
    <w:rsid w:val="00EF370F"/>
    <w:rsid w:val="00EF47D3"/>
    <w:rsid w:val="00EF4CCA"/>
    <w:rsid w:val="00EF6059"/>
    <w:rsid w:val="00EF6132"/>
    <w:rsid w:val="00EF613A"/>
    <w:rsid w:val="00EF72EE"/>
    <w:rsid w:val="00EF7B5F"/>
    <w:rsid w:val="00F0072C"/>
    <w:rsid w:val="00F0077E"/>
    <w:rsid w:val="00F016AB"/>
    <w:rsid w:val="00F0185E"/>
    <w:rsid w:val="00F02FBA"/>
    <w:rsid w:val="00F0332B"/>
    <w:rsid w:val="00F036E1"/>
    <w:rsid w:val="00F04144"/>
    <w:rsid w:val="00F05A9B"/>
    <w:rsid w:val="00F06809"/>
    <w:rsid w:val="00F0773D"/>
    <w:rsid w:val="00F07AAA"/>
    <w:rsid w:val="00F07B4C"/>
    <w:rsid w:val="00F106BD"/>
    <w:rsid w:val="00F10D6E"/>
    <w:rsid w:val="00F11E8C"/>
    <w:rsid w:val="00F12070"/>
    <w:rsid w:val="00F130B2"/>
    <w:rsid w:val="00F13922"/>
    <w:rsid w:val="00F140A8"/>
    <w:rsid w:val="00F146E8"/>
    <w:rsid w:val="00F15B96"/>
    <w:rsid w:val="00F16102"/>
    <w:rsid w:val="00F174AD"/>
    <w:rsid w:val="00F20419"/>
    <w:rsid w:val="00F22C8D"/>
    <w:rsid w:val="00F24B17"/>
    <w:rsid w:val="00F25396"/>
    <w:rsid w:val="00F25A1A"/>
    <w:rsid w:val="00F260A6"/>
    <w:rsid w:val="00F27516"/>
    <w:rsid w:val="00F30250"/>
    <w:rsid w:val="00F31B87"/>
    <w:rsid w:val="00F33AB0"/>
    <w:rsid w:val="00F33DE3"/>
    <w:rsid w:val="00F34570"/>
    <w:rsid w:val="00F36B4D"/>
    <w:rsid w:val="00F3775B"/>
    <w:rsid w:val="00F377C2"/>
    <w:rsid w:val="00F379C9"/>
    <w:rsid w:val="00F40CBC"/>
    <w:rsid w:val="00F4129C"/>
    <w:rsid w:val="00F42B30"/>
    <w:rsid w:val="00F42FFB"/>
    <w:rsid w:val="00F432E6"/>
    <w:rsid w:val="00F43451"/>
    <w:rsid w:val="00F43ECB"/>
    <w:rsid w:val="00F479E4"/>
    <w:rsid w:val="00F47D6F"/>
    <w:rsid w:val="00F509A9"/>
    <w:rsid w:val="00F5110F"/>
    <w:rsid w:val="00F52312"/>
    <w:rsid w:val="00F54269"/>
    <w:rsid w:val="00F55072"/>
    <w:rsid w:val="00F55622"/>
    <w:rsid w:val="00F55A00"/>
    <w:rsid w:val="00F55E46"/>
    <w:rsid w:val="00F561FE"/>
    <w:rsid w:val="00F565BC"/>
    <w:rsid w:val="00F57AAC"/>
    <w:rsid w:val="00F61032"/>
    <w:rsid w:val="00F61689"/>
    <w:rsid w:val="00F62380"/>
    <w:rsid w:val="00F6318C"/>
    <w:rsid w:val="00F641A8"/>
    <w:rsid w:val="00F64C9B"/>
    <w:rsid w:val="00F6635C"/>
    <w:rsid w:val="00F663DC"/>
    <w:rsid w:val="00F666B1"/>
    <w:rsid w:val="00F667D9"/>
    <w:rsid w:val="00F66DEB"/>
    <w:rsid w:val="00F67879"/>
    <w:rsid w:val="00F67ABA"/>
    <w:rsid w:val="00F70D25"/>
    <w:rsid w:val="00F7149D"/>
    <w:rsid w:val="00F71D0D"/>
    <w:rsid w:val="00F72E78"/>
    <w:rsid w:val="00F73B1C"/>
    <w:rsid w:val="00F73B45"/>
    <w:rsid w:val="00F74716"/>
    <w:rsid w:val="00F75F82"/>
    <w:rsid w:val="00F80BBA"/>
    <w:rsid w:val="00F80D67"/>
    <w:rsid w:val="00F81A38"/>
    <w:rsid w:val="00F81C34"/>
    <w:rsid w:val="00F81E15"/>
    <w:rsid w:val="00F81F70"/>
    <w:rsid w:val="00F8225E"/>
    <w:rsid w:val="00F83939"/>
    <w:rsid w:val="00F84517"/>
    <w:rsid w:val="00F84838"/>
    <w:rsid w:val="00F85E7D"/>
    <w:rsid w:val="00F90177"/>
    <w:rsid w:val="00F901E3"/>
    <w:rsid w:val="00F91486"/>
    <w:rsid w:val="00F928B6"/>
    <w:rsid w:val="00F92B00"/>
    <w:rsid w:val="00F938D2"/>
    <w:rsid w:val="00F9395B"/>
    <w:rsid w:val="00F940D7"/>
    <w:rsid w:val="00F94ACD"/>
    <w:rsid w:val="00F94BCD"/>
    <w:rsid w:val="00F95296"/>
    <w:rsid w:val="00F954B0"/>
    <w:rsid w:val="00F96336"/>
    <w:rsid w:val="00F96957"/>
    <w:rsid w:val="00F97195"/>
    <w:rsid w:val="00FA0239"/>
    <w:rsid w:val="00FA023C"/>
    <w:rsid w:val="00FA0CAC"/>
    <w:rsid w:val="00FA1C17"/>
    <w:rsid w:val="00FA255F"/>
    <w:rsid w:val="00FA26BE"/>
    <w:rsid w:val="00FA51DB"/>
    <w:rsid w:val="00FA5DF4"/>
    <w:rsid w:val="00FA5FF4"/>
    <w:rsid w:val="00FA7331"/>
    <w:rsid w:val="00FB08EC"/>
    <w:rsid w:val="00FB0911"/>
    <w:rsid w:val="00FB1A0C"/>
    <w:rsid w:val="00FB23BF"/>
    <w:rsid w:val="00FB30FC"/>
    <w:rsid w:val="00FB316D"/>
    <w:rsid w:val="00FB3545"/>
    <w:rsid w:val="00FB7FAC"/>
    <w:rsid w:val="00FC03A1"/>
    <w:rsid w:val="00FC1010"/>
    <w:rsid w:val="00FC21A5"/>
    <w:rsid w:val="00FC4654"/>
    <w:rsid w:val="00FC5A18"/>
    <w:rsid w:val="00FC6C87"/>
    <w:rsid w:val="00FC6F91"/>
    <w:rsid w:val="00FC7444"/>
    <w:rsid w:val="00FC74F2"/>
    <w:rsid w:val="00FC757D"/>
    <w:rsid w:val="00FD0437"/>
    <w:rsid w:val="00FD1F6E"/>
    <w:rsid w:val="00FD2952"/>
    <w:rsid w:val="00FD2E9B"/>
    <w:rsid w:val="00FD3C61"/>
    <w:rsid w:val="00FD42ED"/>
    <w:rsid w:val="00FD4524"/>
    <w:rsid w:val="00FD4FDC"/>
    <w:rsid w:val="00FD569C"/>
    <w:rsid w:val="00FD5905"/>
    <w:rsid w:val="00FD59B1"/>
    <w:rsid w:val="00FD5AF2"/>
    <w:rsid w:val="00FD6588"/>
    <w:rsid w:val="00FD720C"/>
    <w:rsid w:val="00FE010B"/>
    <w:rsid w:val="00FE0581"/>
    <w:rsid w:val="00FE0658"/>
    <w:rsid w:val="00FE105C"/>
    <w:rsid w:val="00FE1AA6"/>
    <w:rsid w:val="00FE259D"/>
    <w:rsid w:val="00FE2943"/>
    <w:rsid w:val="00FE3891"/>
    <w:rsid w:val="00FE3EAA"/>
    <w:rsid w:val="00FE578C"/>
    <w:rsid w:val="00FE631C"/>
    <w:rsid w:val="00FE6FCA"/>
    <w:rsid w:val="00FF12E8"/>
    <w:rsid w:val="00FF1EEA"/>
    <w:rsid w:val="00FF230D"/>
    <w:rsid w:val="00FF276B"/>
    <w:rsid w:val="00FF426C"/>
    <w:rsid w:val="00FF45E8"/>
    <w:rsid w:val="00FF4F60"/>
    <w:rsid w:val="00FF5059"/>
    <w:rsid w:val="00FF5100"/>
    <w:rsid w:val="00FF5445"/>
    <w:rsid w:val="00FF5609"/>
    <w:rsid w:val="00FF6133"/>
    <w:rsid w:val="00FF691C"/>
    <w:rsid w:val="00FF7F4C"/>
    <w:rsid w:val="157A4BF6"/>
    <w:rsid w:val="230D7FC6"/>
    <w:rsid w:val="27B7F705"/>
    <w:rsid w:val="2C4704F9"/>
    <w:rsid w:val="2E85E407"/>
    <w:rsid w:val="30359CF0"/>
    <w:rsid w:val="351375C5"/>
    <w:rsid w:val="3670CD45"/>
    <w:rsid w:val="37A0A3B5"/>
    <w:rsid w:val="5663638A"/>
    <w:rsid w:val="7DC48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CF190"/>
  <w15:chartTrackingRefBased/>
  <w15:docId w15:val="{CD176094-E9D2-4B0B-853B-ED939BC8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8E"/>
    <w:pPr>
      <w:spacing w:after="0" w:line="228" w:lineRule="auto"/>
      <w:jc w:val="both"/>
    </w:pPr>
    <w:rPr>
      <w:sz w:val="18"/>
    </w:rPr>
  </w:style>
  <w:style w:type="paragraph" w:styleId="Heading1">
    <w:name w:val="heading 1"/>
    <w:basedOn w:val="Default"/>
    <w:next w:val="Normal"/>
    <w:link w:val="Heading1Char"/>
    <w:autoRedefine/>
    <w:uiPriority w:val="9"/>
    <w:qFormat/>
    <w:rsid w:val="00CC68B1"/>
    <w:pPr>
      <w:keepNext/>
      <w:keepLines/>
      <w:pageBreakBefore/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color w:val="053B2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E515E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BE515E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53B2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BE515E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53B2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515E"/>
    <w:pPr>
      <w:keepNext/>
      <w:keepLines/>
      <w:numPr>
        <w:ilvl w:val="4"/>
        <w:numId w:val="11"/>
      </w:numPr>
      <w:tabs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53B2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515E"/>
    <w:pPr>
      <w:keepNext/>
      <w:keepLines/>
      <w:numPr>
        <w:ilvl w:val="5"/>
        <w:numId w:val="11"/>
      </w:numPr>
      <w:tabs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515E"/>
    <w:pPr>
      <w:keepNext/>
      <w:keepLines/>
      <w:numPr>
        <w:ilvl w:val="6"/>
        <w:numId w:val="11"/>
      </w:numPr>
      <w:tabs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515E"/>
    <w:pPr>
      <w:keepNext/>
      <w:keepLines/>
      <w:numPr>
        <w:ilvl w:val="7"/>
        <w:numId w:val="11"/>
      </w:numPr>
      <w:tabs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515E"/>
    <w:pPr>
      <w:keepNext/>
      <w:keepLines/>
      <w:numPr>
        <w:ilvl w:val="8"/>
        <w:numId w:val="11"/>
      </w:numPr>
      <w:tabs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B1"/>
    <w:rPr>
      <w:rFonts w:asciiTheme="majorHAnsi" w:eastAsiaTheme="majorEastAsia" w:hAnsiTheme="majorHAnsi" w:cstheme="majorBidi"/>
      <w:color w:val="053B25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DFE"/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DFE"/>
    <w:rPr>
      <w:rFonts w:eastAsiaTheme="majorEastAsia" w:cstheme="majorBidi"/>
      <w:color w:val="053B2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2DFE"/>
    <w:rPr>
      <w:rFonts w:eastAsiaTheme="majorEastAsia" w:cstheme="majorBidi"/>
      <w:i/>
      <w:iCs/>
      <w:color w:val="053B25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DFE"/>
    <w:rPr>
      <w:rFonts w:eastAsiaTheme="majorEastAsia" w:cstheme="majorBidi"/>
      <w:color w:val="053B25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DFE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DFE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DFE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DFE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BE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2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BE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2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E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22DFE"/>
    <w:rPr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BE515E"/>
    <w:pPr>
      <w:ind w:left="720"/>
      <w:contextualSpacing/>
    </w:pPr>
  </w:style>
  <w:style w:type="character" w:styleId="IntenseEmphasis">
    <w:name w:val="Intense Emphasis"/>
    <w:basedOn w:val="DefaultParagraphFont"/>
    <w:uiPriority w:val="1"/>
    <w:qFormat/>
    <w:rsid w:val="00452D20"/>
    <w:rPr>
      <w:b/>
      <w:i w:val="0"/>
      <w:iCs/>
      <w:color w:val="23A96A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E515E"/>
    <w:pPr>
      <w:pBdr>
        <w:top w:val="single" w:sz="4" w:space="10" w:color="053B25" w:themeColor="accent1" w:themeShade="BF"/>
        <w:bottom w:val="single" w:sz="4" w:space="10" w:color="053B25" w:themeColor="accent1" w:themeShade="BF"/>
      </w:pBdr>
      <w:spacing w:before="360" w:after="360"/>
      <w:ind w:left="864" w:right="864"/>
      <w:jc w:val="center"/>
    </w:pPr>
    <w:rPr>
      <w:i/>
      <w:iCs/>
      <w:color w:val="053B2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22DFE"/>
    <w:rPr>
      <w:i/>
      <w:iCs/>
      <w:color w:val="053B25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BE515E"/>
    <w:rPr>
      <w:b/>
      <w:bCs/>
      <w:smallCaps/>
      <w:color w:val="053B2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E2840"/>
    <w:pPr>
      <w:spacing w:line="144" w:lineRule="exact"/>
      <w:contextualSpacing/>
    </w:pPr>
    <w:rPr>
      <w:b/>
      <w:noProof/>
      <w:color w:val="23A96A" w:themeColor="accent2"/>
      <w:sz w:val="12"/>
    </w:rPr>
  </w:style>
  <w:style w:type="character" w:customStyle="1" w:styleId="HeaderChar">
    <w:name w:val="Header Char"/>
    <w:basedOn w:val="DefaultParagraphFont"/>
    <w:link w:val="Header"/>
    <w:uiPriority w:val="99"/>
    <w:rsid w:val="009E2840"/>
    <w:rPr>
      <w:b/>
      <w:noProof/>
      <w:color w:val="23A96A" w:themeColor="accent2"/>
      <w:sz w:val="12"/>
    </w:rPr>
  </w:style>
  <w:style w:type="paragraph" w:styleId="Footer">
    <w:name w:val="footer"/>
    <w:basedOn w:val="Normal"/>
    <w:link w:val="FooterChar"/>
    <w:uiPriority w:val="99"/>
    <w:unhideWhenUsed/>
    <w:rsid w:val="00452D20"/>
    <w:pPr>
      <w:spacing w:line="182" w:lineRule="exac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52D20"/>
    <w:rPr>
      <w:sz w:val="12"/>
    </w:rPr>
  </w:style>
  <w:style w:type="table" w:styleId="TableGrid">
    <w:name w:val="Table Grid"/>
    <w:basedOn w:val="TableNormal"/>
    <w:rsid w:val="0045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klein">
    <w:name w:val="Standard klein"/>
    <w:basedOn w:val="Normal"/>
    <w:qFormat/>
    <w:rsid w:val="006655A3"/>
    <w:pPr>
      <w:spacing w:line="240" w:lineRule="auto"/>
    </w:pPr>
    <w:rPr>
      <w:noProof/>
      <w:sz w:val="16"/>
    </w:rPr>
  </w:style>
  <w:style w:type="paragraph" w:customStyle="1" w:styleId="BechtleAufzhlung">
    <w:name w:val="Bechtle Aufzählung"/>
    <w:basedOn w:val="Normal"/>
    <w:link w:val="BechtleAufzhlungZchn"/>
    <w:qFormat/>
    <w:rsid w:val="004D54BE"/>
    <w:pPr>
      <w:numPr>
        <w:numId w:val="1"/>
      </w:numPr>
      <w:spacing w:after="120" w:line="288" w:lineRule="auto"/>
      <w:ind w:left="357" w:hanging="357"/>
    </w:pPr>
    <w:rPr>
      <w:rFonts w:ascii="Arial" w:eastAsia="Times New Roman" w:hAnsi="Arial" w:cs="Arial"/>
      <w:noProof/>
      <w:color w:val="000000" w:themeColor="text1"/>
      <w:kern w:val="0"/>
      <w:szCs w:val="20"/>
      <w:lang w:eastAsia="de-DE"/>
      <w14:ligatures w14:val="none"/>
    </w:rPr>
  </w:style>
  <w:style w:type="character" w:customStyle="1" w:styleId="BechtleAufzhlungZchn">
    <w:name w:val="Bechtle Aufzählung Zchn"/>
    <w:link w:val="BechtleAufzhlung"/>
    <w:rsid w:val="004D54BE"/>
    <w:rPr>
      <w:rFonts w:ascii="Arial" w:eastAsia="Times New Roman" w:hAnsi="Arial" w:cs="Arial"/>
      <w:noProof/>
      <w:color w:val="000000" w:themeColor="text1"/>
      <w:kern w:val="0"/>
      <w:sz w:val="18"/>
      <w:szCs w:val="20"/>
      <w:lang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4D54BE"/>
    <w:rPr>
      <w:color w:val="000000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D54BE"/>
    <w:pPr>
      <w:autoSpaceDE/>
      <w:autoSpaceDN/>
      <w:adjustRightInd/>
      <w:spacing w:before="0" w:after="360" w:line="288" w:lineRule="auto"/>
      <w:outlineLvl w:val="9"/>
    </w:pPr>
    <w:rPr>
      <w:b/>
      <w:color w:val="000000" w:themeColor="text1"/>
      <w:sz w:val="28"/>
      <w:szCs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54BE"/>
    <w:pPr>
      <w:tabs>
        <w:tab w:val="left" w:pos="400"/>
        <w:tab w:val="right" w:leader="dot" w:pos="9062"/>
      </w:tabs>
      <w:spacing w:before="360" w:after="80" w:line="288" w:lineRule="auto"/>
    </w:pPr>
    <w:rPr>
      <w:b/>
      <w:color w:val="000000" w:themeColor="text1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D54BE"/>
    <w:pPr>
      <w:spacing w:after="80" w:line="288" w:lineRule="auto"/>
      <w:ind w:left="198"/>
    </w:pPr>
    <w:rPr>
      <w:color w:val="000000" w:themeColor="text1"/>
      <w:kern w:val="0"/>
      <w14:ligatures w14:val="none"/>
    </w:rPr>
  </w:style>
  <w:style w:type="paragraph" w:customStyle="1" w:styleId="TabelleStandard">
    <w:name w:val="Tabelle Standard"/>
    <w:basedOn w:val="Normal"/>
    <w:qFormat/>
    <w:rsid w:val="004D54BE"/>
    <w:pPr>
      <w:spacing w:before="160" w:after="120" w:line="288" w:lineRule="auto"/>
    </w:pPr>
    <w:rPr>
      <w:color w:val="000000" w:themeColor="text1"/>
      <w:kern w:val="0"/>
      <w14:ligatures w14:val="none"/>
    </w:rPr>
  </w:style>
  <w:style w:type="table" w:customStyle="1" w:styleId="BechtleTabelle">
    <w:name w:val="Bechtle Tabelle"/>
    <w:basedOn w:val="TableNormal"/>
    <w:uiPriority w:val="99"/>
    <w:rsid w:val="004D54BE"/>
    <w:pPr>
      <w:spacing w:after="0" w:line="240" w:lineRule="auto"/>
    </w:pPr>
    <w:rPr>
      <w:kern w:val="0"/>
      <w14:ligatures w14:val="none"/>
    </w:rPr>
    <w:tblPr>
      <w:tblBorders>
        <w:insideH w:val="single" w:sz="4" w:space="0" w:color="978F83"/>
        <w:insideV w:val="single" w:sz="48" w:space="0" w:color="FFFFFF" w:themeColor="background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5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54BE"/>
    <w:rPr>
      <w:sz w:val="20"/>
      <w:szCs w:val="20"/>
    </w:rPr>
  </w:style>
  <w:style w:type="paragraph" w:customStyle="1" w:styleId="Tabellentext">
    <w:name w:val="Tabellentext"/>
    <w:basedOn w:val="Normal"/>
    <w:qFormat/>
    <w:rsid w:val="004D54BE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lang w:eastAsia="de-DE"/>
      <w14:ligatures w14:val="none"/>
    </w:rPr>
  </w:style>
  <w:style w:type="paragraph" w:customStyle="1" w:styleId="Default">
    <w:name w:val="Default"/>
    <w:rsid w:val="004D54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52985"/>
  </w:style>
  <w:style w:type="paragraph" w:styleId="TOC3">
    <w:name w:val="toc 3"/>
    <w:basedOn w:val="Normal"/>
    <w:next w:val="Normal"/>
    <w:autoRedefine/>
    <w:uiPriority w:val="39"/>
    <w:unhideWhenUsed/>
    <w:rsid w:val="008F3775"/>
    <w:pPr>
      <w:tabs>
        <w:tab w:val="left" w:pos="1200"/>
        <w:tab w:val="right" w:leader="dot" w:pos="8834"/>
      </w:tabs>
      <w:spacing w:after="100"/>
      <w:ind w:left="36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A69"/>
    <w:pPr>
      <w:jc w:val="left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85C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ED00FA"/>
  </w:style>
  <w:style w:type="character" w:styleId="UnresolvedMention">
    <w:name w:val="Unresolved Mention"/>
    <w:basedOn w:val="DefaultParagraphFont"/>
    <w:uiPriority w:val="99"/>
    <w:semiHidden/>
    <w:unhideWhenUsed/>
    <w:rsid w:val="005444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4451"/>
    <w:rPr>
      <w:color w:val="00000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7516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Revision">
    <w:name w:val="Revision"/>
    <w:hidden/>
    <w:uiPriority w:val="99"/>
    <w:semiHidden/>
    <w:rsid w:val="008A2F39"/>
    <w:pPr>
      <w:spacing w:after="0" w:line="240" w:lineRule="auto"/>
    </w:pPr>
    <w:rPr>
      <w:sz w:val="18"/>
    </w:rPr>
  </w:style>
  <w:style w:type="character" w:styleId="Mention">
    <w:name w:val="Mention"/>
    <w:basedOn w:val="DefaultParagraphFont"/>
    <w:uiPriority w:val="99"/>
    <w:unhideWhenUsed/>
    <w:rsid w:val="00CF2216"/>
    <w:rPr>
      <w:color w:val="2B579A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3626D"/>
    <w:pPr>
      <w:spacing w:after="0" w:line="240" w:lineRule="auto"/>
    </w:pPr>
    <w:tblPr>
      <w:tblStyleRowBandSize w:val="1"/>
      <w:tblStyleColBandSize w:val="1"/>
      <w:tblBorders>
        <w:top w:val="single" w:sz="4" w:space="0" w:color="66DFA6" w:themeColor="accent2" w:themeTint="99"/>
        <w:left w:val="single" w:sz="4" w:space="0" w:color="66DFA6" w:themeColor="accent2" w:themeTint="99"/>
        <w:bottom w:val="single" w:sz="4" w:space="0" w:color="66DFA6" w:themeColor="accent2" w:themeTint="99"/>
        <w:right w:val="single" w:sz="4" w:space="0" w:color="66DFA6" w:themeColor="accent2" w:themeTint="99"/>
        <w:insideH w:val="single" w:sz="4" w:space="0" w:color="66DFA6" w:themeColor="accent2" w:themeTint="99"/>
        <w:insideV w:val="single" w:sz="4" w:space="0" w:color="66DFA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A96A" w:themeColor="accent2"/>
          <w:left w:val="single" w:sz="4" w:space="0" w:color="23A96A" w:themeColor="accent2"/>
          <w:bottom w:val="single" w:sz="4" w:space="0" w:color="23A96A" w:themeColor="accent2"/>
          <w:right w:val="single" w:sz="4" w:space="0" w:color="23A96A" w:themeColor="accent2"/>
          <w:insideH w:val="nil"/>
          <w:insideV w:val="nil"/>
        </w:tcBorders>
        <w:shd w:val="clear" w:color="auto" w:fill="23A96A" w:themeFill="accent2"/>
      </w:tcPr>
    </w:tblStylePr>
    <w:tblStylePr w:type="lastRow">
      <w:rPr>
        <w:b/>
        <w:bCs/>
      </w:rPr>
      <w:tblPr/>
      <w:tcPr>
        <w:tcBorders>
          <w:top w:val="double" w:sz="4" w:space="0" w:color="23A96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4E1" w:themeFill="accent2" w:themeFillTint="33"/>
      </w:tcPr>
    </w:tblStylePr>
    <w:tblStylePr w:type="band1Horz">
      <w:tblPr/>
      <w:tcPr>
        <w:shd w:val="clear" w:color="auto" w:fill="CCF4E1" w:themeFill="accent2" w:themeFillTint="33"/>
      </w:tcPr>
    </w:tblStylePr>
  </w:style>
  <w:style w:type="table" w:styleId="ListTable5Dark-Accent2">
    <w:name w:val="List Table 5 Dark Accent 2"/>
    <w:basedOn w:val="TableNormal"/>
    <w:uiPriority w:val="50"/>
    <w:rsid w:val="00B44F9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A96A" w:themeColor="accent2"/>
        <w:left w:val="single" w:sz="24" w:space="0" w:color="23A96A" w:themeColor="accent2"/>
        <w:bottom w:val="single" w:sz="24" w:space="0" w:color="23A96A" w:themeColor="accent2"/>
        <w:right w:val="single" w:sz="24" w:space="0" w:color="23A96A" w:themeColor="accent2"/>
      </w:tblBorders>
    </w:tblPr>
    <w:tcPr>
      <w:shd w:val="clear" w:color="auto" w:fill="23A96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werShell">
    <w:name w:val="PowerShell"/>
    <w:basedOn w:val="TableNormal"/>
    <w:uiPriority w:val="99"/>
    <w:rsid w:val="0082146A"/>
    <w:pPr>
      <w:spacing w:before="120" w:after="120" w:line="240" w:lineRule="auto"/>
      <w:ind w:left="113" w:right="113"/>
      <w:contextualSpacing/>
    </w:pPr>
    <w:rPr>
      <w:rFonts w:ascii="Courier New" w:hAnsi="Courier New"/>
      <w:color w:val="FFFFFF" w:themeColor="background1"/>
    </w:rPr>
    <w:tblPr>
      <w:tblBorders>
        <w:top w:val="thinThickThinSmallGap" w:sz="24" w:space="0" w:color="84A6F5" w:themeColor="accent5" w:themeTint="99"/>
        <w:left w:val="thinThickThinSmallGap" w:sz="24" w:space="0" w:color="84A6F5" w:themeColor="accent5" w:themeTint="99"/>
        <w:bottom w:val="thinThickThinSmallGap" w:sz="24" w:space="0" w:color="84A6F5" w:themeColor="accent5" w:themeTint="99"/>
        <w:right w:val="thinThickThinSmallGap" w:sz="24" w:space="0" w:color="84A6F5" w:themeColor="accent5" w:themeTint="99"/>
      </w:tblBorders>
    </w:tblPr>
    <w:tcPr>
      <w:shd w:val="clear" w:color="auto" w:fill="00206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9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811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6253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20607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5589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alia.leihener\Downloads\Bechtle_SH_Mannheim.dotm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ED6F58D9-95C9-4BAF-8DA8-EE3C3FE399E9}">
    <t:Anchor>
      <t:Comment id="562178476"/>
    </t:Anchor>
    <t:History>
      <t:Event id="{76666421-7B98-43AE-ADD5-536BC59261C0}" time="2026-05-12T12:47:09.742Z">
        <t:Attribution userId="S::ronny.boettcher@bechtle.com::05c567e9-5d00-4e38-bf9c-92a562948344" userProvider="AD" userName="Böttcher, Ronny"/>
        <t:Anchor>
          <t:Comment id="562178476"/>
        </t:Anchor>
        <t:Create/>
      </t:Event>
      <t:Event id="{487716A4-D84E-4B06-97A7-E080BC7D2E1F}" time="2026-05-12T12:47:09.742Z">
        <t:Attribution userId="S::ronny.boettcher@bechtle.com::05c567e9-5d00-4e38-bf9c-92a562948344" userProvider="AD" userName="Böttcher, Ronny"/>
        <t:Anchor>
          <t:Comment id="562178476"/>
        </t:Anchor>
        <t:Assign userId="S::ronny.boettcher@bechtle.com::05c567e9-5d00-4e38-bf9c-92a562948344" userProvider="AD" userName="Böttcher, Ronny"/>
      </t:Event>
      <t:Event id="{342C7E95-D581-4016-9AA8-A71D8AC8F5D8}" time="2026-05-12T12:47:09.742Z">
        <t:Attribution userId="S::ronny.boettcher@bechtle.com::05c567e9-5d00-4e38-bf9c-92a562948344" userProvider="AD" userName="Böttcher, Ronny"/>
        <t:Anchor>
          <t:Comment id="562178476"/>
        </t:Anchor>
        <t:SetTitle title="@Böttcher, Ronny AAR inkl. Script einfügen"/>
      </t:Event>
    </t:History>
  </t:Task>
  <t:Task id="{7C476DBF-BFB3-4C8D-87FC-8E6C2BDF9E0D}">
    <t:Anchor>
      <t:Comment id="676690060"/>
    </t:Anchor>
    <t:History>
      <t:Event id="{5AB467DA-60BA-40BE-BB4A-E017FD2A3246}" time="2026-04-20T08:09:54.506Z">
        <t:Attribution userId="S::ronny.boettcher@bechtle.com::05c567e9-5d00-4e38-bf9c-92a562948344" userProvider="AD" userName="Böttcher, Ronny"/>
        <t:Anchor>
          <t:Comment id="676690060"/>
        </t:Anchor>
        <t:Create/>
      </t:Event>
      <t:Event id="{34A70224-9B95-41E1-8CFD-2FE238F620EA}" time="2026-04-20T08:09:54.506Z">
        <t:Attribution userId="S::ronny.boettcher@bechtle.com::05c567e9-5d00-4e38-bf9c-92a562948344" userProvider="AD" userName="Böttcher, Ronny"/>
        <t:Anchor>
          <t:Comment id="676690060"/>
        </t:Anchor>
        <t:Assign userId="S::sebastian.maurer@bechtle.com::4910be9a-95af-4e14-978d-af68e6db6f4d" userProvider="AD" userName="Maurer, Sebastian"/>
      </t:Event>
      <t:Event id="{1519B8F7-17E0-47BF-AA86-B643B226F772}" time="2026-04-20T08:09:54.506Z">
        <t:Attribution userId="S::ronny.boettcher@bechtle.com::05c567e9-5d00-4e38-bf9c-92a562948344" userProvider="AD" userName="Böttcher, Ronny"/>
        <t:Anchor>
          <t:Comment id="676690060"/>
        </t:Anchor>
        <t:SetTitle title="@Maurer, Sebastian : ich glaube, die RG ist bei Anlage der Firewall entstanden? Kannst du bitte kurz Funktion &amp; Beschreibung ergänzen? Danke ☺️"/>
      </t:Event>
      <t:Event id="{650008C8-DFFA-4485-AB8B-A733411863A6}" time="2026-04-20T09:35:56.934Z">
        <t:Attribution userId="S::timm.haase@bechtle.com::67bbdc85-9878-4dde-8719-a9db04992e79" userProvider="AD" userName="Haase, Timm"/>
        <t:Progress percentComplete="100"/>
      </t:Event>
    </t:History>
  </t:Task>
</t:Tasks>
</file>

<file path=word/theme/theme1.xml><?xml version="1.0" encoding="utf-8"?>
<a:theme xmlns:a="http://schemas.openxmlformats.org/drawingml/2006/main" name="Office">
  <a:themeElements>
    <a:clrScheme name="Benutzerdefiniert 250">
      <a:dk1>
        <a:srgbClr val="000000"/>
      </a:dk1>
      <a:lt1>
        <a:sysClr val="window" lastClr="FFFFFF"/>
      </a:lt1>
      <a:dk2>
        <a:srgbClr val="808080"/>
      </a:dk2>
      <a:lt2>
        <a:srgbClr val="C3C3C3"/>
      </a:lt2>
      <a:accent1>
        <a:srgbClr val="075033"/>
      </a:accent1>
      <a:accent2>
        <a:srgbClr val="23A96A"/>
      </a:accent2>
      <a:accent3>
        <a:srgbClr val="AADE0C"/>
      </a:accent3>
      <a:accent4>
        <a:srgbClr val="27C9D1"/>
      </a:accent4>
      <a:accent5>
        <a:srgbClr val="346CEF"/>
      </a:accent5>
      <a:accent6>
        <a:srgbClr val="C3C3C3"/>
      </a:accent6>
      <a:hlink>
        <a:srgbClr val="000000"/>
      </a:hlink>
      <a:folHlink>
        <a:srgbClr val="000000"/>
      </a:folHlink>
    </a:clrScheme>
    <a:fontScheme name="Benutzerdefiniert 168">
      <a:majorFont>
        <a:latin typeface="Bechtle Pro"/>
        <a:ea typeface=""/>
        <a:cs typeface=""/>
      </a:majorFont>
      <a:minorFont>
        <a:latin typeface="Bechtle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BA451CE7DCE5479A555B154079F664" ma:contentTypeVersion="3" ma:contentTypeDescription="Ein neues Dokument erstellen." ma:contentTypeScope="" ma:versionID="c6d604f24cf0658b6ab97f6da6d7d46a">
  <xsd:schema xmlns:xsd="http://www.w3.org/2001/XMLSchema" xmlns:xs="http://www.w3.org/2001/XMLSchema" xmlns:p="http://schemas.microsoft.com/office/2006/metadata/properties" xmlns:ns2="53304b79-359d-448b-ba43-99e97a4816e6" targetNamespace="http://schemas.microsoft.com/office/2006/metadata/properties" ma:root="true" ma:fieldsID="c47377100a239e792dac284960dc470f" ns2:_="">
    <xsd:import namespace="53304b79-359d-448b-ba43-99e97a4816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304b79-359d-448b-ba43-99e97a481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28E69C-9841-4F98-A1C7-D07F613225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77C428-A0E9-4156-8C12-4EE5F0A0D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304b79-359d-448b-ba43-99e97a4816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CBC04D-9EE8-4406-9C2E-1B01F2E207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12408B-B65B-4381-B8F0-D659369AC4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C:\Users\natalia.leihener\Downloads\Bechtle_SH_Mannheim.dotm</Template>
  <TotalTime>3</TotalTime>
  <Pages>10</Pages>
  <Words>1217</Words>
  <Characters>10582</Characters>
  <Application>Microsoft Office Word</Application>
  <DocSecurity>0</DocSecurity>
  <Lines>529</Lines>
  <Paragraphs>199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Bechtle_SH_Mannheim</vt:lpstr>
    </vt:vector>
  </TitlesOfParts>
  <Company>Bechtle</Company>
  <LinksUpToDate>false</LinksUpToDate>
  <CharactersWithSpaces>11600</CharactersWithSpaces>
  <SharedDoc>false</SharedDoc>
  <HLinks>
    <vt:vector size="198" baseType="variant">
      <vt:variant>
        <vt:i4>1835059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_Toc228888190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_Toc228888189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_Toc228888188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_Toc228888187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_Toc228888186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_Toc228888185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_Toc228888184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_Toc228888183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_Toc228888182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_Toc228888181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_Toc228888180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_Toc228888179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_Toc228888178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_Toc228888177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_Toc228888176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_Toc228888175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_Toc228888174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_Toc228888173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_Toc228888172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_Toc228888171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_Toc228888170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_Toc228888169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_Toc228888168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_Toc228888167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_Toc228888166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_Toc228888165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_Toc228888164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_Toc228888163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_Toc228888162</vt:lpwstr>
      </vt:variant>
      <vt:variant>
        <vt:i4>1704039</vt:i4>
      </vt:variant>
      <vt:variant>
        <vt:i4>9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6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3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7340056</vt:i4>
      </vt:variant>
      <vt:variant>
        <vt:i4>0</vt:i4>
      </vt:variant>
      <vt:variant>
        <vt:i4>0</vt:i4>
      </vt:variant>
      <vt:variant>
        <vt:i4>5</vt:i4>
      </vt:variant>
      <vt:variant>
        <vt:lpwstr>mailto:ronny.boettcher@bechtle.com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Workshop-Konzept und Management Summary - Randthemen</dc:title>
  <dc:subject/>
  <dc:creator>Bechtle GmbH &amp; Co. KG</dc:creator>
  <cp:keywords/>
  <dc:description/>
  <cp:lastModifiedBy>Beck, Yannick</cp:lastModifiedBy>
  <cp:revision>858</cp:revision>
  <cp:lastPrinted>2025-06-26T16:32:00Z</cp:lastPrinted>
  <dcterms:created xsi:type="dcterms:W3CDTF">2026-04-10T10:15:00Z</dcterms:created>
  <dcterms:modified xsi:type="dcterms:W3CDTF">2026-05-26T16:07:00Z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0x01010047BA451CE7DCE5479A555B154079F664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