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078D4"/>
          <w:sz w:val="60"/>
        </w:rPr>
        <w:t>Azure Landing Zone</w:t>
      </w:r>
    </w:p>
    <w:p>
      <w:pPr>
        <w:jc w:val="center"/>
      </w:pPr>
      <w:r>
        <w:rPr>
          <w:color w:val="243A5E"/>
          <w:sz w:val="30"/>
        </w:rPr>
        <w:t>Technische Dokumentation &amp; Architektur</w:t>
      </w:r>
    </w:p>
    <w:p>
      <w:pPr>
        <w:jc w:val="center"/>
      </w:pPr>
      <w:r>
        <w:rPr>
          <w:color w:val="605E5C"/>
          <w:sz w:val="22"/>
        </w:rPr>
        <w:t>Bicep / Azure Verified Modules · Hub-and-Spoke</w:t>
      </w:r>
    </w:p>
    <w:p/>
    <w:p/>
    <w:p/>
    <w:p/>
    <w:p/>
    <w:p/>
    <w:p/>
    <w:p/>
    <w:p>
      <w:pPr>
        <w:jc w:val="center"/>
      </w:pPr>
      <w:r>
        <w:rPr>
          <w:color w:val="605E5C"/>
          <w:sz w:val="20"/>
        </w:rPr>
        <w:t>Stand: 15.06.2026 · Version 1.0 · Vorbereitung Kickoff</w:t>
      </w:r>
    </w:p>
    <w:p>
      <w:r>
        <w:br w:type="page"/>
      </w:r>
    </w:p>
    <w:p>
      <w:pPr>
        <w:pStyle w:val="Heading1"/>
      </w:pPr>
      <w:r>
        <w:t>Inhaltsverzeichnis</w:t>
      </w:r>
    </w:p>
    <w:p>
      <w:r>
        <w:fldChar w:fldCharType="begin"/>
        <w:instrText xml:space="preserve">TOC \o "1-2" \h \z \u</w:instrText>
        <w:fldChar w:fldCharType="separate"/>
        <w:t>Inhaltsverzeichnis – in Word mit Strg+A, dann F9 aktualisieren.</w:t>
        <w:fldChar w:fldCharType="end"/>
      </w:r>
    </w:p>
    <w:p>
      <w:r>
        <w:br w:type="page"/>
      </w:r>
    </w:p>
    <w:p>
      <w:pPr>
        <w:pStyle w:val="Heading1"/>
      </w:pPr>
      <w:r>
        <w:t>1. Management Summary</w:t>
      </w:r>
    </w:p>
    <w:p>
      <w:pPr>
        <w:spacing w:after="120"/>
      </w:pPr>
      <w:r>
        <w:t>Dieses Dokument beschreibt die Azure Landing Zone (ALZ) – das standardisierte, richtlinien­gesteuerte Fundament für den Betrieb von Workloads in Azure. Die Umsetzung erfolgt vollständig als Infrastructure-as-Code (Bicep, basierend auf Azure Verified Modules) und wird über eine CI/CD-Pipeline (GitHub Actions, passwortlose OIDC-Anmeldung) ausgerollt.</w:t>
      </w:r>
    </w:p>
    <w:p>
      <w:pPr>
        <w:spacing w:after="120"/>
      </w:pPr>
      <w:r>
        <w:t>Die Landing Zone liefert von Beginn an eine konsistente Management-Group-Hierarchie, zentrale Protokollierung, Netzwerk-Konnektivität nach dem Hub-and-Spoke-Muster mit Azure Firewall, Governance-Guardrails über Azure Policy, rollenbasierte Zugriffe (RBAC) sowie eine Security-Baseline mit Microsoft Defender for Cloud. Workload-Subscriptions werden automatisiert platziert (Subscription Vending).</w:t>
      </w:r>
    </w:p>
    <w:p>
      <w:pPr>
        <w:spacing w:after="120"/>
      </w:pPr>
      <w:r>
        <w:t>Ziel des Kickoffs ist es, den technischen Ansprechpartnern des Kunden den Aufbau, den aktuellen Umsetzungsstand und die noch zu treffenden Entscheidungen vorzustellen (siehe Kapitel 10).</w:t>
      </w:r>
    </w:p>
    <w:p>
      <w:pPr>
        <w:pStyle w:val="Heading1"/>
      </w:pPr>
      <w:r>
        <w:t>2. Zielsetzung &amp; Design-Prinzipien</w:t>
      </w:r>
    </w:p>
    <w:p>
      <w:pPr>
        <w:pStyle w:val="ListBullet"/>
      </w:pPr>
      <w:r>
        <w:rPr>
          <w:b/>
        </w:rPr>
        <w:t xml:space="preserve">Richtliniengesteuerte Governance: </w:t>
      </w:r>
      <w:r>
        <w:t>Leitplanken (Guardrails) werden zentral per Azure Policy auf Management-Group-Ebene erzwungen, nicht pro Ressource.</w:t>
      </w:r>
    </w:p>
    <w:p>
      <w:pPr>
        <w:pStyle w:val="ListBullet"/>
      </w:pPr>
      <w:r>
        <w:rPr>
          <w:b/>
        </w:rPr>
        <w:t xml:space="preserve">Subscription-Demokratisierung: </w:t>
      </w:r>
      <w:r>
        <w:t>Die Subscription ist die Einheit der Skalierung; Workloads werden in dedizierte Landing-Zone-Subscriptions platziert.</w:t>
      </w:r>
    </w:p>
    <w:p>
      <w:pPr>
        <w:pStyle w:val="ListBullet"/>
      </w:pPr>
      <w:r>
        <w:rPr>
          <w:b/>
        </w:rPr>
        <w:t xml:space="preserve">Einheitliche Steuerungsebene: </w:t>
      </w:r>
      <w:r>
        <w:t>Eine konsistente Hierarchie und zentrales Logging/Monitoring über alle Subscriptions hinweg.</w:t>
      </w:r>
    </w:p>
    <w:p>
      <w:pPr>
        <w:pStyle w:val="ListBullet"/>
      </w:pPr>
      <w:r>
        <w:rPr>
          <w:b/>
        </w:rPr>
        <w:t xml:space="preserve">Sicherheit von Grund auf: </w:t>
      </w:r>
      <w:r>
        <w:t>Defender for Cloud, Netzwerksegmentierung über Azure Firewall, private Namensauflösung und Zero-Trust-Prinzipien.</w:t>
      </w:r>
    </w:p>
    <w:p>
      <w:pPr>
        <w:pStyle w:val="ListBullet"/>
      </w:pPr>
      <w:r>
        <w:rPr>
          <w:b/>
        </w:rPr>
        <w:t xml:space="preserve">Automatisierung &amp; Wiederholbarkeit: </w:t>
      </w:r>
      <w:r>
        <w:t>Alles als Code (Bicep), versioniert, per Pipeline reproduzierbar und über What-If vorab prüfbar.</w:t>
      </w:r>
    </w:p>
    <w:p>
      <w:pPr>
        <w:pStyle w:val="ListBullet"/>
      </w:pPr>
      <w:r>
        <w:rPr>
          <w:b/>
        </w:rPr>
        <w:t xml:space="preserve">Erweiterbarkeit: </w:t>
      </w:r>
      <w:r>
        <w:t>Modularer Aufbau; einzelne Domänen lassen sich unabhängig erweitern (z. B. ExpressRoute, Virtual WAN, Sentinel).</w:t>
      </w:r>
    </w:p>
    <w:p>
      <w:pPr>
        <w:pStyle w:val="Heading1"/>
      </w:pPr>
      <w:r>
        <w:t>3. Architekturüberblick</w:t>
      </w:r>
    </w:p>
    <w:p>
      <w:pPr>
        <w:spacing w:after="120"/>
      </w:pPr>
      <w:r>
        <w:t>Die Landing Zone folgt der offiziellen Microsoft-ALZ-Referenz. Die Management-Group-Hierarchie unterhalb der Tenant Root strukturiert Plattform- und Workload-Subscriptions:</w:t>
      </w:r>
    </w:p>
    <w:p>
      <w:r>
        <w:rPr>
          <w:rFonts w:ascii="Consolas" w:hAnsi="Consolas"/>
          <w:color w:val="243A5E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interne Workloads</w:t>
        <w:br/>
        <w:t xml:space="preserve">   │   ├─ alz-landingzones-online     → internetseitige Workloads</w:t>
        <w:br/>
        <w:t xml:space="preserve">   │   └─ alz-landingzones-local      → souveräne/vertrauliche Workloads</w:t>
        <w:br/>
        <w:t xml:space="preserve">   ├─ alz-sandbox                     → Experimente (lockere Policies)</w:t>
        <w:br/>
        <w:t xml:space="preserve">   └─ alz-decommissioned              → Stilllegung (gesperrt)</w:t>
      </w:r>
    </w:p>
    <w:p>
      <w:pPr>
        <w:spacing w:after="120"/>
      </w:pPr>
      <w:r>
        <w:t>Primärregion ist Germany West Central, Sekundärregion North Europe. Plattform-Dienste laufen in den Subscriptions Management (Logging) und Connectivity (Netzwerk); Identity ist vorgesehen.</w:t>
      </w:r>
    </w:p>
    <w:p>
      <w:pPr>
        <w:pStyle w:val="Heading1"/>
      </w:pPr>
      <w:r>
        <w:t>4. Domänen im Detail</w:t>
      </w:r>
    </w:p>
    <w:p>
      <w:pPr>
        <w:pStyle w:val="Heading2"/>
      </w:pPr>
      <w:r>
        <w:t>4.1 Governance (Management Groups, Policy, RBAC)</w:t>
      </w:r>
    </w:p>
    <w:p>
      <w:pPr>
        <w:spacing w:after="120"/>
      </w:pPr>
      <w:r>
        <w:t>Die Management-Group-Hierarchie wird auf Tenant-Ebene per Bicep erstellt. Governance-Guardrails werden als Azure-Policy-Zuweisungen auf den passenden Ebenen verankert (schlankes, wirksames Custom-Set; bei Bedarf auf das vollständige ALZ-Policy-Set erweiterbar):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Guardrail</w:t>
            </w:r>
          </w:p>
        </w:tc>
        <w:tc>
          <w:tcPr>
            <w:tcW w:type="dxa" w:w="403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Wirkung</w:t>
            </w:r>
          </w:p>
        </w:tc>
        <w:tc>
          <w:tcPr>
            <w:tcW w:type="dxa" w:w="2448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Ebene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Allowed Locations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Deny – nur erlaubte Regionen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alz (Root)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Require-RG-Tag (Environment)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Deny – Pflicht-Tag auf Resource Groups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alz (Root)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Secure Transfer Storage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Deny – HTTPS für Storage erzwingen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alz (Root)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Deny NIC Public IP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Deny – keine öffentlichen IPs an NICs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landingzones-corp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Deny aller Ressourcentypen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Deny – keine Neuanlage (Sperre)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decommissioned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Tag-Ausnahme (Exemption)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Lockerung für Experimente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sandbox</w:t>
            </w:r>
          </w:p>
        </w:tc>
      </w:tr>
    </w:tbl>
    <w:p/>
    <w:p>
      <w:pPr>
        <w:spacing w:after="120"/>
      </w:pPr>
      <w:r>
        <w:t>RBAC: Ein wiederverwendbares Modul weist die Built-in-Rollen Owner/Contributor/Reader an Entra-ID-Gruppen je Management Group zu. Object-IDs werden injiziert (keine Hardcodes); ein leeres Set ist ein gefahrloser No-Op.</w:t>
      </w:r>
    </w:p>
    <w:p>
      <w:pPr>
        <w:pStyle w:val="Heading2"/>
      </w:pPr>
      <w:r>
        <w:t>4.2 Identity</w:t>
      </w:r>
    </w:p>
    <w:p>
      <w:pPr>
        <w:spacing w:after="120"/>
      </w:pPr>
      <w:r>
        <w:t>Die Management Group alz-platform-identity sowie eine Identity-Subscription sind vorgesehen. Konkrete Identity-Ressourcen (z. B. Entra-ID-Diagnose an Log Analytics, hybride Anbindung, Domänendienste) sind Teil der Roadmap und werden gemäß Kundenanforderung ausgestaltet (siehe Beratungspunkte, Kapitel 10).</w:t>
      </w:r>
    </w:p>
    <w:p>
      <w:pPr>
        <w:pStyle w:val="Heading2"/>
      </w:pPr>
      <w:r>
        <w:t>4.3 Management &amp; Monitoring (Logging)</w:t>
      </w:r>
    </w:p>
    <w:p>
      <w:pPr>
        <w:spacing w:after="120"/>
      </w:pPr>
      <w:r>
        <w:t>Zentrale Protokollierung in der Management-Subscription:</w:t>
      </w:r>
    </w:p>
    <w:p>
      <w:pPr>
        <w:pStyle w:val="ListBullet"/>
      </w:pPr>
      <w:r>
        <w:rPr>
          <w:b/>
        </w:rPr>
        <w:t xml:space="preserve">Log Analytics Workspace: </w:t>
      </w:r>
      <w:r>
        <w:t>law-alz-&lt;Region&gt;, Aufbewahrung 365 Tage, SKU PerGB2018.</w:t>
      </w:r>
    </w:p>
    <w:p>
      <w:pPr>
        <w:pStyle w:val="ListBullet"/>
      </w:pPr>
      <w:r>
        <w:rPr>
          <w:b/>
        </w:rPr>
        <w:t xml:space="preserve">Data Collection Rules: </w:t>
      </w:r>
      <w:r>
        <w:t>VM Insights, Change Tracking und Defender-for-SQL (DCR-basiert).</w:t>
      </w:r>
    </w:p>
    <w:p>
      <w:pPr>
        <w:pStyle w:val="ListBullet"/>
      </w:pPr>
      <w:r>
        <w:rPr>
          <w:b/>
        </w:rPr>
        <w:t xml:space="preserve">Managed Identity: </w:t>
      </w:r>
      <w:r>
        <w:t>User-Assigned Identity für Datensammlung/Automatisierung.</w:t>
      </w:r>
    </w:p>
    <w:p>
      <w:pPr>
        <w:pStyle w:val="ListBullet"/>
      </w:pPr>
      <w:r>
        <w:rPr>
          <w:b/>
        </w:rPr>
        <w:t xml:space="preserve">Solutions: </w:t>
      </w:r>
      <w:r>
        <w:t>ChangeTracking; Microsoft Sentinel per Schalter aktivierbar.</w:t>
      </w:r>
    </w:p>
    <w:p>
      <w:pPr>
        <w:pStyle w:val="ListBullet"/>
      </w:pPr>
      <w:r>
        <w:rPr>
          <w:b/>
        </w:rPr>
        <w:t xml:space="preserve">Automation Account: </w:t>
      </w:r>
      <w:r>
        <w:t>Optional zuschaltbar (Update-/Konfigurationsmanagement).</w:t>
      </w:r>
    </w:p>
    <w:p>
      <w:pPr>
        <w:pStyle w:val="Heading2"/>
      </w:pPr>
      <w:r>
        <w:t>4.4 Security</w:t>
      </w:r>
    </w:p>
    <w:p>
      <w:pPr>
        <w:spacing w:after="120"/>
      </w:pPr>
      <w:r>
        <w:t>Security-Baseline je Subscription (Microsoft Defender for Cloud):</w:t>
      </w:r>
    </w:p>
    <w:p>
      <w:pPr>
        <w:pStyle w:val="ListBullet"/>
      </w:pPr>
      <w:r>
        <w:rPr>
          <w:b/>
        </w:rPr>
        <w:t xml:space="preserve">Defender-Pläne: </w:t>
      </w:r>
      <w:r>
        <w:t>VMs, Storage, Key Vault, ARM, Container, App Service, SQL, Open-Source-DB, Cosmos DB – Tier konfigurierbar (Standard/Free).</w:t>
      </w:r>
    </w:p>
    <w:p>
      <w:pPr>
        <w:pStyle w:val="ListBullet"/>
      </w:pPr>
      <w:r>
        <w:rPr>
          <w:b/>
        </w:rPr>
        <w:t xml:space="preserve">Security Contacts: </w:t>
      </w:r>
      <w:r>
        <w:t>Zentrale Sicherheits-E-Mail mit Alarm-Benachrichtigungen (Schweregrad-Schwelle, Benachrichtigung nach Rolle).</w:t>
      </w:r>
    </w:p>
    <w:p>
      <w:pPr>
        <w:pStyle w:val="ListBullet"/>
      </w:pPr>
      <w:r>
        <w:rPr>
          <w:b/>
        </w:rPr>
        <w:t xml:space="preserve">Activity-Log → Log Analytics: </w:t>
      </w:r>
      <w:r>
        <w:t>Subscription-Aktivitätsprotokolle (Administrative, Security, Policy, ResourceHealth …) zentral im Workspace.</w:t>
      </w:r>
    </w:p>
    <w:p>
      <w:pPr>
        <w:pStyle w:val="ListBullet"/>
      </w:pPr>
      <w:r>
        <w:rPr>
          <w:b/>
        </w:rPr>
        <w:t xml:space="preserve">Microsoft Sentinel: </w:t>
      </w:r>
      <w:r>
        <w:t>Onboarding über Log-Analytics-Schalter; Data Connectors und Analyseregeln nach Bedarf.</w:t>
      </w:r>
    </w:p>
    <w:p>
      <w:pPr>
        <w:pStyle w:val="Heading2"/>
      </w:pPr>
      <w:r>
        <w:t>4.5 Connectivity (Hub-and-Spoke)</w:t>
      </w:r>
    </w:p>
    <w:p>
      <w:pPr>
        <w:spacing w:after="120"/>
      </w:pPr>
      <w:r>
        <w:t>Das Hub-Netzwerk in der Connectivity-Subscription bildet das Rückgrat. Spokes (Workloads) werden an den Hub gepeert und leiten ausgehenden Verkehr über die Azure Firewall.</w:t>
      </w:r>
    </w:p>
    <w:p>
      <w:pPr>
        <w:pStyle w:val="ListBullet"/>
      </w:pPr>
      <w:r>
        <w:rPr>
          <w:b/>
        </w:rPr>
        <w:t xml:space="preserve">Hub-VNets: </w:t>
      </w:r>
      <w:r>
        <w:t>Primär 10.0.0.0/22 (Germany West Central), Sekundär 10.1.0.0/22 (North Europe).</w:t>
      </w:r>
    </w:p>
    <w:p>
      <w:pPr>
        <w:pStyle w:val="ListBullet"/>
      </w:pPr>
      <w:r>
        <w:rPr>
          <w:b/>
        </w:rPr>
        <w:t xml:space="preserve">Azure Firewall + Policy: </w:t>
      </w:r>
      <w:r>
        <w:t>Zentrale Firewall mit Basisregelwerk (DNS-Proxy, Azure-DNS, NTP, AzureCloud-HTTPS, Windows-Update; restlicher Verkehr = Deny).</w:t>
      </w:r>
    </w:p>
    <w:p>
      <w:pPr>
        <w:pStyle w:val="ListBullet"/>
      </w:pPr>
      <w:r>
        <w:rPr>
          <w:b/>
        </w:rPr>
        <w:t xml:space="preserve">Azure Bastion: </w:t>
      </w:r>
      <w:r>
        <w:t>Sicherer RDP/SSH-Zugang ohne öffentliche IPs.</w:t>
      </w:r>
    </w:p>
    <w:p>
      <w:pPr>
        <w:pStyle w:val="ListBullet"/>
      </w:pPr>
      <w:r>
        <w:rPr>
          <w:b/>
        </w:rPr>
        <w:t xml:space="preserve">Private DNS Zones: </w:t>
      </w:r>
      <w:r>
        <w:t>37 privatelink-Zonen für Private Endpoints, mit dem Hub verknüpft.</w:t>
      </w:r>
    </w:p>
    <w:p>
      <w:pPr>
        <w:pStyle w:val="ListBullet"/>
      </w:pPr>
      <w:r>
        <w:rPr>
          <w:b/>
        </w:rPr>
        <w:t xml:space="preserve">DNS Private Resolver: </w:t>
      </w:r>
      <w:r>
        <w:t>Optional – nutzt delegierte Inbound-/Outbound-Subnetze (hybride Namensauflösung).</w:t>
      </w:r>
    </w:p>
    <w:p>
      <w:pPr>
        <w:pStyle w:val="ListBullet"/>
      </w:pPr>
      <w:r>
        <w:rPr>
          <w:b/>
        </w:rPr>
        <w:t xml:space="preserve">Hub-Peering: </w:t>
      </w:r>
      <w:r>
        <w:t>Bidirektionales Peering zwischen Primär- und Sekundär-Hub.</w:t>
      </w:r>
    </w:p>
    <w:p>
      <w:pPr>
        <w:pStyle w:val="ListBullet"/>
      </w:pPr>
      <w:r>
        <w:rPr>
          <w:b/>
        </w:rPr>
        <w:t xml:space="preserve">Gateways &amp; DDoS: </w:t>
      </w:r>
      <w:r>
        <w:t>VPN-/ExpressRoute-Gateway und DDoS-Schutz vorbereitet, standardmäßig deaktiviert (kosten-/bedarfsgesteuert).</w:t>
      </w:r>
    </w:p>
    <w:p>
      <w:pPr>
        <w:pStyle w:val="Heading2"/>
      </w:pPr>
      <w:r>
        <w:t>4.6 Landing Zones &amp; Subscription Vending</w:t>
      </w:r>
    </w:p>
    <w:p>
      <w:pPr>
        <w:spacing w:after="120"/>
      </w:pPr>
      <w:r>
        <w:t>Workload-Landing-Zones erhalten ein Spoke-VNet mit Route Table (Default-Route über die Firewall), bidirektionalem Hub-Peering und Verknüpfung zu den zentralen Private-DNS-Zonen. Neue oder bestehende Subscriptions werden über das AVM-Pattern „Subscription Vending“ automatisiert in die richtige Management Group platziert – standardmäßig im Placement-Modus (ohne Billing-Rechte), optional als Neuanlage (EA/MCA).</w:t>
      </w:r>
    </w:p>
    <w:p>
      <w:pPr>
        <w:pStyle w:val="Heading1"/>
      </w:pPr>
      <w:r>
        <w:t>5. Infrastructure as Code &amp; CI/CD</w:t>
      </w:r>
    </w:p>
    <w:p>
      <w:pPr>
        <w:pStyle w:val="ListBullet"/>
      </w:pPr>
      <w:r>
        <w:rPr>
          <w:b/>
        </w:rPr>
        <w:t xml:space="preserve">Bicep + AVM: </w:t>
      </w:r>
      <w:r>
        <w:t>Deklarative Templates auf Basis der Azure Verified Modules aus der öffentlichen Microsoft-Registry.</w:t>
      </w:r>
    </w:p>
    <w:p>
      <w:pPr>
        <w:pStyle w:val="ListBullet"/>
      </w:pPr>
      <w:r>
        <w:rPr>
          <w:b/>
        </w:rPr>
        <w:t xml:space="preserve">deploy.ps1: </w:t>
      </w:r>
      <w:r>
        <w:t>PowerShell-Orchestrierung mit gestaffelten Schritten und optionalen Schaltern (Spoke, Vending, Security).</w:t>
      </w:r>
    </w:p>
    <w:p>
      <w:pPr>
        <w:pStyle w:val="ListBullet"/>
      </w:pPr>
      <w:r>
        <w:rPr>
          <w:b/>
        </w:rPr>
        <w:t xml:space="preserve">GitHub Actions: </w:t>
      </w:r>
      <w:r>
        <w:t>Pipeline mit Jobs: validate (Build), what-if (Vorschau), preflight (Secret-Check), deploy (gated nach Scope).</w:t>
      </w:r>
    </w:p>
    <w:p>
      <w:pPr>
        <w:pStyle w:val="ListBullet"/>
      </w:pPr>
      <w:r>
        <w:rPr>
          <w:b/>
        </w:rPr>
        <w:t xml:space="preserve">OIDC Federated Identity: </w:t>
      </w:r>
      <w:r>
        <w:t>Passwortlose Anmeldung; vier Secrets, drei Federated Credentials (PR, environment:production, master).</w:t>
      </w:r>
    </w:p>
    <w:p>
      <w:pPr>
        <w:pStyle w:val="ListBullet"/>
      </w:pPr>
      <w:r>
        <w:rPr>
          <w:b/>
        </w:rPr>
        <w:t xml:space="preserve">Scopes: </w:t>
      </w:r>
      <w:r>
        <w:t>Deployments auf Tenant- (MGs/Policies/RBAC), Subscription- (Logging/Netzwerk/Security) und MG-Ebene (Vending).</w:t>
      </w:r>
    </w:p>
    <w:p>
      <w:pPr>
        <w:pStyle w:val="Heading1"/>
      </w:pPr>
      <w:r>
        <w:t>6. Namens- &amp; Adresskonzept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56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Element</w:t>
            </w:r>
          </w:p>
        </w:tc>
        <w:tc>
          <w:tcPr>
            <w:tcW w:type="dxa" w:w="6624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Konvention / Bereich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Management Groups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alz, alz-platform-*, alz-landingzones-*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Resource Groups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rg-alz-&lt;zweck&gt;-&lt;region&gt;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Ressourcen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law-/mi-/afw-/bas-/vnet-/afwp-alz-&lt;region&gt;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Hub primär / sekundär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10.0.0.0/22 / 10.1.0.0/22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Spoke (Beispiel)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10.2.0.0/24 (überlappungsfrei zu Hubs/On-Prem)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Regionen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germanywestcentral (primär), northeurope (sekundär)</w:t>
            </w:r>
          </w:p>
        </w:tc>
      </w:tr>
    </w:tbl>
    <w:p/>
    <w:p>
      <w:pPr>
        <w:pStyle w:val="Heading1"/>
      </w:pPr>
      <w:r>
        <w:t>7. Betrieb &amp; Verifikation</w:t>
      </w:r>
    </w:p>
    <w:p>
      <w:pPr>
        <w:spacing w:after="120"/>
      </w:pPr>
      <w:r>
        <w:t>Ein gestaffeltes Smoke-Run-Runbook führt von der statischen Validierung über What-If (ohne Änderungen) bis zum echten Deployment – nach Risiko/Kosten geordnet: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Stufe</w:t>
            </w:r>
          </w:p>
        </w:tc>
        <w:tc>
          <w:tcPr>
            <w:tcW w:type="dxa" w:w="5040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Inhalt</w:t>
            </w:r>
          </w:p>
        </w:tc>
        <w:tc>
          <w:tcPr>
            <w:tcW w:type="dxa" w:w="259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Azure-Wirkung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0 Statisch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bicep build aller Templates (CI)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keine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1 What-If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Vorschau je Scope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keine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2 Management Groups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Hierarchie + Policies + RBAC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kostenlos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3 Logging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Log Analytics + DCRs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gering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4 Networking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VNets, Firewall, Bastion, DNS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kostenrelevant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5/6 Spoke &amp; Vending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Workload-Netz, Subscription-Platzierung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gering</w:t>
            </w:r>
          </w:p>
        </w:tc>
      </w:tr>
    </w:tbl>
    <w:p/>
    <w:p>
      <w:pPr>
        <w:spacing w:after="120"/>
      </w:pPr>
      <w:r>
        <w:t>Aktueller Verifikationsstand: alle Templates bauen fehlerfrei (Bicep 0.44.1, 0 Errors / 0 Warnings); die CI-Validierung läuft grün.</w:t>
      </w:r>
    </w:p>
    <w:p>
      <w:pPr>
        <w:pStyle w:val="Heading1"/>
      </w:pPr>
      <w:r>
        <w:t>8. Umsetzungsstatus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624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Domäne</w:t>
            </w:r>
          </w:p>
        </w:tc>
        <w:tc>
          <w:tcPr>
            <w:tcW w:type="dxa" w:w="3456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Management Groups + Hierarchie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Umgesetzt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Governance-Policies (schlankes Set)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Umgesetzt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RBAC-Modul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Umgesetzt (Gruppen-IDs durch Kunde)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Logging / Log Analytics / DCRs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Umgesetzt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Security-Baseline (Defender, Contacts, Activity-Log)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Umgesetzt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Hub-Networking, Firewall+Policy, Bastion, DNS, Peering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Umgesetzt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DNS Private Resolver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Umgesetzt (optional, aus)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Spoke-Template &amp; Subscription Vending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Umgesetzt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CI/CD + OIDC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Umgesetzt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Identity-Ressourcen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Roadmap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Sentinel-Onboarding (Connectors/Regeln)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Roadmap</w:t>
            </w:r>
          </w:p>
        </w:tc>
      </w:tr>
      <w:tr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VPN/ExpressRoute, DDoS, Virtual WAN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Vorbereitet / optional</w:t>
            </w:r>
          </w:p>
        </w:tc>
      </w:tr>
    </w:tbl>
    <w:p/>
    <w:p>
      <w:pPr>
        <w:pStyle w:val="Heading1"/>
      </w:pPr>
      <w:r>
        <w:t>9. Roadmap / nächste Schritte</w:t>
      </w:r>
    </w:p>
    <w:p>
      <w:pPr>
        <w:pStyle w:val="ListBullet"/>
      </w:pPr>
      <w:r>
        <w:t>Smoke Run im Kunden-Tenant (What-If → Management Groups → Logging → Networking).</w:t>
      </w:r>
    </w:p>
    <w:p>
      <w:pPr>
        <w:pStyle w:val="ListBullet"/>
      </w:pPr>
      <w:r>
        <w:t>Identity-Domäne ausgestalten (Entra-Diagnose, hybride Anbindung nach Bedarf).</w:t>
      </w:r>
    </w:p>
    <w:p>
      <w:pPr>
        <w:pStyle w:val="ListBullet"/>
      </w:pPr>
      <w:r>
        <w:t>Sentinel-Onboarding mit Data Connectors und Analyseregeln.</w:t>
      </w:r>
    </w:p>
    <w:p>
      <w:pPr>
        <w:pStyle w:val="ListBullet"/>
      </w:pPr>
      <w:r>
        <w:t>On-Prem-Konnektivität (VPN oder ExpressRoute) je nach Entscheidung aktivieren.</w:t>
      </w:r>
    </w:p>
    <w:p>
      <w:pPr>
        <w:pStyle w:val="ListBullet"/>
      </w:pPr>
      <w:r>
        <w:t>Governance bei Bedarf auf vollständiges ALZ-Policy-Set / Compliance-Frameworks erweitern.</w:t>
      </w:r>
    </w:p>
    <w:p>
      <w:pPr>
        <w:pStyle w:val="ListBullet"/>
      </w:pPr>
      <w:r>
        <w:t>Optionale Härtung: Resource Locks, erweiterte Diagnostics, Cost Management.</w:t>
      </w:r>
    </w:p>
    <w:p>
      <w:pPr>
        <w:pStyle w:val="Heading1"/>
      </w:pPr>
      <w:r>
        <w:t>10. Entscheidungs- &amp; Beratungspunkte (Kickoff)</w:t>
      </w:r>
    </w:p>
    <w:p>
      <w:pPr>
        <w:spacing w:after="120"/>
      </w:pPr>
      <w:r>
        <w:t>Folgende Punkte sind gemeinsam mit dem Kunden zu klären – sie bestimmen Ausprägung, Kosten und Compliance der Landing Zone: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Thema</w:t>
            </w:r>
          </w:p>
        </w:tc>
        <w:tc>
          <w:tcPr>
            <w:tcW w:type="dxa" w:w="4176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Zu klären</w:t>
            </w:r>
          </w:p>
        </w:tc>
        <w:tc>
          <w:tcPr>
            <w:tcW w:type="dxa" w:w="331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Empfehlung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Netzwerk-Topologie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Hub-and-Spoke vs. Virtual WAN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Hub-and-Spoke (umgesetzt)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IP-Adresskonzept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Bereiche, Überlappung mit On-Prem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Frühzeitig abstimmen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Regionen / Datenresidenz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Primär/Sekundär, Compliance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GWC + NE bestätigen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On-Prem-Anbindung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VPN oder ExpressRoute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Nach Bandbreite/SLA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DDoS Protection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Aktiv? (Kostenfaktor)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Für Internet-facing prüfen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Identity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Entra-only / hybrid / AD DS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Anforderungsabhängig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RBAC-Modell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Entra-Gruppen, PIM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Gruppen je MG definieren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Policy-Tiefe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Schlank vs. volles ALZ-Set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Bei Compliance-Pflicht erweitern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Defender-Tier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Standard vs. Free je Plan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Standard für Prod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Sentinel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Onboarding &amp; Connectors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Bei SIEM-Bedarf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Subscription Vending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Placement vs. Neuanlage (Billing)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Placement zum Start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Log-Aufbewahrung</w:t>
            </w:r>
          </w:p>
        </w:tc>
        <w:tc>
          <w:tcPr>
            <w:tcW w:type="dxa" w:w="4176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365 Tage / Kosten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Nach Compliance</w:t>
            </w:r>
          </w:p>
        </w:tc>
      </w:tr>
    </w:tbl>
    <w:p/>
    <w:p>
      <w:pPr>
        <w:pStyle w:val="Heading1"/>
      </w:pPr>
      <w:r>
        <w:t>11. Voraussetzungen</w:t>
      </w:r>
    </w:p>
    <w:p>
      <w:pPr>
        <w:pStyle w:val="ListBullet"/>
      </w:pPr>
      <w:r>
        <w:t>Tenant-Berechtigungen: Management Group Contributor / Owner auf der Root-MG für die MG-Erstellung.</w:t>
      </w:r>
    </w:p>
    <w:p>
      <w:pPr>
        <w:pStyle w:val="ListBullet"/>
      </w:pPr>
      <w:r>
        <w:t>Owner auf Management- und Connectivity-Subscription.</w:t>
      </w:r>
    </w:p>
    <w:p>
      <w:pPr>
        <w:pStyle w:val="ListBullet"/>
      </w:pPr>
      <w:r>
        <w:t>OIDC: App-Registrierung + Federated Credentials + vier GitHub-Secrets (Runbook docs/OIDC-SETUP.md).</w:t>
      </w:r>
    </w:p>
    <w:p>
      <w:pPr>
        <w:pStyle w:val="ListBullet"/>
      </w:pPr>
      <w:r>
        <w:t>Für Subscription-Neuanlage: EA/MCA-Billing-Rolle.</w:t>
      </w:r>
    </w:p>
    <w:p>
      <w:pPr>
        <w:pStyle w:val="ListBullet"/>
      </w:pPr>
      <w:r>
        <w:t>Werkzeuge: Azure CLI ≥ 2.60, Bicep ≥ 0.29, PowerShell ≥ 7.4.</w:t>
      </w:r>
    </w:p>
    <w:p>
      <w:pPr>
        <w:pStyle w:val="Heading1"/>
      </w:pPr>
      <w:r>
        <w:t>12. Glossar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Begriff</w:t>
            </w:r>
          </w:p>
        </w:tc>
        <w:tc>
          <w:tcPr>
            <w:tcW w:type="dxa" w:w="7488"/>
            <w:shd w:val="clear" w:color="auto" w:fill="0078D4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9"/>
              </w:rPr>
              <w:t>Bedeutung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ALZ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Azure Landing Zone – standardisiertes Cloud-Fundament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AVM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Azure Verified Modules – geprüfte Bicep-Module von Microsoft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MG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Management Group – hierarchische Gruppierung von Subscriptions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Hub-and-Spoke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Zentraler Hub (Shared Services) + angebundene Spokes (Workloads)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OIDC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OpenID Connect – passwortlose Pipeline-Anmeldung an Azure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DCR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Data Collection Rule – Regel zur Telemetrie-Erfassung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Vending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Automatisierte Bereitstellung/Platzierung von Subscriptions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What-If</w:t>
            </w:r>
          </w:p>
        </w:tc>
        <w:tc>
          <w:tcPr>
            <w:tcW w:type="dxa" w:w="7488"/>
          </w:tcPr>
          <w:p>
            <w:pPr>
              <w:spacing w:after="40" w:before="40"/>
            </w:pPr>
            <w:r/>
            <w:r>
              <w:rPr>
                <w:b w:val="0"/>
                <w:sz w:val="19"/>
              </w:rPr>
              <w:t>Vorschau der Änderungen ohne Deployment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05E5C"/>
        <w:sz w:val="16"/>
      </w:rPr>
      <w:t>Azure Landing Zone – Technische Dokumentation · vertraulich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43A5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78D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A5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