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1467" w:rsidRDefault="00B72666">
      <w:pPr>
        <w:pStyle w:val="Title"/>
        <w:spacing w:line="360" w:lineRule="auto"/>
      </w:pPr>
      <w:bookmarkStart w:id="0" w:name="_GoBack"/>
      <w:bookmarkEnd w:id="0"/>
      <w:r>
        <w:rPr>
          <w:rFonts w:ascii="Arial" w:hAnsi="Arial"/>
          <w:b/>
          <w:bCs/>
          <w:sz w:val="40"/>
          <w:szCs w:val="40"/>
        </w:rPr>
        <w:t>Does the loss function need to match the data-generating distribution for regression tasks?</w:t>
      </w:r>
    </w:p>
    <w:p w:rsidR="00AE1467" w:rsidRDefault="00AE1467">
      <w:pPr>
        <w:spacing w:line="360" w:lineRule="auto"/>
      </w:pPr>
    </w:p>
    <w:p w:rsidR="00AE1467" w:rsidRDefault="00B72666">
      <w:pPr>
        <w:pStyle w:val="Heading1"/>
        <w:numPr>
          <w:ilvl w:val="0"/>
          <w:numId w:val="0"/>
        </w:numPr>
        <w:spacing w:line="360" w:lineRule="auto"/>
      </w:pPr>
      <w:r>
        <w:t>Abstract</w:t>
      </w:r>
    </w:p>
    <w:p w:rsidR="00AE1467" w:rsidRDefault="00B72666">
      <w:pPr>
        <w:pStyle w:val="Quotations"/>
        <w:spacing w:line="360" w:lineRule="auto"/>
        <w:ind w:left="0"/>
        <w:jc w:val="both"/>
      </w:pPr>
      <w:r>
        <w:rPr>
          <w:rFonts w:ascii="Times New Roman" w:eastAsia="Calibri" w:hAnsi="Times New Roman" w:cs="Calibri"/>
          <w:lang w:val="en-GB"/>
        </w:rPr>
        <w:t>Fitting a model, inspecting its residuals and revising it accordingly is a cornerstone of classical statistics, where the choice of distribution family determines the link, the variance function and the inference. Machine learning, by contrast,</w:t>
      </w:r>
      <w:r>
        <w:rPr>
          <w:rFonts w:ascii="Times New Roman" w:eastAsia="Calibri" w:hAnsi="Times New Roman" w:cs="Calibri"/>
          <w:lang w:val="en-GB"/>
        </w:rPr>
        <w:t xml:space="preserve"> evaluates models almost exclusively through held-out predictive performance, and the analogous choice — the loss function — is usually made between MSE and MAE on the basis of outlier robustness alone. Whether matching the loss to the data-generating dist</w:t>
      </w:r>
      <w:r>
        <w:rPr>
          <w:rFonts w:ascii="Times New Roman" w:eastAsia="Calibri" w:hAnsi="Times New Roman" w:cs="Calibri"/>
          <w:lang w:val="en-GB"/>
        </w:rPr>
        <w:t>ribution matters is unclear. I simulated Gaussian- and Poisson-distributed data with known effect sizes and fitted one correctly specified GLM and five deep neural networks differing only in their loss function, over 1000 iterations per scenario, comparing</w:t>
      </w:r>
      <w:r>
        <w:rPr>
          <w:rFonts w:ascii="Times New Roman" w:eastAsia="Calibri" w:hAnsi="Times New Roman" w:cs="Calibri"/>
          <w:lang w:val="en-GB"/>
        </w:rPr>
        <w:t xml:space="preserve"> predictive accuracy, effect recovery and interval coverage. On Gaussian data no loss function outperformed any other. On right-skewed count data the Poisson and negative binomial losses were consistently but only marginally more accurate than MSE and Gaus</w:t>
      </w:r>
      <w:r>
        <w:rPr>
          <w:rFonts w:ascii="Times New Roman" w:eastAsia="Calibri" w:hAnsi="Times New Roman" w:cs="Calibri"/>
          <w:lang w:val="en-GB"/>
        </w:rPr>
        <w:t>sian, whereas MAE failed outright, predicting below the support of the response and scoring worse than an intercept-only baseline. All networks underestimated the strongest effect by 13–23% and achieved coverage well below nominal, while the GLM remained u</w:t>
      </w:r>
      <w:r>
        <w:rPr>
          <w:rFonts w:ascii="Times New Roman" w:eastAsia="Calibri" w:hAnsi="Times New Roman" w:cs="Calibri"/>
          <w:lang w:val="en-GB"/>
        </w:rPr>
        <w:t>nbiased. Matching the loss to the data distribution therefore yields limited gains, but choosing a loss that targets the wrong functional of the conditional distribution can fail badly on skewed count data — a risk absent from current guidance on loss sele</w:t>
      </w:r>
      <w:r>
        <w:rPr>
          <w:rFonts w:ascii="Times New Roman" w:eastAsia="Calibri" w:hAnsi="Times New Roman" w:cs="Calibri"/>
          <w:lang w:val="en-GB"/>
        </w:rPr>
        <w:t>ction.</w:t>
      </w:r>
    </w:p>
    <w:p w:rsidR="00AE1467" w:rsidRDefault="00AE1467">
      <w:pPr>
        <w:pageBreakBefore/>
        <w:spacing w:line="360" w:lineRule="auto"/>
        <w:rPr>
          <w:rFonts w:ascii="Times New Roman" w:hAnsi="Times New Roman"/>
        </w:rPr>
      </w:pPr>
    </w:p>
    <w:p w:rsidR="00AE1467" w:rsidRDefault="00B72666">
      <w:pPr>
        <w:pStyle w:val="Heading1"/>
      </w:pPr>
      <w:r>
        <w:t>Introduction</w:t>
      </w:r>
    </w:p>
    <w:p w:rsidR="00AE1467" w:rsidRDefault="00B72666">
      <w:pPr>
        <w:spacing w:line="360" w:lineRule="auto"/>
        <w:jc w:val="both"/>
      </w:pPr>
      <w:r>
        <w:rPr>
          <w:rFonts w:ascii="Times New Roman" w:eastAsia="Calibri" w:hAnsi="Times New Roman" w:cs="Calibri"/>
          <w:lang w:val="en-GB"/>
        </w:rPr>
        <w:t>Machine learning now shapes work across science, finance and everyday life, tackling tasks that range from clustering to image analysis. Working with machine learning methods means making choices constantly: which algorithm suits the t</w:t>
      </w:r>
      <w:r>
        <w:rPr>
          <w:rFonts w:ascii="Times New Roman" w:eastAsia="Calibri" w:hAnsi="Times New Roman" w:cs="Calibri"/>
          <w:lang w:val="en-GB"/>
        </w:rPr>
        <w:t xml:space="preserve">ask, how to prepare the data and which hyperparameters to tune. In ecology, most of these tasks are either classification or regression — distinguishing categories in the first case, predicting continuous values in the second (Pichler &amp; Hartig, 2023). For </w:t>
      </w:r>
      <w:r>
        <w:rPr>
          <w:rFonts w:ascii="Times New Roman" w:eastAsia="Calibri" w:hAnsi="Times New Roman" w:cs="Calibri"/>
          <w:lang w:val="en-GB"/>
        </w:rPr>
        <w:t>both, one of the most common approaches is to fit a deep neural network (Goodfellow et al., 2016).</w:t>
      </w:r>
    </w:p>
    <w:p w:rsidR="00AE1467" w:rsidRDefault="00B72666">
      <w:pPr>
        <w:spacing w:line="360" w:lineRule="auto"/>
        <w:jc w:val="both"/>
      </w:pPr>
      <w:r>
        <w:rPr>
          <w:rFonts w:ascii="Times New Roman" w:eastAsia="Calibri" w:hAnsi="Times New Roman" w:cs="Calibri"/>
          <w:lang w:val="en-GB"/>
        </w:rPr>
        <w:t>A DNN approximates an unknown function f*(x) from a set of predictors x, generating predictions ŷ that are compared with the known response y. The observed r</w:t>
      </w:r>
      <w:r>
        <w:rPr>
          <w:rFonts w:ascii="Times New Roman" w:eastAsia="Calibri" w:hAnsi="Times New Roman" w:cs="Calibri"/>
          <w:lang w:val="en-GB"/>
        </w:rPr>
        <w:t>esponse y is a noisy realization of f*(x); learning f*(x) from labelled pairs (x,y) is what defines this as supervised learning (Goodfellow et al., 2016).</w:t>
      </w:r>
    </w:p>
    <w:p w:rsidR="00AE1467" w:rsidRDefault="00B72666">
      <w:pPr>
        <w:spacing w:line="360" w:lineRule="auto"/>
        <w:jc w:val="both"/>
      </w:pPr>
      <w:r>
        <w:rPr>
          <w:rFonts w:ascii="Times New Roman" w:eastAsia="Calibri" w:hAnsi="Times New Roman" w:cs="Calibri"/>
          <w:lang w:val="en-GB"/>
        </w:rPr>
        <w:t>As the name suggests, a DNN's architecture is loosely modelled after the human brain and the behaviou</w:t>
      </w:r>
      <w:r>
        <w:rPr>
          <w:rFonts w:ascii="Times New Roman" w:eastAsia="Calibri" w:hAnsi="Times New Roman" w:cs="Calibri"/>
          <w:lang w:val="en-GB"/>
        </w:rPr>
        <w:t>r of its neurons. A DNN consists of several layers of artificial neurons; each neuron receives input either directly from the data or from upstream neurons, computes a weighted sum of these inputs and passes the result on through a nonlinear activation fun</w:t>
      </w:r>
      <w:r>
        <w:rPr>
          <w:rFonts w:ascii="Times New Roman" w:eastAsia="Calibri" w:hAnsi="Times New Roman" w:cs="Calibri"/>
          <w:lang w:val="en-GB"/>
        </w:rPr>
        <w:t xml:space="preserve">ction (Goodfellow et al., 2016). The final layer, called the output layer, returns the network's predictions ŷ. Training means iteratively adjusting the weights of every neuron over many training cycles called epochs, so that ŷ moves closer to y with each </w:t>
      </w:r>
      <w:r>
        <w:rPr>
          <w:rFonts w:ascii="Times New Roman" w:eastAsia="Calibri" w:hAnsi="Times New Roman" w:cs="Calibri"/>
          <w:lang w:val="en-GB"/>
        </w:rPr>
        <w:t>pass. The quantity minimised is the loss function. It defines a landscape an optimizer performs gradient descent on to find the minimum (Goodfellow et al., 2016)</w:t>
      </w:r>
      <w:r>
        <w:rPr>
          <w:rFonts w:ascii="Times New Roman" w:hAnsi="Times New Roman"/>
        </w:rPr>
        <w:t>.</w:t>
      </w:r>
    </w:p>
    <w:p w:rsidR="00AE1467" w:rsidRDefault="00B72666">
      <w:pPr>
        <w:spacing w:line="360" w:lineRule="auto"/>
        <w:jc w:val="both"/>
      </w:pPr>
      <w:r>
        <w:rPr>
          <w:rFonts w:ascii="Times New Roman" w:hAnsi="Times New Roman"/>
          <w:lang w:val="en-US"/>
        </w:rPr>
        <w:t>Regression models in classical statistics are based on an explicit data-generating model, and</w:t>
      </w:r>
      <w:r>
        <w:rPr>
          <w:rFonts w:ascii="Times New Roman" w:hAnsi="Times New Roman"/>
          <w:lang w:val="en-US"/>
        </w:rPr>
        <w:t xml:space="preserve"> the most important choice is the distribution family. It does three things at once: It</w:t>
      </w:r>
      <w:r>
        <w:rPr>
          <w:rFonts w:ascii="Times New Roman" w:hAnsi="Times New Roman"/>
          <w:lang w:val="en-GB"/>
        </w:rPr>
        <w:t xml:space="preserve"> sets the link, constraining the predicted mean – a Poisson GLMs can only predict positive values because of its log-link. It sets the variance-function, tying the datas</w:t>
      </w:r>
      <w:r>
        <w:rPr>
          <w:rFonts w:ascii="Times New Roman" w:hAnsi="Times New Roman"/>
          <w:lang w:val="en-GB"/>
        </w:rPr>
        <w:t xml:space="preserve"> variance to the mean. And it determines the inference, since standard errors and p-values are derived from the log-likelihood) (McCullagh &amp; Nelder, 1989). The family is therefore critical for structure, weighting, and uncertainty.</w:t>
      </w:r>
    </w:p>
    <w:p w:rsidR="00AE1467" w:rsidRDefault="00B72666">
      <w:pPr>
        <w:spacing w:line="360" w:lineRule="auto"/>
        <w:jc w:val="both"/>
      </w:pPr>
      <w:r>
        <w:rPr>
          <w:rFonts w:ascii="Times New Roman" w:hAnsi="Times New Roman"/>
          <w:lang w:val="en-GB"/>
        </w:rPr>
        <w:t>A DNNs loss function ha</w:t>
      </w:r>
      <w:r>
        <w:rPr>
          <w:rFonts w:ascii="Times New Roman" w:hAnsi="Times New Roman"/>
          <w:lang w:val="en-GB"/>
        </w:rPr>
        <w:t>s only part of this importance. Neural networks are general function approximators –they are not constrained by the data generating model (Goodfellow et al., 2016; LeCun et al., 2015), and they supply no inference at all. Traditionally, hyperparameter tuni</w:t>
      </w:r>
      <w:r>
        <w:rPr>
          <w:rFonts w:ascii="Times New Roman" w:hAnsi="Times New Roman"/>
          <w:lang w:val="en-GB"/>
        </w:rPr>
        <w:t xml:space="preserve">ng is receiving more focus at model training.  </w:t>
      </w:r>
      <w:r>
        <w:rPr>
          <w:rFonts w:ascii="Times New Roman" w:eastAsia="Calibri" w:hAnsi="Times New Roman" w:cs="Calibri"/>
          <w:lang w:val="en-GB"/>
        </w:rPr>
        <w:t>What a loss function does retain however is the weighting of data points during training: the MSE loss squares the error and is therefore more sensitive to outliers than MAE, which takes absolute values; a Poi</w:t>
      </w:r>
      <w:r>
        <w:rPr>
          <w:rFonts w:ascii="Times New Roman" w:eastAsia="Calibri" w:hAnsi="Times New Roman" w:cs="Calibri"/>
          <w:lang w:val="en-GB"/>
        </w:rPr>
        <w:t>sson loss encodes the variance assumption Var = μ, while a Gaussian loss does not.</w:t>
      </w:r>
    </w:p>
    <w:p w:rsidR="00AE1467" w:rsidRDefault="00B72666">
      <w:pPr>
        <w:spacing w:line="360" w:lineRule="auto"/>
        <w:jc w:val="both"/>
      </w:pPr>
      <w:r>
        <w:rPr>
          <w:rFonts w:ascii="Times New Roman" w:eastAsia="Calibri" w:hAnsi="Times New Roman" w:cs="Calibri"/>
          <w:lang w:val="en-GB"/>
        </w:rPr>
        <w:t>In practice, this weighting receives far less attention than it does in classical statistics. Model development in deep learning focuses overwhelmingly on architecture and h</w:t>
      </w:r>
      <w:r>
        <w:rPr>
          <w:rFonts w:ascii="Times New Roman" w:eastAsia="Calibri" w:hAnsi="Times New Roman" w:cs="Calibri"/>
          <w:lang w:val="en-GB"/>
        </w:rPr>
        <w:t>yperparameter tuning, while the loss is left at its default — typically MSE, or MAE where outliers are a concern (Elharrouss et al., 2025; Lathuiliere et al., 2020; Terven et al., 2025). To my knowledge and limited literature research, where loss choice is</w:t>
      </w:r>
      <w:r>
        <w:rPr>
          <w:rFonts w:ascii="Times New Roman" w:eastAsia="Calibri" w:hAnsi="Times New Roman" w:cs="Calibri"/>
          <w:lang w:val="en-GB"/>
        </w:rPr>
        <w:t xml:space="preserve"> discussed for regression, the argument is almost always about robustness to outliers rather than about the distribution of the response: the mean–variance relationship and the link function, which determine the family in a GLM, play little role.</w:t>
      </w:r>
    </w:p>
    <w:p w:rsidR="00AE1467" w:rsidRDefault="00B72666">
      <w:pPr>
        <w:spacing w:line="360" w:lineRule="auto"/>
        <w:jc w:val="both"/>
      </w:pPr>
      <w:r>
        <w:rPr>
          <w:rFonts w:ascii="Times New Roman" w:eastAsia="Calibri" w:hAnsi="Times New Roman" w:cs="Calibri"/>
          <w:lang w:val="en-GB"/>
        </w:rPr>
        <w:t>This stud</w:t>
      </w:r>
      <w:r>
        <w:rPr>
          <w:rFonts w:ascii="Times New Roman" w:eastAsia="Calibri" w:hAnsi="Times New Roman" w:cs="Calibri"/>
          <w:lang w:val="en-GB"/>
        </w:rPr>
        <w:t>y addresses that gap: does the loss function matching the data-generating distribution give the best predictive accuracy and the best effect recovery? To answer it, I simulate data from two known distributions, Gaussian and Poisson, fit one GLM and five DN</w:t>
      </w:r>
      <w:r>
        <w:rPr>
          <w:rFonts w:ascii="Times New Roman" w:eastAsia="Calibri" w:hAnsi="Times New Roman" w:cs="Calibri"/>
          <w:lang w:val="en-GB"/>
        </w:rPr>
        <w:t>Ns differing only in their loss function, and compare their predictive accuracy and estimated effects. This study began from a related angle: whether residual diagnostics, the standard tool for model criticism in classical statistics, could be used to guid</w:t>
      </w:r>
      <w:r>
        <w:rPr>
          <w:rFonts w:ascii="Times New Roman" w:eastAsia="Calibri" w:hAnsi="Times New Roman" w:cs="Calibri"/>
          <w:lang w:val="en-GB"/>
        </w:rPr>
        <w:t>e loss selection for neural networks. Establishing that the loss matching the data-generating distribution is in fact the best one is a precondition for any such rule, and that is the question addressed here.</w:t>
      </w:r>
    </w:p>
    <w:p w:rsidR="00AE1467" w:rsidRDefault="00B72666">
      <w:pPr>
        <w:pStyle w:val="Heading1"/>
      </w:pPr>
      <w:r>
        <w:t>Materials and Methods</w:t>
      </w:r>
    </w:p>
    <w:p w:rsidR="00AE1467" w:rsidRDefault="00B72666">
      <w:pPr>
        <w:pStyle w:val="Heading1"/>
      </w:pPr>
      <w:r>
        <w:t>Data Creation</w:t>
      </w:r>
    </w:p>
    <w:p w:rsidR="00AE1467" w:rsidRDefault="00B72666">
      <w:pPr>
        <w:spacing w:line="360" w:lineRule="auto"/>
        <w:jc w:val="both"/>
      </w:pPr>
      <w:r>
        <w:rPr>
          <w:rFonts w:ascii="Times New Roman" w:eastAsia="Calibri" w:hAnsi="Times New Roman" w:cs="Calibri"/>
          <w:lang w:val="en-US"/>
        </w:rPr>
        <w:t xml:space="preserve">Data were </w:t>
      </w:r>
      <w:r>
        <w:rPr>
          <w:rFonts w:ascii="Times New Roman" w:eastAsia="Calibri" w:hAnsi="Times New Roman" w:cs="Calibri"/>
          <w:lang w:val="en-US"/>
        </w:rPr>
        <w:t>simulated with DHARMa::createData, which generates a response variable (observedResponse) from three predictors (Environment1, Environment2, Environment3) under a specified distribution. I ran two scenarios with different distributions, Gaussian and Poisso</w:t>
      </w:r>
      <w:r>
        <w:rPr>
          <w:rFonts w:ascii="Times New Roman" w:eastAsia="Calibri" w:hAnsi="Times New Roman" w:cs="Calibri"/>
          <w:lang w:val="en-US"/>
        </w:rPr>
        <w:t xml:space="preserve">n, at 1000 iterations each. Effect sizes were set to 2, 0.4 and 0.1 respectively to test a strong, a moderate and a small effect, so that accuracy and inference could be assessed across effect magnitudes. Overdispersion and random-effect variance were set </w:t>
      </w:r>
      <w:r>
        <w:rPr>
          <w:rFonts w:ascii="Times New Roman" w:eastAsia="Calibri" w:hAnsi="Times New Roman" w:cs="Calibri"/>
          <w:lang w:val="en-US"/>
        </w:rPr>
        <w:t>to zero to keep the structure as simple as possible, although varying them alongside intercept and effect sizes would be a natural extension.</w:t>
      </w:r>
    </w:p>
    <w:p w:rsidR="00AE1467" w:rsidRDefault="00B72666">
      <w:pPr>
        <w:spacing w:before="240" w:after="240" w:line="360" w:lineRule="auto"/>
        <w:jc w:val="both"/>
      </w:pPr>
      <w:r>
        <w:rPr>
          <w:rFonts w:ascii="Times New Roman" w:eastAsia="Calibri" w:hAnsi="Times New Roman" w:cs="Calibri"/>
          <w:lang w:val="en-US"/>
        </w:rPr>
        <w:t>The intercept differed between scenarios. For Poisson data I set it to −1; a low mean makes count data strongly ri</w:t>
      </w:r>
      <w:r>
        <w:rPr>
          <w:rFonts w:ascii="Times New Roman" w:eastAsia="Calibri" w:hAnsi="Times New Roman" w:cs="Calibri"/>
          <w:lang w:val="en-US"/>
        </w:rPr>
        <w:t>ght-skewed, where the mismatch between count and continuous losses should be most pronounced. The same intercept proved unusable for Gaussian data, where roughly two thirds of the simulated responses were negative, and the Poisson and negative binomial los</w:t>
      </w:r>
      <w:r>
        <w:rPr>
          <w:rFonts w:ascii="Times New Roman" w:eastAsia="Calibri" w:hAnsi="Times New Roman" w:cs="Calibri"/>
          <w:lang w:val="en-US"/>
        </w:rPr>
        <w:t>ses failed to converge (Table 3, see appendix). I therefore raised the Gaussian intercept to 6, the lowest value that reliably produced only positive responses, keeping the mean-to-variance ratio as small as possible while allowing all five losses to be fi</w:t>
      </w:r>
      <w:r>
        <w:rPr>
          <w:rFonts w:ascii="Times New Roman" w:eastAsia="Calibri" w:hAnsi="Times New Roman" w:cs="Calibri"/>
          <w:lang w:val="en-US"/>
        </w:rPr>
        <w:t>tted.</w:t>
      </w:r>
    </w:p>
    <w:p w:rsidR="00AE1467" w:rsidRDefault="00B72666">
      <w:pPr>
        <w:spacing w:line="360" w:lineRule="auto"/>
        <w:jc w:val="both"/>
      </w:pPr>
      <w:r>
        <w:rPr>
          <w:rFonts w:ascii="Times New Roman" w:eastAsia="Calibri" w:hAnsi="Times New Roman" w:cs="Calibri"/>
          <w:lang w:val="en-US"/>
        </w:rPr>
        <w:t>Sample size was set to 250 so that, after an 80/20 train–test split and a further 20% validation split within training, each network was fitted on 160 observations. This keeps the sample small, since predictive performance degrades and becomes more v</w:t>
      </w:r>
      <w:r>
        <w:rPr>
          <w:rFonts w:ascii="Times New Roman" w:eastAsia="Calibri" w:hAnsi="Times New Roman" w:cs="Calibri"/>
          <w:lang w:val="en-US"/>
        </w:rPr>
        <w:t>ariable at low sample sizes (Wisz et al., 2008), while still leaving enough data for the networks to converge.</w:t>
      </w:r>
    </w:p>
    <w:p w:rsidR="00AE1467" w:rsidRDefault="00B72666">
      <w:pPr>
        <w:pStyle w:val="Heading1"/>
      </w:pPr>
      <w:r>
        <w:t>GLM-fit</w:t>
      </w:r>
    </w:p>
    <w:p w:rsidR="00AE1467" w:rsidRDefault="00B72666">
      <w:pPr>
        <w:spacing w:line="360" w:lineRule="auto"/>
        <w:jc w:val="both"/>
      </w:pPr>
      <w:r>
        <w:rPr>
          <w:rFonts w:ascii="Times New Roman" w:eastAsia="Calibri" w:hAnsi="Times New Roman" w:cs="Calibri"/>
          <w:lang w:val="en-US"/>
        </w:rPr>
        <w:t>As a baseline, I fitted a GLM with the family matching the data-generating distribution. To make the comparison with the DNNs, the GLM wa</w:t>
      </w:r>
      <w:r>
        <w:rPr>
          <w:rFonts w:ascii="Times New Roman" w:eastAsia="Calibri" w:hAnsi="Times New Roman" w:cs="Calibri"/>
          <w:lang w:val="en-US"/>
        </w:rPr>
        <w:t>s also bootstrapped: 20 resamples of the training data were drawn with replacement, a GLM refitted on each, and predictions averaged across them. Effect estimates were taken as the mean of the 20 bootstrap estimates, standard errors as their standard devia</w:t>
      </w:r>
      <w:r>
        <w:rPr>
          <w:rFonts w:ascii="Times New Roman" w:eastAsia="Calibri" w:hAnsi="Times New Roman" w:cs="Calibri"/>
          <w:lang w:val="en-US"/>
        </w:rPr>
        <w:t>tion, and p-values from a z-test. Predictions were generated for both training and test data, from which RMSE, Spearman correlation and R² were calculated.</w:t>
      </w:r>
    </w:p>
    <w:p w:rsidR="00AE1467" w:rsidRDefault="00B72666">
      <w:pPr>
        <w:pStyle w:val="Heading1"/>
      </w:pPr>
      <w:r>
        <w:t>DNN-fit</w:t>
      </w:r>
    </w:p>
    <w:p w:rsidR="00AE1467" w:rsidRDefault="00B72666">
      <w:pPr>
        <w:spacing w:line="360" w:lineRule="auto"/>
        <w:jc w:val="both"/>
      </w:pPr>
      <w:r>
        <w:rPr>
          <w:rFonts w:ascii="Times New Roman" w:eastAsia="Calibri" w:hAnsi="Times New Roman" w:cs="Calibri"/>
          <w:lang w:val="en-GB"/>
        </w:rPr>
        <w:t>Five DNNs were fitted per iteration, differing only in their loss function. MSE, MAE and Gau</w:t>
      </w:r>
      <w:r>
        <w:rPr>
          <w:rFonts w:ascii="Times New Roman" w:eastAsia="Calibri" w:hAnsi="Times New Roman" w:cs="Calibri"/>
          <w:lang w:val="en-GB"/>
        </w:rPr>
        <w:t>ssian represent commonly used losses with an identity link; Poisson and negative binomial represent losses with a log link, chosen because count data are common regression problems in ecology.</w:t>
      </w:r>
    </w:p>
    <w:p w:rsidR="00AE1467" w:rsidRDefault="00B72666">
      <w:pPr>
        <w:spacing w:line="360" w:lineRule="auto"/>
        <w:jc w:val="both"/>
      </w:pPr>
      <w:r>
        <w:rPr>
          <w:rFonts w:ascii="Times New Roman" w:eastAsia="Calibri" w:hAnsi="Times New Roman" w:cs="Calibri"/>
          <w:lang w:val="en-GB"/>
        </w:rPr>
        <w:t>Each network had two hidden layers of 50 nodes, allowing some f</w:t>
      </w:r>
      <w:r>
        <w:rPr>
          <w:rFonts w:ascii="Times New Roman" w:eastAsia="Calibri" w:hAnsi="Times New Roman" w:cs="Calibri"/>
          <w:lang w:val="en-GB"/>
        </w:rPr>
        <w:t>lexibility while restricting complexity. Networks were trained for up to 200 epochs at a learning rate of 0.003. Rather than tuning the learning rate separately for each combination of loss function and data distribution, I used early stopping with a patie</w:t>
      </w:r>
      <w:r>
        <w:rPr>
          <w:rFonts w:ascii="Times New Roman" w:eastAsia="Calibri" w:hAnsi="Times New Roman" w:cs="Calibri"/>
          <w:lang w:val="en-GB"/>
        </w:rPr>
        <w:t>nce of 20 epochs, so that training halts once the validation loss stops improving. This keeps the optimisation settings identical across losses, at the cost of not optimising any of them individually. Weight decay of 0.01 penalised large weights and so mit</w:t>
      </w:r>
      <w:r>
        <w:rPr>
          <w:rFonts w:ascii="Times New Roman" w:eastAsia="Calibri" w:hAnsi="Times New Roman" w:cs="Calibri"/>
          <w:lang w:val="en-GB"/>
        </w:rPr>
        <w:t xml:space="preserve">igated overfitting; I checked for residual overfitting by comparing accuracy metrics on training and test data (Figure 5, 6, see appendix). </w:t>
      </w:r>
      <w:r>
        <w:rPr>
          <w:rFonts w:ascii="Times New Roman" w:hAnsi="Times New Roman"/>
          <w:lang w:val="en-US"/>
        </w:rPr>
        <w:t>For each iteration and model, 20 bootstrap models were trained to extract Standard Error (SE) and p-values.</w:t>
      </w:r>
    </w:p>
    <w:p w:rsidR="00AE1467" w:rsidRDefault="00B72666">
      <w:pPr>
        <w:spacing w:line="360" w:lineRule="auto"/>
        <w:jc w:val="both"/>
      </w:pPr>
      <w:r>
        <w:rPr>
          <w:rFonts w:ascii="Times New Roman" w:eastAsia="Calibri" w:hAnsi="Times New Roman" w:cs="Calibri"/>
          <w:lang w:val="en-US"/>
        </w:rPr>
        <w:t>Two dia</w:t>
      </w:r>
      <w:r>
        <w:rPr>
          <w:rFonts w:ascii="Times New Roman" w:eastAsia="Calibri" w:hAnsi="Times New Roman" w:cs="Calibri"/>
          <w:lang w:val="en-US"/>
        </w:rPr>
        <w:t>gnostic variables were recorded alongside the accuracy metrics. Neg_preds counts predictions below zero, which are impossible for count data and indicate a loss function predicting outside the support of the response. Each fit was additionally wrapped in a</w:t>
      </w:r>
      <w:r>
        <w:rPr>
          <w:rFonts w:ascii="Times New Roman" w:eastAsia="Calibri" w:hAnsi="Times New Roman" w:cs="Calibri"/>
          <w:lang w:val="en-US"/>
        </w:rPr>
        <w:t xml:space="preserve"> tryCatch, so that a failed fit was recorded as a missing row rather than terminating the iteration, allowing convergence failures to be reported as a rate per loss function.</w:t>
      </w:r>
    </w:p>
    <w:p w:rsidR="00AE1467" w:rsidRDefault="00B72666">
      <w:pPr>
        <w:pStyle w:val="Heading1"/>
      </w:pPr>
      <w:r>
        <w:t>Accuracy metrics</w:t>
      </w:r>
    </w:p>
    <w:p w:rsidR="00AE1467" w:rsidRDefault="00B72666">
      <w:pPr>
        <w:spacing w:after="240" w:line="360" w:lineRule="auto"/>
        <w:jc w:val="both"/>
      </w:pPr>
      <w:r>
        <w:rPr>
          <w:rFonts w:ascii="Times New Roman" w:eastAsia="Calibri" w:hAnsi="Times New Roman" w:cs="Calibri"/>
          <w:lang w:val="en-GB"/>
        </w:rPr>
        <w:t>Four metrics were calculated per model and iteration, on both tr</w:t>
      </w:r>
      <w:r>
        <w:rPr>
          <w:rFonts w:ascii="Times New Roman" w:eastAsia="Calibri" w:hAnsi="Times New Roman" w:cs="Calibri"/>
          <w:lang w:val="en-GB"/>
        </w:rPr>
        <w:t>aining and test predictions.</w:t>
      </w:r>
    </w:p>
    <w:p w:rsidR="00AE1467" w:rsidRDefault="00B72666">
      <w:pPr>
        <w:spacing w:before="240" w:after="240" w:line="360" w:lineRule="auto"/>
        <w:jc w:val="both"/>
      </w:pPr>
      <w:r>
        <w:rPr>
          <w:rFonts w:ascii="Times New Roman" w:eastAsia="Calibri" w:hAnsi="Times New Roman" w:cs="Calibri"/>
          <w:lang w:val="en-GB"/>
        </w:rPr>
        <w:t>RMSE measures the deviation between predicted and observed responses on the original scale, so smaller values indicate predictions closer to the observed data:</w:t>
      </w:r>
    </w:p>
    <w:p w:rsidR="00AE1467" w:rsidRDefault="00B72666">
      <w:pPr>
        <w:spacing w:before="240" w:after="240" w:line="360" w:lineRule="auto"/>
        <w:jc w:val="both"/>
      </w:pPr>
      <m:oMath>
        <m:r>
          <w:rPr>
            <w:rFonts w:ascii="Cambria Math" w:hAnsi="Cambria Math"/>
          </w: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nary>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r>
                  <w:rPr>
                    <w:rFonts w:ascii="Cambria Math" w:hAnsi="Cambria Math"/>
                  </w:rPr>
                  <m:t>)</m:t>
                </m:r>
              </m:e>
              <m:sup>
                <m:r>
                  <w:rPr>
                    <w:rFonts w:ascii="Cambria Math" w:hAnsi="Cambria Math"/>
                  </w:rPr>
                  <m:t>2</m:t>
                </m:r>
              </m:sup>
            </m:sSup>
          </m:e>
        </m:rad>
      </m:oMath>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t>(1)</w:t>
      </w:r>
    </w:p>
    <w:p w:rsidR="00AE1467" w:rsidRDefault="00B72666">
      <w:pPr>
        <w:spacing w:before="240" w:after="240" w:line="360" w:lineRule="auto"/>
        <w:jc w:val="both"/>
      </w:pPr>
      <w:r>
        <w:rPr>
          <w:rFonts w:ascii="Times New Roman" w:eastAsia="Calibri" w:hAnsi="Times New Roman" w:cs="Calibri"/>
          <w:lang w:val="en-GB"/>
        </w:rPr>
        <w:t xml:space="preserve">Because the data were simulated, the noise-free mean </w:t>
      </w:r>
      <w:r>
        <w:rPr>
          <w:rFonts w:ascii="Times New Roman" w:eastAsia="Calibri" w:hAnsi="Times New Roman" w:cs="Calibri"/>
          <w:lang w:val="en-GB"/>
        </w:rPr>
        <w:t>μ is known, and RMSE can also be calculated against it rather than against the noisy observations:</w:t>
      </w:r>
    </w:p>
    <w:p w:rsidR="00AE1467" w:rsidRDefault="00B72666">
      <w:pPr>
        <w:spacing w:before="240" w:after="240" w:line="360" w:lineRule="auto"/>
        <w:jc w:val="both"/>
      </w:pPr>
      <m:oMath>
        <m:sSub>
          <m:sSubPr>
            <m:ctrlPr>
              <w:rPr>
                <w:rFonts w:ascii="Cambria Math" w:hAnsi="Cambria Math"/>
              </w:rPr>
            </m:ctrlPr>
          </m:sSubPr>
          <m:e>
            <m:r>
              <w:rPr>
                <w:rFonts w:ascii="Cambria Math" w:hAnsi="Cambria Math"/>
              </w:rPr>
              <m:t>RMSE</m:t>
            </m:r>
          </m:e>
          <m:sub>
            <m:r>
              <w:rPr>
                <w:rFonts w:ascii="Cambria Math" w:hAnsi="Cambria Math"/>
              </w:rPr>
              <m:t>true</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nary>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mu</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r>
                  <w:rPr>
                    <w:rFonts w:ascii="Cambria Math" w:hAnsi="Cambria Math"/>
                  </w:rPr>
                  <m:t>)</m:t>
                </m:r>
              </m:e>
              <m:sup>
                <m:r>
                  <w:rPr>
                    <w:rFonts w:ascii="Cambria Math" w:hAnsi="Cambria Math"/>
                  </w:rPr>
                  <m:t>2</m:t>
                </m:r>
              </m:sup>
            </m:sSup>
          </m:e>
        </m:rad>
      </m:oMath>
      <w:r>
        <w:rPr>
          <w:rFonts w:ascii="Times New Roman" w:eastAsia="Calibri" w:hAnsi="Times New Roman" w:cs="Calibri"/>
          <w:lang w:val="en-GB"/>
        </w:rPr>
        <w:t xml:space="preserve"> </w:t>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t>(2)</w:t>
      </w:r>
    </w:p>
    <w:p w:rsidR="00AE1467" w:rsidRDefault="00B72666">
      <w:pPr>
        <w:spacing w:before="240" w:after="240" w:line="360" w:lineRule="auto"/>
        <w:jc w:val="both"/>
      </w:pPr>
      <w:r>
        <w:rPr>
          <w:rFonts w:ascii="Times New Roman" w:eastAsia="Calibri" w:hAnsi="Times New Roman" w:cs="Calibri"/>
          <w:lang w:val="en-GB"/>
        </w:rPr>
        <w:t xml:space="preserve">This true RMSE isolates model error from irreducible sampling noise and therefore has a floor of zero. RMSE against the observed response is </w:t>
      </w:r>
      <w:r>
        <w:rPr>
          <w:rFonts w:ascii="Times New Roman" w:eastAsia="Calibri" w:hAnsi="Times New Roman" w:cs="Calibri"/>
          <w:lang w:val="en-GB"/>
        </w:rPr>
        <w:t>also reported, since it is the only one of the two computable on real data.</w:t>
      </w:r>
    </w:p>
    <w:p w:rsidR="00AE1467" w:rsidRDefault="00B72666">
      <w:pPr>
        <w:spacing w:before="240" w:after="240" w:line="360" w:lineRule="auto"/>
        <w:jc w:val="both"/>
      </w:pPr>
      <w:r>
        <w:rPr>
          <w:rFonts w:ascii="Times New Roman" w:eastAsia="Calibri" w:hAnsi="Times New Roman" w:cs="Calibri"/>
          <w:lang w:val="en-GB"/>
        </w:rPr>
        <w:t>R², the coefficient of determination, compares a model's squared prediction error against that of an intercept-only baseline and so measures whether a model predicts better than th</w:t>
      </w:r>
      <w:r>
        <w:rPr>
          <w:rFonts w:ascii="Times New Roman" w:eastAsia="Calibri" w:hAnsi="Times New Roman" w:cs="Calibri"/>
          <w:lang w:val="en-GB"/>
        </w:rPr>
        <w:t xml:space="preserve">e mean: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nary>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r>
                  <w:rPr>
                    <w:rFonts w:ascii="Cambria Math" w:hAnsi="Cambria Math"/>
                  </w:rPr>
                  <m:t>)</m:t>
                </m:r>
              </m:e>
              <m:sup>
                <m:r>
                  <w:rPr>
                    <w:rFonts w:ascii="Cambria Math" w:hAnsi="Cambria Math"/>
                  </w:rPr>
                  <m:t>2</m:t>
                </m:r>
              </m:sup>
            </m:sSup>
          </m:num>
          <m:den>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nary>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r>
                  <w:rPr>
                    <w:rFonts w:ascii="Cambria Math" w:hAnsi="Cambria Math"/>
                  </w:rPr>
                  <m:t>)</m:t>
                </m:r>
              </m:e>
              <m:sup>
                <m:r>
                  <w:rPr>
                    <w:rFonts w:ascii="Cambria Math" w:hAnsi="Cambria Math"/>
                  </w:rPr>
                  <m:t>2</m:t>
                </m:r>
              </m:sup>
            </m:sSup>
          </m:den>
        </m:f>
      </m:oMath>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t>(3)</w:t>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p>
    <w:p w:rsidR="00AE1467" w:rsidRDefault="00B72666">
      <w:pPr>
        <w:spacing w:before="240" w:after="240" w:line="360" w:lineRule="auto"/>
        <w:jc w:val="both"/>
      </w:pPr>
      <w:r>
        <w:rPr>
          <w:rFonts w:ascii="Times New Roman" w:eastAsia="Calibri" w:hAnsi="Times New Roman" w:cs="Calibri"/>
          <w:lang w:val="en-GB"/>
        </w:rPr>
        <w:t>Because R² is built from squared errors, observations with large values dominate it; for right-skewed count data a small number of high counts determines the metric almost entirely. For the Poisson scenario I therefore used McFad</w:t>
      </w:r>
      <w:r>
        <w:rPr>
          <w:rFonts w:ascii="Times New Roman" w:eastAsia="Calibri" w:hAnsi="Times New Roman" w:cs="Calibri"/>
          <w:lang w:val="en-GB"/>
        </w:rPr>
        <w:t>den's pseudo-R², which replaces sums of squares with log-likelihoods and so evaluates predictions under the assumed count distribution rather than on the squared-error scale:</w:t>
      </w:r>
    </w:p>
    <w:p w:rsidR="00AE1467" w:rsidRDefault="00B72666">
      <w:pPr>
        <w:spacing w:before="240" w:after="240" w:line="360" w:lineRule="auto"/>
        <w:jc w:val="both"/>
      </w:pPr>
      <m:oMath>
        <m:sSubSup>
          <m:sSubSupPr>
            <m:ctrlPr>
              <w:rPr>
                <w:rFonts w:ascii="Cambria Math" w:hAnsi="Cambria Math"/>
              </w:rPr>
            </m:ctrlPr>
          </m:sSubSupPr>
          <m:e>
            <m:r>
              <w:rPr>
                <w:rFonts w:ascii="Cambria Math" w:hAnsi="Cambria Math"/>
              </w:rPr>
              <m:t>R</m:t>
            </m:r>
          </m:e>
          <m:sub>
            <m:r>
              <w:rPr>
                <w:rFonts w:ascii="Cambria Math" w:hAnsi="Cambria Math"/>
              </w:rPr>
              <m:t>McF</m:t>
            </m:r>
          </m:sub>
          <m:sup>
            <m:r>
              <w:rPr>
                <w:rFonts w:ascii="Cambria Math" w:hAnsi="Cambria Math"/>
              </w:rPr>
              <m:t>2</m:t>
            </m:r>
          </m:sup>
        </m:sSubSup>
        <m:r>
          <w:rPr>
            <w:rFonts w:ascii="Cambria Math" w:hAnsi="Cambria Math"/>
          </w:rPr>
          <m:t>=1-</m:t>
        </m:r>
        <m:f>
          <m:fPr>
            <m:ctrlPr>
              <w:rPr>
                <w:rFonts w:ascii="Cambria Math" w:hAnsi="Cambria Math"/>
              </w:rPr>
            </m:ctrlPr>
          </m:fPr>
          <m:num>
            <m:r>
              <m:rPr>
                <m:sty m:val="p"/>
              </m:rPr>
              <w:rPr>
                <w:rFonts w:ascii="Cambria Math" w:hAnsi="Cambria Math"/>
              </w:rPr>
              <m:t>ln</m:t>
            </m:r>
            <m:r>
              <w:rPr>
                <w:rFonts w:ascii="Cambria Math" w:hAnsi="Cambria Math"/>
              </w:rPr>
              <m:t>L</m:t>
            </m:r>
            <m:r>
              <w:rPr>
                <w:rFonts w:ascii="Cambria Math" w:hAnsi="Cambria Math"/>
              </w:rPr>
              <m:t>(</m:t>
            </m:r>
            <m:acc>
              <m:accPr>
                <m:ctrlPr>
                  <w:rPr>
                    <w:rFonts w:ascii="Cambria Math" w:hAnsi="Cambria Math"/>
                  </w:rPr>
                </m:ctrlPr>
              </m:accPr>
              <m:e>
                <m:r>
                  <w:rPr>
                    <w:rFonts w:ascii="Cambria Math" w:hAnsi="Cambria Math"/>
                  </w:rPr>
                  <m:t>M</m:t>
                </m:r>
              </m:e>
            </m:acc>
            <m:r>
              <w:rPr>
                <w:rFonts w:ascii="Cambria Math" w:hAnsi="Cambria Math"/>
              </w:rPr>
              <m:t>)</m:t>
            </m:r>
          </m:num>
          <m:den>
            <m:r>
              <m:rPr>
                <m:sty m:val="p"/>
              </m:rPr>
              <w:rPr>
                <w:rFonts w:ascii="Cambria Math" w:hAnsi="Cambria Math"/>
              </w:rPr>
              <m:t>ln</m:t>
            </m:r>
            <m: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den>
        </m:f>
      </m:oMath>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r>
      <w:r>
        <w:rPr>
          <w:rFonts w:ascii="Times New Roman" w:eastAsia="Calibri" w:hAnsi="Times New Roman" w:cs="Calibri"/>
          <w:lang w:val="en-GB"/>
        </w:rPr>
        <w:tab/>
        <w:t>(4)</w:t>
      </w:r>
    </w:p>
    <w:p w:rsidR="00AE1467" w:rsidRDefault="00B72666">
      <w:pPr>
        <w:spacing w:line="360" w:lineRule="auto"/>
        <w:jc w:val="both"/>
      </w:pPr>
      <w:r>
        <w:rPr>
          <w:rFonts w:ascii="Times New Roman" w:eastAsia="Calibri" w:hAnsi="Times New Roman" w:cs="Calibri"/>
          <w:lang w:val="en-GB"/>
        </w:rPr>
        <w:t>Since models trained with MSE, MAE or Gaussian losses do not thems</w:t>
      </w:r>
      <w:r>
        <w:rPr>
          <w:rFonts w:ascii="Times New Roman" w:eastAsia="Calibri" w:hAnsi="Times New Roman" w:cs="Calibri"/>
          <w:lang w:val="en-GB"/>
        </w:rPr>
        <w:t xml:space="preserve">elves define a count distribution, their predictions were treated as Poisson means for this evaluation. This amounts to scoring every model with the logarithmic score, a strictly proper scoring rule (Gneiting, 2011),  normalised against a common baseline. </w:t>
      </w:r>
      <w:r>
        <w:rPr>
          <w:rFonts w:ascii="Times New Roman" w:eastAsia="Calibri" w:hAnsi="Times New Roman" w:cs="Calibri"/>
          <w:lang w:val="en-GB"/>
        </w:rPr>
        <w:t>Note that neither metric is bounded below by zero out of sample: negative values indicate predictions worse than the baseline.</w:t>
      </w:r>
    </w:p>
    <w:p w:rsidR="00AE1467" w:rsidRDefault="00B72666">
      <w:pPr>
        <w:spacing w:before="240" w:after="240" w:line="360" w:lineRule="auto"/>
        <w:jc w:val="both"/>
      </w:pPr>
      <w:r>
        <w:rPr>
          <w:rFonts w:ascii="Times New Roman" w:eastAsia="Calibri" w:hAnsi="Times New Roman" w:cs="Calibri"/>
          <w:lang w:val="en-GB"/>
        </w:rPr>
        <w:t xml:space="preserve">Because McFadden's R² is computed from Poisson log-likelihoods via dpois(), which is undefined for a negative rate, predictions </w:t>
      </w:r>
      <w:r>
        <w:rPr>
          <w:rFonts w:ascii="Times New Roman" w:eastAsia="Calibri" w:hAnsi="Times New Roman" w:cs="Calibri"/>
          <w:lang w:val="en-GB"/>
        </w:rPr>
        <w:t>were clamped to a lower bound of 1e-8. The clamp is unavoidable rather than a modelling choice: no finite Poisson log-likelihood exists at a non-positive rate, so without it the metric would return NaN for any model producing negative predictions. It is, h</w:t>
      </w:r>
      <w:r>
        <w:rPr>
          <w:rFonts w:ascii="Times New Roman" w:eastAsia="Calibri" w:hAnsi="Times New Roman" w:cs="Calibri"/>
          <w:lang w:val="en-GB"/>
        </w:rPr>
        <w:t>owever, a severe penalty. The Poisson log-density contains a term in log(λ), so a clamped prediction paired with a non-zero count yields a very large negative contribution, and a model whose predictions fall below zero for a substantial share of observatio</w:t>
      </w:r>
      <w:r>
        <w:rPr>
          <w:rFonts w:ascii="Times New Roman" w:eastAsia="Calibri" w:hAnsi="Times New Roman" w:cs="Calibri"/>
          <w:lang w:val="en-GB"/>
        </w:rPr>
        <w:t xml:space="preserve">ns is therefore scored far below the intercept-only baseline. The sign of such an R² is robust, but its magnitude depends on the chosen bound and should not be interpreted quantitatively; the Neg_preds count is reported alongside it as a bound-independent </w:t>
      </w:r>
      <w:r>
        <w:rPr>
          <w:rFonts w:ascii="Times New Roman" w:eastAsia="Calibri" w:hAnsi="Times New Roman" w:cs="Calibri"/>
          <w:lang w:val="en-GB"/>
        </w:rPr>
        <w:t>measure of the same behaviour.</w:t>
      </w:r>
    </w:p>
    <w:p w:rsidR="00AE1467" w:rsidRDefault="00B72666">
      <w:pPr>
        <w:spacing w:before="240" w:after="240" w:line="360" w:lineRule="auto"/>
        <w:jc w:val="both"/>
      </w:pPr>
      <w:r>
        <w:rPr>
          <w:rFonts w:ascii="Times New Roman" w:eastAsia="Calibri" w:hAnsi="Times New Roman" w:cs="Calibri"/>
          <w:lang w:val="en-GB"/>
        </w:rPr>
        <w:t xml:space="preserve">Spearman correlation measures predictive performance independently of scale and bias. Because it uses only ranks, it distinguishes a model that has learned the correct pattern but predicts it on the wrong scale from one that </w:t>
      </w:r>
      <w:r>
        <w:rPr>
          <w:rFonts w:ascii="Times New Roman" w:eastAsia="Calibri" w:hAnsi="Times New Roman" w:cs="Calibri"/>
          <w:lang w:val="en-GB"/>
        </w:rPr>
        <w:t>has not learned the pattern at all.</w:t>
      </w:r>
    </w:p>
    <w:p w:rsidR="00AE1467" w:rsidRDefault="00B72666">
      <w:pPr>
        <w:pStyle w:val="Heading1"/>
      </w:pPr>
      <w:r>
        <w:t>Inference metrics</w:t>
      </w:r>
    </w:p>
    <w:p w:rsidR="00AE1467" w:rsidRDefault="00B72666">
      <w:pPr>
        <w:spacing w:line="360" w:lineRule="auto"/>
        <w:jc w:val="both"/>
      </w:pPr>
      <w:r>
        <w:rPr>
          <w:rFonts w:ascii="Times New Roman" w:eastAsia="Calibri" w:hAnsi="Times New Roman" w:cs="Calibri"/>
          <w:lang w:val="en-GB"/>
        </w:rPr>
        <w:t>Unlike a GLM, a DNN has no coefficients to extract, so effects were compared via Average Conditional Effects (ACE), obtained from cito's fitted model object (Pichler &amp; Hartig, 2023). For comparability t</w:t>
      </w:r>
      <w:r>
        <w:rPr>
          <w:rFonts w:ascii="Times New Roman" w:eastAsia="Calibri" w:hAnsi="Times New Roman" w:cs="Calibri"/>
          <w:lang w:val="en-GB"/>
        </w:rPr>
        <w:t>he equivalent quantity was extracted from the GLM as Average Marginal Effects using marginaleffects::avg_slopes. ACE and AME are the same metric under different names, and both are reported on the response scale; I refer to them as ACE from here on.</w:t>
      </w:r>
    </w:p>
    <w:p w:rsidR="00AE1467" w:rsidRDefault="00B72666">
      <w:pPr>
        <w:spacing w:before="69" w:after="69" w:line="360" w:lineRule="auto"/>
        <w:jc w:val="both"/>
      </w:pPr>
      <w:r>
        <w:rPr>
          <w:rFonts w:ascii="Times New Roman" w:eastAsia="Calibri" w:hAnsi="Times New Roman" w:cs="Calibri"/>
          <w:lang w:val="en-GB"/>
        </w:rPr>
        <w:t xml:space="preserve">Standard errors were obtained from the 20 bootstrap networks per model as the standard deviation of their estimates, and p-values from a z-test of estimate over standard error (Pichler &amp; Hartig 2023). Effects were evaluated on the training data, where the </w:t>
      </w:r>
      <w:r>
        <w:rPr>
          <w:rFonts w:ascii="Times New Roman" w:eastAsia="Calibri" w:hAnsi="Times New Roman" w:cs="Calibri"/>
          <w:lang w:val="en-GB"/>
        </w:rPr>
        <w:t>true effect is defined.</w:t>
      </w:r>
    </w:p>
    <w:p w:rsidR="00AE1467" w:rsidRDefault="00B72666">
      <w:pPr>
        <w:spacing w:before="12" w:after="12" w:line="360" w:lineRule="auto"/>
        <w:jc w:val="both"/>
      </w:pPr>
      <w:r>
        <w:rPr>
          <w:rFonts w:ascii="Times New Roman" w:eastAsia="Calibri" w:hAnsi="Times New Roman" w:cs="Calibri"/>
          <w:lang w:val="en-GB"/>
        </w:rPr>
        <w:t>Estimates were compared against the true average effect implied by the data-generating process. Because this quantity depends on the link, it differs between scenarios: under the identity link it equals the simulated coefficient, wh</w:t>
      </w:r>
      <w:r>
        <w:rPr>
          <w:rFonts w:ascii="Times New Roman" w:eastAsia="Calibri" w:hAnsi="Times New Roman" w:cs="Calibri"/>
          <w:lang w:val="en-GB"/>
        </w:rPr>
        <w:t>ereas under the log link it equals the coefficient multiplied by the mean response, and therefore varies between iterations. Each estimate was compared against the true value for its own iteration.</w:t>
      </w:r>
    </w:p>
    <w:p w:rsidR="00AE1467" w:rsidRDefault="00B72666">
      <w:pPr>
        <w:spacing w:line="360" w:lineRule="auto"/>
        <w:jc w:val="both"/>
      </w:pPr>
      <w:r>
        <w:rPr>
          <w:rFonts w:ascii="Times New Roman" w:eastAsia="Calibri" w:hAnsi="Times New Roman" w:cs="Calibri"/>
          <w:lang w:val="en-GB"/>
        </w:rPr>
        <w:t>Across the 1000 iterations I report bias, the mean differe</w:t>
      </w:r>
      <w:r>
        <w:rPr>
          <w:rFonts w:ascii="Times New Roman" w:eastAsia="Calibri" w:hAnsi="Times New Roman" w:cs="Calibri"/>
          <w:lang w:val="en-GB"/>
        </w:rPr>
        <w:t>nce between estimate and truth, and coverage, the proportion of iterations in which the interval estimate ± 1.96 SE contained the true effect. Coverage tests whether a model's self-reported uncertainty is honest: a well-calibrated model should achieve appr</w:t>
      </w:r>
      <w:r>
        <w:rPr>
          <w:rFonts w:ascii="Times New Roman" w:eastAsia="Calibri" w:hAnsi="Times New Roman" w:cs="Calibri"/>
          <w:lang w:val="en-GB"/>
        </w:rPr>
        <w:t>oximately 95%. Monte Carlo standard errors are reported for both, following (Morris et al., 2019); at 1000 iterations the Monte Carlo error on coverage is approximately 0.007, so differences smaller than roughly 0.02 should not be interpreted.</w:t>
      </w:r>
    </w:p>
    <w:p w:rsidR="00AE1467" w:rsidRDefault="00B72666">
      <w:pPr>
        <w:pStyle w:val="Heading1"/>
      </w:pPr>
      <w:r>
        <w:t>Parallelisat</w:t>
      </w:r>
      <w:r>
        <w:t>ion, hardware and reproducibility</w:t>
      </w:r>
    </w:p>
    <w:p w:rsidR="00AE1467" w:rsidRDefault="00B72666">
      <w:pPr>
        <w:spacing w:line="360" w:lineRule="auto"/>
        <w:jc w:val="both"/>
      </w:pPr>
      <w:r>
        <w:rPr>
          <w:rFonts w:ascii="Times New Roman" w:eastAsia="Calibri" w:hAnsi="Times New Roman" w:cs="Calibri"/>
          <w:lang w:val="en-GB"/>
        </w:rPr>
        <w:t>Each script ran 1000 iterations, each fitting one GLM and five DNNs with 20 bootstrap replicates. Runtime was therefore substantial, and iterations were distributed across 12 cores using pbmcapply::pbmclapply. Results fro</w:t>
      </w:r>
      <w:r>
        <w:rPr>
          <w:rFonts w:ascii="Times New Roman" w:eastAsia="Calibri" w:hAnsi="Times New Roman" w:cs="Calibri"/>
          <w:lang w:val="en-GB"/>
        </w:rPr>
        <w:t>m each iteration were appended to a data frame and written to disk on completion. Analyses were run on a machine with 24 cores and took approximately 28 hours per scenario.</w:t>
      </w:r>
    </w:p>
    <w:p w:rsidR="00AE1467" w:rsidRDefault="00B72666">
      <w:pPr>
        <w:spacing w:line="360" w:lineRule="auto"/>
        <w:jc w:val="both"/>
      </w:pPr>
      <w:r>
        <w:rPr>
          <w:rFonts w:ascii="Times New Roman" w:hAnsi="Times New Roman"/>
          <w:lang w:val="en-GB"/>
        </w:rPr>
        <w:t xml:space="preserve"> </w:t>
      </w:r>
      <w:r>
        <w:rPr>
          <w:rFonts w:ascii="Times New Roman" w:eastAsia="Calibri" w:hAnsi="Times New Roman" w:cs="Calibri"/>
          <w:lang w:val="en-GB"/>
        </w:rPr>
        <w:t>For reproducibility, the L'Ecuyer-CMRG random number generator was used so that pa</w:t>
      </w:r>
      <w:r>
        <w:rPr>
          <w:rFonts w:ascii="Times New Roman" w:eastAsia="Calibri" w:hAnsi="Times New Roman" w:cs="Calibri"/>
          <w:lang w:val="en-GB"/>
        </w:rPr>
        <w:t>rallel workers receive reproducible streams, with seeds set via set.seed() and, because torch maintains its own generator for weight initialisation, torch_manual_seed() within each worker. All analyses used R 4.5.3 with cito 1.2, DHARMa 0.5.0 and marginale</w:t>
      </w:r>
      <w:r>
        <w:rPr>
          <w:rFonts w:ascii="Times New Roman" w:eastAsia="Calibri" w:hAnsi="Times New Roman" w:cs="Calibri"/>
          <w:lang w:val="en-GB"/>
        </w:rPr>
        <w:t xml:space="preserve">ffects 1.0.0. Other packages I used were pbmcapply 1.5.1, stringr 1.6.0, dplyr 1.2.1, ggplot2 4.0.3, tidyr 1.3.2 and torch 0.17.0          </w:t>
      </w:r>
    </w:p>
    <w:p w:rsidR="00AE1467" w:rsidRDefault="00B72666">
      <w:pPr>
        <w:pStyle w:val="Heading1"/>
      </w:pPr>
      <w:r>
        <w:t>AI-Acknowledgement</w:t>
      </w:r>
    </w:p>
    <w:p w:rsidR="00AE1467" w:rsidRDefault="00B72666">
      <w:pPr>
        <w:spacing w:line="360" w:lineRule="auto"/>
        <w:jc w:val="both"/>
        <w:rPr>
          <w:rFonts w:ascii="Times New Roman" w:hAnsi="Times New Roman"/>
          <w:lang w:val="en-GB"/>
        </w:rPr>
      </w:pPr>
      <w:r>
        <w:rPr>
          <w:rFonts w:ascii="Times New Roman" w:hAnsi="Times New Roman"/>
          <w:lang w:val="en-GB"/>
        </w:rPr>
        <w:t>I used Anthropics’ Claude Opus 5 for debugging and cleaning code, aiding in literature search and</w:t>
      </w:r>
      <w:r>
        <w:rPr>
          <w:rFonts w:ascii="Times New Roman" w:hAnsi="Times New Roman"/>
          <w:lang w:val="en-GB"/>
        </w:rPr>
        <w:t xml:space="preserve"> reviewing this text. Study design, interpretation and final text were not delegated to AI.</w:t>
      </w:r>
    </w:p>
    <w:p w:rsidR="00AE1467" w:rsidRDefault="00B72666">
      <w:pPr>
        <w:pStyle w:val="Heading1"/>
      </w:pPr>
      <w:r>
        <w:t>Results</w:t>
      </w:r>
    </w:p>
    <w:p w:rsidR="00AE1467" w:rsidRDefault="00B72666">
      <w:pPr>
        <w:spacing w:line="360" w:lineRule="auto"/>
        <w:jc w:val="both"/>
      </w:pPr>
      <w:r>
        <w:rPr>
          <w:rFonts w:ascii="Times New Roman" w:hAnsi="Times New Roman"/>
        </w:rPr>
        <w:t>All trained models converged on Gaussian- and Poisson-distributed data, a</w:t>
      </w:r>
      <w:r>
        <w:rPr>
          <w:rFonts w:ascii="Times New Roman" w:eastAsia="Calibri" w:hAnsi="Times New Roman" w:cs="Calibri"/>
          <w:lang w:val="en-US"/>
        </w:rPr>
        <w:t xml:space="preserve">n earlier Gaussian configuration in which two losses failed entirely is described </w:t>
      </w:r>
      <w:r>
        <w:rPr>
          <w:rFonts w:ascii="Times New Roman" w:eastAsia="Calibri" w:hAnsi="Times New Roman" w:cs="Calibri"/>
          <w:lang w:val="en-US"/>
        </w:rPr>
        <w:t>below. I performed an overfitting analysis to validate the DNNs’ results (see Figure 5 and 6 in appendix).</w:t>
      </w:r>
    </w:p>
    <w:p w:rsidR="00AE1467" w:rsidRDefault="00B72666">
      <w:pPr>
        <w:pStyle w:val="Heading1"/>
      </w:pPr>
      <w:r>
        <w:t>Poisson-distributed data</w:t>
      </w:r>
    </w:p>
    <w:p w:rsidR="00AE1467" w:rsidRDefault="00B72666">
      <w:pPr>
        <w:spacing w:after="240" w:line="360" w:lineRule="auto"/>
        <w:jc w:val="both"/>
      </w:pPr>
      <w:r>
        <w:rPr>
          <w:rFonts w:ascii="Times New Roman" w:eastAsia="Calibri" w:hAnsi="Times New Roman" w:cs="Calibri"/>
          <w:lang w:val="en-US"/>
        </w:rPr>
        <w:t>Across all three accuracy metrics, differences between loss functions were small, and no DNN outperformed the correctly spe</w:t>
      </w:r>
      <w:r>
        <w:rPr>
          <w:rFonts w:ascii="Times New Roman" w:eastAsia="Calibri" w:hAnsi="Times New Roman" w:cs="Calibri"/>
          <w:lang w:val="en-US"/>
        </w:rPr>
        <w:t>cified GLM (R² = 0.268, RMSE = 0.832, Spearman = 0.605). Among the DNNs, the two count losses came closest to the GLM on every metric: Poisson and negative binomial achieved R² of 0.257 and 0.256 against 0.213 and 0.225 for MSE and Gaussian and Spearman co</w:t>
      </w:r>
      <w:r>
        <w:rPr>
          <w:rFonts w:ascii="Times New Roman" w:eastAsia="Calibri" w:hAnsi="Times New Roman" w:cs="Calibri"/>
          <w:lang w:val="en-US"/>
        </w:rPr>
        <w:t>rrelations of 0.596 and 0.595 against 0.585 and 0.586.</w:t>
      </w:r>
    </w:p>
    <w:p w:rsidR="00AE1467" w:rsidRDefault="00B72666">
      <w:pPr>
        <w:spacing w:before="183" w:after="183" w:line="360" w:lineRule="auto"/>
        <w:jc w:val="both"/>
      </w:pPr>
      <w:r>
        <w:rPr>
          <w:rFonts w:ascii="Times New Roman" w:eastAsia="Calibri" w:hAnsi="Times New Roman" w:cs="Calibri"/>
          <w:lang w:val="en-US"/>
        </w:rPr>
        <w:t>MAE was the clear exception. Its McFadden R² was negative (−0.098), indicating predictions worse than the intercept-only baseline, and it also produced the highest RMSE (0.866). Its Spearman correlatio</w:t>
      </w:r>
      <w:r>
        <w:rPr>
          <w:rFonts w:ascii="Times New Roman" w:eastAsia="Calibri" w:hAnsi="Times New Roman" w:cs="Calibri"/>
          <w:lang w:val="en-US"/>
        </w:rPr>
        <w:t>n, however, was 0.586 — indistinguishable from MSE and Gaussian. MAE therefore ordered observations as well as the other losses while placing them on the wrong scale, a pattern consistent with it predicting negative values for a majority of test observatio</w:t>
      </w:r>
      <w:r>
        <w:rPr>
          <w:rFonts w:ascii="Times New Roman" w:eastAsia="Calibri" w:hAnsi="Times New Roman" w:cs="Calibri"/>
          <w:lang w:val="en-US"/>
        </w:rPr>
        <w:t>ns (median prediction −0.002, Neg_preds = 89.6%).</w:t>
      </w:r>
      <w:r>
        <w:rPr>
          <w:rFonts w:ascii="Times New Roman" w:hAnsi="Times New Roman"/>
          <w:lang w:val="en-US"/>
        </w:rPr>
        <w:t xml:space="preserve"> </w:t>
      </w:r>
      <w:r>
        <w:rPr>
          <w:rFonts w:ascii="Times New Roman" w:eastAsia="Calibri" w:hAnsi="Times New Roman" w:cs="Calibri"/>
          <w:lang w:val="en-US"/>
        </w:rPr>
        <w:t>As described in the Methods, predictions at or below zero are clamped before the Poisson log-likelihood is evaluated, which penalizes them heavily</w:t>
      </w:r>
      <w:r>
        <w:rPr>
          <w:rFonts w:ascii="Times New Roman" w:hAnsi="Times New Roman"/>
          <w:lang w:val="en-US"/>
        </w:rPr>
        <w:t>).</w:t>
      </w:r>
    </w:p>
    <w:p w:rsidR="00AE1467" w:rsidRDefault="00B72666">
      <w:pPr>
        <w:spacing w:before="171" w:after="274" w:line="240" w:lineRule="auto"/>
        <w:jc w:val="both"/>
      </w:pPr>
      <w:r>
        <w:rPr>
          <w:rFonts w:ascii="Times New Roman" w:hAnsi="Times New Roman"/>
          <w:noProof/>
          <w:lang w:val="en-US" w:eastAsia="en-US"/>
        </w:rPr>
        <w:drawing>
          <wp:inline distT="0" distB="0" distL="0" distR="0">
            <wp:extent cx="5724326" cy="3181289"/>
            <wp:effectExtent l="0" t="0" r="0" b="61"/>
            <wp:docPr id="1"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5724326" cy="3181289"/>
                    </a:xfrm>
                    <a:prstGeom prst="rect">
                      <a:avLst/>
                    </a:prstGeom>
                    <a:noFill/>
                    <a:ln>
                      <a:noFill/>
                      <a:prstDash/>
                    </a:ln>
                  </pic:spPr>
                </pic:pic>
              </a:graphicData>
            </a:graphic>
          </wp:inline>
        </w:drawing>
      </w:r>
      <w:r>
        <w:rPr>
          <w:rFonts w:ascii="Times New Roman" w:eastAsia="Calibri" w:hAnsi="Times New Roman" w:cs="Calibri"/>
          <w:b/>
          <w:bCs/>
          <w:sz w:val="20"/>
          <w:szCs w:val="20"/>
          <w:lang w:val="en-US"/>
        </w:rPr>
        <w:t>Figure 1: Predictive accuracy of five DNN loss function</w:t>
      </w:r>
      <w:r>
        <w:rPr>
          <w:rFonts w:ascii="Times New Roman" w:eastAsia="Calibri" w:hAnsi="Times New Roman" w:cs="Calibri"/>
          <w:b/>
          <w:bCs/>
          <w:sz w:val="20"/>
          <w:szCs w:val="20"/>
          <w:lang w:val="en-US"/>
        </w:rPr>
        <w:t xml:space="preserve">s and the GLM baseline on Poisson-distributed data, averaged over 1000 iterations. </w:t>
      </w:r>
      <w:r>
        <w:rPr>
          <w:rFonts w:ascii="Times New Roman" w:eastAsia="Calibri" w:hAnsi="Times New Roman" w:cs="Calibri"/>
          <w:sz w:val="20"/>
          <w:szCs w:val="20"/>
          <w:lang w:val="en-US"/>
        </w:rPr>
        <w:t>Bars show the mean of McFadden's R², RMSE against the observed response, and Spearman correlation, each computed on held-out test data. The GLM (grey) is correctly specified</w:t>
      </w:r>
      <w:r>
        <w:rPr>
          <w:rFonts w:ascii="Times New Roman" w:eastAsia="Calibri" w:hAnsi="Times New Roman" w:cs="Calibri"/>
          <w:sz w:val="20"/>
          <w:szCs w:val="20"/>
          <w:lang w:val="en-US"/>
        </w:rPr>
        <w:t xml:space="preserve"> and serves as the reference. Note that McFadden's R² is not bounded below by zero out of sample; negative values indicate predictions worse than an intercept-only baseline.</w:t>
      </w:r>
    </w:p>
    <w:p w:rsidR="00AE1467" w:rsidRDefault="00B72666">
      <w:pPr>
        <w:spacing w:after="12" w:line="360" w:lineRule="auto"/>
        <w:jc w:val="both"/>
      </w:pPr>
      <w:r>
        <w:rPr>
          <w:rFonts w:ascii="Times New Roman" w:eastAsia="Calibri" w:hAnsi="Times New Roman" w:cs="Calibri"/>
          <w:lang w:val="en-US"/>
        </w:rPr>
        <w:t xml:space="preserve">Effect estimation showed a different pattern from predictive accuracy. The </w:t>
      </w:r>
      <w:r>
        <w:rPr>
          <w:rFonts w:ascii="Times New Roman" w:eastAsia="Calibri" w:hAnsi="Times New Roman" w:cs="Calibri"/>
          <w:lang w:val="en-US"/>
        </w:rPr>
        <w:t>correctly specified GLM recovered the true effects closely across all three predictors (1.373, 0.278 and 0.067 against true values of 1.367, 0.273 and 0.068). All five DNNs, by contrast, underestimated the strongest effect: estimates for Environment1 range</w:t>
      </w:r>
      <w:r>
        <w:rPr>
          <w:rFonts w:ascii="Times New Roman" w:eastAsia="Calibri" w:hAnsi="Times New Roman" w:cs="Calibri"/>
          <w:lang w:val="en-US"/>
        </w:rPr>
        <w:t>d from 1.055 (MAE) to 1.195 (MSE), a shortfall of 13–23% relative to the true value of 1.367. The same direction held for Environment2 and Environment3, though absolute differences shrank with effect size.</w:t>
      </w:r>
    </w:p>
    <w:p w:rsidR="00AE1467" w:rsidRDefault="00B72666">
      <w:pPr>
        <w:spacing w:before="240" w:after="240" w:line="360" w:lineRule="auto"/>
        <w:jc w:val="both"/>
      </w:pPr>
      <w:r>
        <w:rPr>
          <w:rFonts w:ascii="Times New Roman" w:eastAsia="Calibri" w:hAnsi="Times New Roman" w:cs="Calibri"/>
          <w:lang w:val="en-US"/>
        </w:rPr>
        <w:t xml:space="preserve">Differences between loss functions were small </w:t>
      </w:r>
      <w:r>
        <w:rPr>
          <w:rFonts w:ascii="Times New Roman" w:eastAsia="Calibri" w:hAnsi="Times New Roman" w:cs="Calibri"/>
          <w:lang w:val="en-US"/>
        </w:rPr>
        <w:t>relative to their uncertainty. Bootstrap standard errors for Environment1 were approximately 0.2 for all DNNs, so the spread between the best and worst loss function fell within roughly one standard error.</w:t>
      </w:r>
    </w:p>
    <w:p w:rsidR="00AE1467" w:rsidRDefault="00AE1467">
      <w:pPr>
        <w:spacing w:line="360" w:lineRule="auto"/>
        <w:jc w:val="both"/>
        <w:rPr>
          <w:rFonts w:ascii="Times New Roman" w:eastAsia="Calibri" w:hAnsi="Times New Roman" w:cs="Calibri"/>
          <w:lang w:val="en-US"/>
        </w:rPr>
      </w:pPr>
    </w:p>
    <w:p w:rsidR="00AE1467" w:rsidRDefault="00B72666">
      <w:pPr>
        <w:spacing w:before="342" w:after="342" w:line="240" w:lineRule="auto"/>
        <w:jc w:val="both"/>
      </w:pPr>
      <w:r>
        <w:rPr>
          <w:rFonts w:ascii="Times New Roman" w:hAnsi="Times New Roman"/>
          <w:noProof/>
          <w:lang w:val="en-US" w:eastAsia="en-US"/>
        </w:rPr>
        <w:drawing>
          <wp:inline distT="0" distB="0" distL="0" distR="0">
            <wp:extent cx="5724326" cy="3181289"/>
            <wp:effectExtent l="0" t="0" r="0" b="61"/>
            <wp:docPr id="2"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5724326" cy="3181289"/>
                    </a:xfrm>
                    <a:prstGeom prst="rect">
                      <a:avLst/>
                    </a:prstGeom>
                    <a:noFill/>
                    <a:ln>
                      <a:noFill/>
                      <a:prstDash/>
                    </a:ln>
                  </pic:spPr>
                </pic:pic>
              </a:graphicData>
            </a:graphic>
          </wp:inline>
        </w:drawing>
      </w:r>
      <w:r>
        <w:rPr>
          <w:rFonts w:ascii="Times New Roman" w:hAnsi="Times New Roman"/>
          <w:b/>
          <w:bCs/>
          <w:sz w:val="20"/>
          <w:szCs w:val="20"/>
          <w:lang w:val="en-US"/>
        </w:rPr>
        <w:t xml:space="preserve">Figure 2: </w:t>
      </w:r>
      <w:r>
        <w:rPr>
          <w:rFonts w:ascii="Times New Roman" w:eastAsia="Calibri" w:hAnsi="Times New Roman" w:cs="Calibri"/>
          <w:b/>
          <w:bCs/>
          <w:sz w:val="20"/>
          <w:szCs w:val="20"/>
          <w:lang w:val="en-US"/>
        </w:rPr>
        <w:t>Estimated effects of the three predic</w:t>
      </w:r>
      <w:r>
        <w:rPr>
          <w:rFonts w:ascii="Times New Roman" w:eastAsia="Calibri" w:hAnsi="Times New Roman" w:cs="Calibri"/>
          <w:b/>
          <w:bCs/>
          <w:sz w:val="20"/>
          <w:szCs w:val="20"/>
          <w:lang w:val="en-US"/>
        </w:rPr>
        <w:t>tors for five DNN loss functions and the GLM baseline on Poisson-distributed data, averaged over 1000 iterations</w:t>
      </w:r>
      <w:r>
        <w:rPr>
          <w:rFonts w:ascii="Times New Roman" w:eastAsia="Calibri" w:hAnsi="Times New Roman" w:cs="Calibri"/>
          <w:sz w:val="20"/>
          <w:szCs w:val="20"/>
          <w:lang w:val="en-US"/>
        </w:rPr>
        <w:t>. Bars show the mean estimated effect, error bars the mean bootstrap standard error across iterations. Red labels give the true average effect i</w:t>
      </w:r>
      <w:r>
        <w:rPr>
          <w:rFonts w:ascii="Times New Roman" w:eastAsia="Calibri" w:hAnsi="Times New Roman" w:cs="Calibri"/>
          <w:sz w:val="20"/>
          <w:szCs w:val="20"/>
          <w:lang w:val="en-US"/>
        </w:rPr>
        <w:t>mplied by the data-generating process. Effects are average conditional effects on the response scale.</w:t>
      </w:r>
    </w:p>
    <w:p w:rsidR="00AE1467" w:rsidRDefault="00B72666">
      <w:pPr>
        <w:spacing w:after="240" w:line="360" w:lineRule="auto"/>
        <w:jc w:val="both"/>
        <w:rPr>
          <w:rFonts w:ascii="Times New Roman" w:eastAsia="Calibri" w:hAnsi="Times New Roman" w:cs="Calibri"/>
          <w:lang w:val="en-US"/>
        </w:rPr>
      </w:pPr>
      <w:r>
        <w:rPr>
          <w:rFonts w:ascii="Times New Roman" w:eastAsia="Calibri" w:hAnsi="Times New Roman" w:cs="Calibri"/>
          <w:lang w:val="en-US"/>
        </w:rPr>
        <w:t>The correctly specified GLM was essentially unbiased for all three predictors and achieved coverage close to the nominal 95% (0.920–0.934). The DNNs behav</w:t>
      </w:r>
      <w:r>
        <w:rPr>
          <w:rFonts w:ascii="Times New Roman" w:eastAsia="Calibri" w:hAnsi="Times New Roman" w:cs="Calibri"/>
          <w:lang w:val="en-US"/>
        </w:rPr>
        <w:t>ed differently, and the pattern depended strongly on effect size. For Environment1, the strongest effect, every DNN underestimated the true value and coverage fell well below nominal, from 0.844 for the Gaussian loss down to 0.701 for MAE. For Environment2</w:t>
      </w:r>
      <w:r>
        <w:rPr>
          <w:rFonts w:ascii="Times New Roman" w:eastAsia="Calibri" w:hAnsi="Times New Roman" w:cs="Calibri"/>
          <w:lang w:val="en-US"/>
        </w:rPr>
        <w:t xml:space="preserve"> and Environment3, bias was negligible, and coverage was slightly above nominal (0.948–0.986).</w:t>
      </w:r>
    </w:p>
    <w:p w:rsidR="00AE1467" w:rsidRDefault="00B72666">
      <w:pPr>
        <w:spacing w:after="0" w:line="360" w:lineRule="auto"/>
        <w:jc w:val="both"/>
      </w:pPr>
      <w:r>
        <w:rPr>
          <w:rFonts w:ascii="Times New Roman" w:eastAsia="Calibri" w:hAnsi="Times New Roman" w:cs="Calibri"/>
          <w:lang w:val="en-US"/>
        </w:rPr>
        <w:t>Coverage tracked bias closely across all DNNs: MAE showed both the largest underestimation (−0.312, 22.8% of the true effect) and the lowest coverage (0.701), fo</w:t>
      </w:r>
      <w:r>
        <w:rPr>
          <w:rFonts w:ascii="Times New Roman" w:eastAsia="Calibri" w:hAnsi="Times New Roman" w:cs="Calibri"/>
          <w:lang w:val="en-US"/>
        </w:rPr>
        <w:t>llowed by the negative binomial loss (−0.234 and 0.765). The remaining three losses were indistinguishable from one another (bias −0.172 to −0.181, coverage 0.822–0.844).</w:t>
      </w:r>
    </w:p>
    <w:p w:rsidR="00AE1467" w:rsidRDefault="00AE1467">
      <w:pPr>
        <w:spacing w:after="0" w:line="240" w:lineRule="auto"/>
        <w:jc w:val="both"/>
      </w:pPr>
    </w:p>
    <w:p w:rsidR="00AE1467" w:rsidRDefault="00B72666">
      <w:pPr>
        <w:spacing w:after="0" w:line="240" w:lineRule="auto"/>
        <w:jc w:val="both"/>
      </w:pPr>
      <w:r>
        <w:rPr>
          <w:rFonts w:ascii="Times New Roman" w:eastAsia="Calibri" w:hAnsi="Times New Roman" w:cs="Calibri"/>
          <w:b/>
          <w:bCs/>
          <w:sz w:val="20"/>
          <w:szCs w:val="20"/>
          <w:lang w:val="en-US"/>
        </w:rPr>
        <w:t>Table 1. Coverage and bias of effect estimates for the three predictors, five DNN lo</w:t>
      </w:r>
      <w:r>
        <w:rPr>
          <w:rFonts w:ascii="Times New Roman" w:eastAsia="Calibri" w:hAnsi="Times New Roman" w:cs="Calibri"/>
          <w:b/>
          <w:bCs/>
          <w:sz w:val="20"/>
          <w:szCs w:val="20"/>
          <w:lang w:val="en-US"/>
        </w:rPr>
        <w:t>ss functions and the GLM baseline on Poisson-distributed data, over 1000 iterations</w:t>
      </w:r>
      <w:r>
        <w:rPr>
          <w:rFonts w:ascii="Times New Roman" w:eastAsia="Calibri" w:hAnsi="Times New Roman" w:cs="Calibri"/>
          <w:sz w:val="20"/>
          <w:szCs w:val="20"/>
          <w:lang w:val="en-US"/>
        </w:rPr>
        <w:t>. Coverage is the proportion of iterations in which the estimate ± 1.96 SE contained the true effect; bias is the mean difference between estimate and true effect. Monte Car</w:t>
      </w:r>
      <w:r>
        <w:rPr>
          <w:rFonts w:ascii="Times New Roman" w:eastAsia="Calibri" w:hAnsi="Times New Roman" w:cs="Calibri"/>
          <w:sz w:val="20"/>
          <w:szCs w:val="20"/>
          <w:lang w:val="en-US"/>
        </w:rPr>
        <w:t>lo standard errors in parentheses. Nominal coverage is 0.95.</w:t>
      </w:r>
      <w:r>
        <w:rPr>
          <w:rFonts w:ascii="Times New Roman" w:eastAsia="Calibri" w:hAnsi="Times New Roman" w:cs="Calibri"/>
          <w:noProof/>
          <w:sz w:val="20"/>
          <w:szCs w:val="20"/>
          <w:lang w:val="en-US" w:eastAsia="en-US"/>
        </w:rPr>
        <w:drawing>
          <wp:inline distT="0" distB="0" distL="0" distR="0">
            <wp:extent cx="5724326" cy="5153009"/>
            <wp:effectExtent l="0" t="0" r="0" b="0"/>
            <wp:docPr id="3"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5724326" cy="5153009"/>
                    </a:xfrm>
                    <a:prstGeom prst="rect">
                      <a:avLst/>
                    </a:prstGeom>
                    <a:noFill/>
                    <a:ln>
                      <a:noFill/>
                      <a:prstDash/>
                    </a:ln>
                  </pic:spPr>
                </pic:pic>
              </a:graphicData>
            </a:graphic>
          </wp:inline>
        </w:drawing>
      </w:r>
    </w:p>
    <w:p w:rsidR="00AE1467" w:rsidRDefault="00AE1467">
      <w:pPr>
        <w:spacing w:line="360" w:lineRule="auto"/>
        <w:jc w:val="both"/>
        <w:rPr>
          <w:rFonts w:ascii="Times New Roman" w:eastAsia="Calibri" w:hAnsi="Times New Roman" w:cs="Calibri"/>
          <w:sz w:val="20"/>
          <w:szCs w:val="20"/>
          <w:lang w:val="en-US"/>
        </w:rPr>
      </w:pPr>
    </w:p>
    <w:p w:rsidR="00AE1467" w:rsidRDefault="00B72666">
      <w:pPr>
        <w:spacing w:line="360" w:lineRule="auto"/>
        <w:jc w:val="both"/>
      </w:pPr>
      <w:r>
        <w:rPr>
          <w:rFonts w:ascii="Times New Roman" w:eastAsia="Calibri" w:hAnsi="Times New Roman" w:cs="Calibri"/>
          <w:lang w:val="en-US"/>
        </w:rPr>
        <w:t>Taken together, matching the loss function to the data-generating distribution produced at most marginal gains in predictive accuracy, while using a loss whose target functional differs from th</w:t>
      </w:r>
      <w:r>
        <w:rPr>
          <w:rFonts w:ascii="Times New Roman" w:eastAsia="Calibri" w:hAnsi="Times New Roman" w:cs="Calibri"/>
          <w:lang w:val="en-US"/>
        </w:rPr>
        <w:t>e mean — MAE — degraded both prediction and inference substantially.</w:t>
      </w:r>
    </w:p>
    <w:p w:rsidR="00AE1467" w:rsidRDefault="00B72666">
      <w:pPr>
        <w:pStyle w:val="Heading2"/>
        <w:numPr>
          <w:ilvl w:val="0"/>
          <w:numId w:val="0"/>
        </w:numPr>
        <w:spacing w:line="360" w:lineRule="auto"/>
      </w:pPr>
      <w:r>
        <w:t>Gaussian-distributed data</w:t>
      </w:r>
    </w:p>
    <w:p w:rsidR="00AE1467" w:rsidRDefault="00B72666">
      <w:pPr>
        <w:spacing w:before="240" w:after="240" w:line="360" w:lineRule="auto"/>
        <w:jc w:val="both"/>
      </w:pPr>
      <w:r>
        <w:rPr>
          <w:rFonts w:ascii="Times New Roman" w:eastAsia="Calibri" w:hAnsi="Times New Roman" w:cs="Calibri"/>
          <w:lang w:val="en-US"/>
        </w:rPr>
        <w:t>The first Gaussian runs, at an intercept of −1, produced usable results only for MSE, MAE and Gaussian: the Poisson and negative binomial losses failed to conver</w:t>
      </w:r>
      <w:r>
        <w:rPr>
          <w:rFonts w:ascii="Times New Roman" w:eastAsia="Calibri" w:hAnsi="Times New Roman" w:cs="Calibri"/>
          <w:lang w:val="en-US"/>
        </w:rPr>
        <w:t>ge in every iteration, as roughly two thirds of simulated responses were negative and lie outside the support of both distributions (see Table 3 in Appendix). The scenario was therefore rerun at an intercept of 6, the lowest value producing reliably positi</w:t>
      </w:r>
      <w:r>
        <w:rPr>
          <w:rFonts w:ascii="Times New Roman" w:eastAsia="Calibri" w:hAnsi="Times New Roman" w:cs="Calibri"/>
          <w:lang w:val="en-US"/>
        </w:rPr>
        <w:t>ve responses, at which all five losses converged.</w:t>
      </w:r>
    </w:p>
    <w:p w:rsidR="00AE1467" w:rsidRDefault="00B72666">
      <w:pPr>
        <w:spacing w:before="240" w:after="240" w:line="360" w:lineRule="auto"/>
        <w:jc w:val="both"/>
      </w:pPr>
      <w:r>
        <w:rPr>
          <w:rFonts w:ascii="Times New Roman" w:eastAsia="Calibri" w:hAnsi="Times New Roman" w:cs="Calibri"/>
          <w:lang w:val="en-US"/>
        </w:rPr>
        <w:t>Differences between loss functions were again small, and no DNN matched the correctly specified GLM. R² ranged from 0.538 to 0.550 across the DNNs against 0.562 for the GLM, and RMSE from 1.018 to 1.032 aga</w:t>
      </w:r>
      <w:r>
        <w:rPr>
          <w:rFonts w:ascii="Times New Roman" w:eastAsia="Calibri" w:hAnsi="Times New Roman" w:cs="Calibri"/>
          <w:lang w:val="en-US"/>
        </w:rPr>
        <w:t>inst 1.005. Spearman correlations differed even less, spanning 0.741 to 0.749 against 0.753. Unlike the Poisson scenario, the two count losses held no advantage: negative binomial gave the best DNN R² (0.550) and Poisson the third (0.546), but the spread a</w:t>
      </w:r>
      <w:r>
        <w:rPr>
          <w:rFonts w:ascii="Times New Roman" w:eastAsia="Calibri" w:hAnsi="Times New Roman" w:cs="Calibri"/>
          <w:lang w:val="en-US"/>
        </w:rPr>
        <w:t>cross all five losses was smaller than in any Poisson comparison.</w:t>
      </w:r>
    </w:p>
    <w:p w:rsidR="00AE1467" w:rsidRDefault="00B72666">
      <w:pPr>
        <w:spacing w:before="240" w:after="240" w:line="360" w:lineRule="auto"/>
        <w:jc w:val="both"/>
      </w:pPr>
      <w:r>
        <w:rPr>
          <w:rFonts w:ascii="Times New Roman" w:eastAsia="Calibri" w:hAnsi="Times New Roman" w:cs="Calibri"/>
          <w:lang w:val="en-US"/>
        </w:rPr>
        <w:t>Effect estimation showed the same pattern. For the smaller effects the GLM came closest to the truth (0.397 and 0.104 against 0.4 and 0.1), with the DNNs spanning 0.387–0.396 and 0.100–0.105</w:t>
      </w:r>
      <w:r>
        <w:rPr>
          <w:rFonts w:ascii="Times New Roman" w:eastAsia="Calibri" w:hAnsi="Times New Roman" w:cs="Calibri"/>
          <w:lang w:val="en-US"/>
        </w:rPr>
        <w:t>. For Environment1 the GLM recovered the true effect of 2 almost exactly (1.998), followed by negative binomial (1.988) and Poisson (1.974), while MSE, MAE and Gaussian fell slightly lower (1.942–1.964). The underestimation of the strongest effect was ther</w:t>
      </w:r>
      <w:r>
        <w:rPr>
          <w:rFonts w:ascii="Times New Roman" w:eastAsia="Calibri" w:hAnsi="Times New Roman" w:cs="Calibri"/>
          <w:lang w:val="en-US"/>
        </w:rPr>
        <w:t>efore present but far weaker than under Poisson data, where the same losses fell 13–23% short.</w:t>
      </w:r>
    </w:p>
    <w:p w:rsidR="00AE1467" w:rsidRDefault="00B72666">
      <w:pPr>
        <w:spacing w:before="240" w:after="240" w:line="360" w:lineRule="auto"/>
        <w:jc w:val="both"/>
      </w:pPr>
      <w:r>
        <w:rPr>
          <w:rFonts w:ascii="Times New Roman" w:eastAsia="Calibri" w:hAnsi="Times New Roman" w:cs="Calibri"/>
          <w:lang w:val="en-US"/>
        </w:rPr>
        <w:t>Interval coverage showed the opposite pattern to the count scenario. DNN biases were close to zero throughout (−0.058 to +0.005), two orders of magnitude smaller</w:t>
      </w:r>
      <w:r>
        <w:rPr>
          <w:rFonts w:ascii="Times New Roman" w:eastAsia="Calibri" w:hAnsi="Times New Roman" w:cs="Calibri"/>
          <w:lang w:val="en-US"/>
        </w:rPr>
        <w:t xml:space="preserve"> in relative terms than under Poisson data, and coverage exceeded the nominal 95% for every predictor and loss (0.959–0.991). The regularisation-induced underestimation that depressed coverage for the strongest effect under count data was therefore not det</w:t>
      </w:r>
      <w:r>
        <w:rPr>
          <w:rFonts w:ascii="Times New Roman" w:eastAsia="Calibri" w:hAnsi="Times New Roman" w:cs="Calibri"/>
          <w:lang w:val="en-US"/>
        </w:rPr>
        <w:t>ectable here, although the intervals were wider than necessary rather than correctly sized. The GLM fell slightly below nominal for all three predictors (0.919–0.937) despite being essentially unbiased, which suggests its bootstrap standard errors are some</w:t>
      </w:r>
      <w:r>
        <w:rPr>
          <w:rFonts w:ascii="Times New Roman" w:eastAsia="Calibri" w:hAnsi="Times New Roman" w:cs="Calibri"/>
          <w:lang w:val="en-US"/>
        </w:rPr>
        <w:t>what too narrow.</w:t>
      </w:r>
    </w:p>
    <w:p w:rsidR="00AE1467" w:rsidRDefault="00B72666">
      <w:pPr>
        <w:spacing w:line="240" w:lineRule="auto"/>
        <w:jc w:val="both"/>
      </w:pPr>
      <w:r>
        <w:rPr>
          <w:rFonts w:ascii="Times New Roman" w:hAnsi="Times New Roman"/>
          <w:noProof/>
          <w:lang w:val="en-US" w:eastAsia="en-US"/>
        </w:rPr>
        <w:drawing>
          <wp:inline distT="0" distB="0" distL="0" distR="0">
            <wp:extent cx="5724326" cy="3181289"/>
            <wp:effectExtent l="0" t="0" r="0" b="61"/>
            <wp:docPr id="4"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5724326" cy="3181289"/>
                    </a:xfrm>
                    <a:prstGeom prst="rect">
                      <a:avLst/>
                    </a:prstGeom>
                    <a:noFill/>
                    <a:ln>
                      <a:noFill/>
                      <a:prstDash/>
                    </a:ln>
                  </pic:spPr>
                </pic:pic>
              </a:graphicData>
            </a:graphic>
          </wp:inline>
        </w:drawing>
      </w:r>
      <w:r>
        <w:rPr>
          <w:rFonts w:ascii="Times New Roman" w:hAnsi="Times New Roman"/>
          <w:b/>
          <w:bCs/>
          <w:sz w:val="20"/>
          <w:szCs w:val="20"/>
        </w:rPr>
        <w:t>Figure 3:</w:t>
      </w:r>
      <w:r>
        <w:rPr>
          <w:rFonts w:ascii="Times New Roman" w:hAnsi="Times New Roman"/>
          <w:sz w:val="20"/>
          <w:szCs w:val="20"/>
        </w:rPr>
        <w:t xml:space="preserve"> </w:t>
      </w:r>
      <w:r>
        <w:rPr>
          <w:rFonts w:ascii="Times New Roman" w:eastAsia="Calibri" w:hAnsi="Times New Roman" w:cs="Calibri"/>
          <w:b/>
          <w:bCs/>
          <w:sz w:val="20"/>
          <w:szCs w:val="20"/>
          <w:lang w:val="en-US"/>
        </w:rPr>
        <w:t>Predictive accuracy of five DNN loss functions and the GLM baseline on Gaussian-distributed data, averaged over 1000 iterations.</w:t>
      </w:r>
      <w:r>
        <w:rPr>
          <w:rFonts w:ascii="Times New Roman" w:eastAsia="Calibri" w:hAnsi="Times New Roman" w:cs="Calibri"/>
          <w:sz w:val="20"/>
          <w:szCs w:val="20"/>
          <w:lang w:val="en-US"/>
        </w:rPr>
        <w:t xml:space="preserve"> Bars show the mean of the  R², RMSE against the observed response, and Spearman correlation, each computed on held-out test data. The GLM (grey) is correctly specified and serves as the reference. Note that the accuracy metrics show no large divergence be</w:t>
      </w:r>
      <w:r>
        <w:rPr>
          <w:rFonts w:ascii="Times New Roman" w:eastAsia="Calibri" w:hAnsi="Times New Roman" w:cs="Calibri"/>
          <w:sz w:val="20"/>
          <w:szCs w:val="20"/>
          <w:lang w:val="en-US"/>
        </w:rPr>
        <w:t>tween models.</w:t>
      </w:r>
    </w:p>
    <w:p w:rsidR="00AE1467" w:rsidRDefault="00B72666">
      <w:pPr>
        <w:spacing w:line="360" w:lineRule="auto"/>
        <w:rPr>
          <w:rFonts w:ascii="Times New Roman" w:hAnsi="Times New Roman"/>
        </w:rPr>
      </w:pPr>
      <w:r>
        <w:rPr>
          <w:rFonts w:ascii="Times New Roman" w:hAnsi="Times New Roman"/>
          <w:noProof/>
          <w:lang w:val="en-US" w:eastAsia="en-US"/>
        </w:rPr>
        <w:drawing>
          <wp:inline distT="0" distB="0" distL="0" distR="0">
            <wp:extent cx="5724326" cy="3181289"/>
            <wp:effectExtent l="0" t="0" r="0" b="61"/>
            <wp:docPr id="5"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5724326" cy="3181289"/>
                    </a:xfrm>
                    <a:prstGeom prst="rect">
                      <a:avLst/>
                    </a:prstGeom>
                    <a:noFill/>
                    <a:ln>
                      <a:noFill/>
                      <a:prstDash/>
                    </a:ln>
                  </pic:spPr>
                </pic:pic>
              </a:graphicData>
            </a:graphic>
          </wp:inline>
        </w:drawing>
      </w:r>
    </w:p>
    <w:p w:rsidR="00AE1467" w:rsidRDefault="00B72666">
      <w:pPr>
        <w:spacing w:line="240" w:lineRule="auto"/>
      </w:pPr>
      <w:r>
        <w:rPr>
          <w:rFonts w:ascii="Times New Roman" w:hAnsi="Times New Roman"/>
          <w:b/>
          <w:bCs/>
          <w:sz w:val="20"/>
          <w:szCs w:val="20"/>
          <w:lang w:val="en-US"/>
        </w:rPr>
        <w:t xml:space="preserve">Figure 4: </w:t>
      </w:r>
      <w:r>
        <w:rPr>
          <w:rFonts w:ascii="Times New Roman" w:eastAsia="Calibri" w:hAnsi="Times New Roman" w:cs="Calibri"/>
          <w:b/>
          <w:bCs/>
          <w:sz w:val="20"/>
          <w:szCs w:val="20"/>
          <w:lang w:val="en-US"/>
        </w:rPr>
        <w:t>Estimated effects of the three predictors for five DNN loss functions and the GLM baseline on Gaussian-distributed data, averaged over 1000 iterations</w:t>
      </w:r>
      <w:r>
        <w:rPr>
          <w:rFonts w:ascii="Times New Roman" w:eastAsia="Calibri" w:hAnsi="Times New Roman" w:cs="Calibri"/>
          <w:sz w:val="20"/>
          <w:szCs w:val="20"/>
          <w:lang w:val="en-US"/>
        </w:rPr>
        <w:t>. Bars show the mean estimated effect, error bars the mean bootstrap standard e</w:t>
      </w:r>
      <w:r>
        <w:rPr>
          <w:rFonts w:ascii="Times New Roman" w:eastAsia="Calibri" w:hAnsi="Times New Roman" w:cs="Calibri"/>
          <w:sz w:val="20"/>
          <w:szCs w:val="20"/>
          <w:lang w:val="en-US"/>
        </w:rPr>
        <w:t>rror across iterations. Red labels give the true average effect implied by the data-generating process. Effects are average conditional effects on the response scale.</w:t>
      </w:r>
    </w:p>
    <w:p w:rsidR="00AE1467" w:rsidRDefault="00AE1467">
      <w:pPr>
        <w:spacing w:line="240" w:lineRule="auto"/>
      </w:pPr>
    </w:p>
    <w:p w:rsidR="00AE1467" w:rsidRDefault="00AE1467">
      <w:pPr>
        <w:spacing w:line="240" w:lineRule="auto"/>
      </w:pPr>
    </w:p>
    <w:p w:rsidR="00AE1467" w:rsidRDefault="00B72666">
      <w:pPr>
        <w:spacing w:line="240" w:lineRule="auto"/>
      </w:pPr>
      <w:r>
        <w:rPr>
          <w:rFonts w:ascii="Times New Roman" w:eastAsia="Calibri" w:hAnsi="Times New Roman" w:cs="Calibri"/>
          <w:b/>
          <w:bCs/>
          <w:sz w:val="20"/>
          <w:szCs w:val="20"/>
          <w:lang w:val="en-US"/>
        </w:rPr>
        <w:t xml:space="preserve">Table 2: Coverage and bias of effect estimates for the three predictors, five DNN loss </w:t>
      </w:r>
      <w:r>
        <w:rPr>
          <w:rFonts w:ascii="Times New Roman" w:eastAsia="Calibri" w:hAnsi="Times New Roman" w:cs="Calibri"/>
          <w:b/>
          <w:bCs/>
          <w:sz w:val="20"/>
          <w:szCs w:val="20"/>
          <w:lang w:val="en-US"/>
        </w:rPr>
        <w:t>functions and the GLM baseline on Poisson-distributed data, over 1000 iterations</w:t>
      </w:r>
      <w:r>
        <w:rPr>
          <w:rFonts w:ascii="Times New Roman" w:eastAsia="Calibri" w:hAnsi="Times New Roman" w:cs="Calibri"/>
          <w:sz w:val="20"/>
          <w:szCs w:val="20"/>
          <w:lang w:val="en-US"/>
        </w:rPr>
        <w:t xml:space="preserve">. Coverage is the proportion of iterations in which the estimate ± 1.96 SE contained the true effect; bias is the mean difference between estimate and true effect. Monte Carlo </w:t>
      </w:r>
      <w:r>
        <w:rPr>
          <w:rFonts w:ascii="Times New Roman" w:eastAsia="Calibri" w:hAnsi="Times New Roman" w:cs="Calibri"/>
          <w:sz w:val="20"/>
          <w:szCs w:val="20"/>
          <w:lang w:val="en-US"/>
        </w:rPr>
        <w:t>standard errors in parentheses. Nominal coverage is 0.95.</w:t>
      </w:r>
      <w:r>
        <w:rPr>
          <w:rFonts w:ascii="Times New Roman" w:hAnsi="Times New Roman"/>
          <w:noProof/>
          <w:lang w:val="en-US" w:eastAsia="en-US"/>
        </w:rPr>
        <w:drawing>
          <wp:inline distT="0" distB="0" distL="0" distR="0">
            <wp:extent cx="5724326" cy="5153009"/>
            <wp:effectExtent l="0" t="0" r="0" b="0"/>
            <wp:docPr id="6"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5724326" cy="5153009"/>
                    </a:xfrm>
                    <a:prstGeom prst="rect">
                      <a:avLst/>
                    </a:prstGeom>
                    <a:noFill/>
                    <a:ln>
                      <a:noFill/>
                      <a:prstDash/>
                    </a:ln>
                  </pic:spPr>
                </pic:pic>
              </a:graphicData>
            </a:graphic>
          </wp:inline>
        </w:drawing>
      </w:r>
    </w:p>
    <w:p w:rsidR="00AE1467" w:rsidRDefault="00B72666">
      <w:pPr>
        <w:pStyle w:val="Heading1"/>
      </w:pPr>
      <w:r>
        <w:t>Discussion</w:t>
      </w:r>
    </w:p>
    <w:p w:rsidR="00AE1467" w:rsidRDefault="00B72666">
      <w:pPr>
        <w:spacing w:line="360" w:lineRule="auto"/>
        <w:jc w:val="both"/>
      </w:pPr>
      <w:r>
        <w:rPr>
          <w:rFonts w:ascii="Times New Roman" w:eastAsia="Calibri" w:hAnsi="Times New Roman" w:cs="Calibri"/>
          <w:lang w:val="en-GB"/>
        </w:rPr>
        <w:t>The DNN models showed no major differences in performance on Gaussian-distributed data, while on Poisson-distributed data the count losses, Poisson and negative binomial, ranked consiste</w:t>
      </w:r>
      <w:r>
        <w:rPr>
          <w:rFonts w:ascii="Times New Roman" w:eastAsia="Calibri" w:hAnsi="Times New Roman" w:cs="Calibri"/>
          <w:lang w:val="en-GB"/>
        </w:rPr>
        <w:t>ntly ahead of Gaussian, MAE and MSE — though the margins were small on every metric. The GLM outperformed every DNN in both scenarios. This is to be expected: specifying the family hands the GLM both the functional form and the correct link, while the DNNs</w:t>
      </w:r>
      <w:r>
        <w:rPr>
          <w:rFonts w:ascii="Times New Roman" w:eastAsia="Calibri" w:hAnsi="Times New Roman" w:cs="Calibri"/>
          <w:lang w:val="en-GB"/>
        </w:rPr>
        <w:t xml:space="preserve"> must recover that form from the data. The design also favours the GLM throughout, combining a small sample, small effect sizes, no interactions and no nonlinearity (Jansen et al., 2020; Wisz et al., 2008) — conditions under which a correctly specified par</w:t>
      </w:r>
      <w:r>
        <w:rPr>
          <w:rFonts w:ascii="Times New Roman" w:eastAsia="Calibri" w:hAnsi="Times New Roman" w:cs="Calibri"/>
          <w:lang w:val="en-GB"/>
        </w:rPr>
        <w:t>ametric model is difficult to beat. That the DNNs came within a few percent of it on most metrics is therefore a reasonable result rather than a poor one.</w:t>
      </w:r>
    </w:p>
    <w:p w:rsidR="00AE1467" w:rsidRDefault="00B72666">
      <w:pPr>
        <w:spacing w:line="360" w:lineRule="auto"/>
        <w:jc w:val="both"/>
      </w:pPr>
      <w:r>
        <w:rPr>
          <w:rFonts w:ascii="Times New Roman" w:eastAsia="Calibri" w:hAnsi="Times New Roman" w:cs="Calibri"/>
          <w:lang w:val="en-GB"/>
        </w:rPr>
        <w:t>MAE on Poisson-distributed data was the one clear exception. Its negative McFadden R² indicates predi</w:t>
      </w:r>
      <w:r>
        <w:rPr>
          <w:rFonts w:ascii="Times New Roman" w:eastAsia="Calibri" w:hAnsi="Times New Roman" w:cs="Calibri"/>
          <w:lang w:val="en-GB"/>
        </w:rPr>
        <w:t>ctions worse than an intercept-only baseline, and the mechanism follows from what the loss optimises. Absolute error is minimised by the conditional median rather than the mean (Gneiting, 2011), and at an intercept of −1 the Poisson mean lies below 0.4, so</w:t>
      </w:r>
      <w:r>
        <w:rPr>
          <w:rFonts w:ascii="Times New Roman" w:eastAsia="Calibri" w:hAnsi="Times New Roman" w:cs="Calibri"/>
          <w:lang w:val="en-GB"/>
        </w:rPr>
        <w:t xml:space="preserve"> the median count is zero across much of the predictor space. MAE therefore predicted near or below zero for a large share of observations. Because the Poisson log-likelihood is undefined at a non-positive rate, these predictions were clamped before evalua</w:t>
      </w:r>
      <w:r>
        <w:rPr>
          <w:rFonts w:ascii="Times New Roman" w:eastAsia="Calibri" w:hAnsi="Times New Roman" w:cs="Calibri"/>
          <w:lang w:val="en-GB"/>
        </w:rPr>
        <w:t>tion, which penalises them heavily and produces the negative R². Notably, MAE’s Spearman correlation was indistinguishable from the other losses: the ordering of observations was recovered correctly, only the scale was wrong. Gaussian and MSE also produced</w:t>
      </w:r>
      <w:r>
        <w:rPr>
          <w:rFonts w:ascii="Times New Roman" w:eastAsia="Calibri" w:hAnsi="Times New Roman" w:cs="Calibri"/>
          <w:lang w:val="en-GB"/>
        </w:rPr>
        <w:t xml:space="preserve"> occasional negative predictions but far less often (see Table 3 in Appendix), consistent with both targeting the mean, which remains strictly positive. The divergence between mean and median is greatest for strongly skewed distributions, which is precisel</w:t>
      </w:r>
      <w:r>
        <w:rPr>
          <w:rFonts w:ascii="Times New Roman" w:eastAsia="Calibri" w:hAnsi="Times New Roman" w:cs="Calibri"/>
          <w:lang w:val="en-GB"/>
        </w:rPr>
        <w:t>y what the Poisson scenario was designed to probe.</w:t>
      </w:r>
    </w:p>
    <w:p w:rsidR="00AE1467" w:rsidRDefault="00B72666">
      <w:pPr>
        <w:spacing w:line="360" w:lineRule="auto"/>
        <w:jc w:val="both"/>
      </w:pPr>
      <w:r>
        <w:rPr>
          <w:rFonts w:ascii="Times New Roman" w:eastAsia="Calibri" w:hAnsi="Times New Roman" w:cs="Calibri"/>
          <w:lang w:val="en-US"/>
        </w:rPr>
        <w:t>My results are relevant to filling the identified research gap. Practitioner guidance on loss functions for deep regression commonly recommends MSE or MAE, distinguishing between them mainly by their handl</w:t>
      </w:r>
      <w:r>
        <w:rPr>
          <w:rFonts w:ascii="Times New Roman" w:eastAsia="Calibri" w:hAnsi="Times New Roman" w:cs="Calibri"/>
          <w:lang w:val="en-US"/>
        </w:rPr>
        <w:t>ing of outliers (Elharrouss et al., 2025; Lathuiliere et al., 2020). Non-academic sources aimed at practitioners follow the same pattern, extending the list to Huber or RMSE but discussing loss choice almost entirely in terms of robustness (Brownlee, n.d.;</w:t>
      </w:r>
      <w:r>
        <w:rPr>
          <w:rFonts w:ascii="Times New Roman" w:eastAsia="Calibri" w:hAnsi="Times New Roman" w:cs="Calibri"/>
          <w:lang w:val="en-US"/>
        </w:rPr>
        <w:t xml:space="preserve"> IBM, n.d.), and count-specific losses such as Poisson or negative binomial appear only as special cases for special tasks. My results suggest this default is defensible for well-behaved, normally distributed data: no loss function outperformed any other o</w:t>
      </w:r>
      <w:r>
        <w:rPr>
          <w:rFonts w:ascii="Times New Roman" w:eastAsia="Calibri" w:hAnsi="Times New Roman" w:cs="Calibri"/>
          <w:lang w:val="en-US"/>
        </w:rPr>
        <w:t>n the Gaussian scenario, so nothing is lost by choosing MSE. For Poisson-distributed data with a low intercept, the picture is more differentiated. The count losses were consistently, though only marginally, more accurate than MSE and Gaussian, a differenc</w:t>
      </w:r>
      <w:r>
        <w:rPr>
          <w:rFonts w:ascii="Times New Roman" w:eastAsia="Calibri" w:hAnsi="Times New Roman" w:cs="Calibri"/>
          <w:lang w:val="en-US"/>
        </w:rPr>
        <w:t>e small enough that it would rarely justify changing a default. MAE, by contrast, failed outright, producing predictions worse than an intercept-only baseline and the largest bias of any loss. The practical implication is therefore not that defaults are wr</w:t>
      </w:r>
      <w:r>
        <w:rPr>
          <w:rFonts w:ascii="Times New Roman" w:eastAsia="Calibri" w:hAnsi="Times New Roman" w:cs="Calibri"/>
          <w:lang w:val="en-US"/>
        </w:rPr>
        <w:t>ong, but that they carry a specific risk: a loss targeting the wrong functional of the conditional distribution can fail badly on skewed count data, and nothing in current guidance warns against it.</w:t>
      </w:r>
    </w:p>
    <w:p w:rsidR="00AE1467" w:rsidRDefault="00B72666">
      <w:pPr>
        <w:spacing w:line="360" w:lineRule="auto"/>
        <w:jc w:val="both"/>
      </w:pPr>
      <w:r>
        <w:rPr>
          <w:rFonts w:ascii="Times New Roman" w:eastAsia="Calibri" w:hAnsi="Times New Roman" w:cs="Calibri"/>
          <w:lang w:val="en-US"/>
        </w:rPr>
        <w:t>What remains unresolved is whether the remaining underper</w:t>
      </w:r>
      <w:r>
        <w:rPr>
          <w:rFonts w:ascii="Times New Roman" w:eastAsia="Calibri" w:hAnsi="Times New Roman" w:cs="Calibri"/>
          <w:lang w:val="en-US"/>
        </w:rPr>
        <w:t>formance could be tuned away. Neither architecture nor hyperparameters were tuned in this study, and the learning rate was held constant across both distributions and all five losses, so some of the observed differences may reflect settings that suit one l</w:t>
      </w:r>
      <w:r>
        <w:rPr>
          <w:rFonts w:ascii="Times New Roman" w:eastAsia="Calibri" w:hAnsi="Times New Roman" w:cs="Calibri"/>
          <w:lang w:val="en-US"/>
        </w:rPr>
        <w:t xml:space="preserve">oss better than another. Regularization is a more specific concern. </w:t>
      </w:r>
      <w:bookmarkStart w:id="1" w:name="ZOTERO_ITEM_CSL_CITATION_{&quot;citationID&quot;:&quot;"/>
      <w:r>
        <w:rPr>
          <w:rFonts w:ascii="Times New Roman" w:eastAsia="Calibri" w:hAnsi="Times New Roman" w:cs="Calibri"/>
          <w:lang w:val="en-US"/>
        </w:rPr>
        <w:t>(Pichler &amp; Hartig, 2023)</w:t>
      </w:r>
      <w:bookmarkEnd w:id="1"/>
      <w:r>
        <w:rPr>
          <w:rFonts w:ascii="Times New Roman" w:eastAsia="Calibri" w:hAnsi="Times New Roman" w:cs="Calibri"/>
          <w:lang w:val="en-US"/>
        </w:rPr>
        <w:t>argue that hyperparameters optimized for predictive accuracy need not be optimal for inference, and my results are consistent with that: the DNNs achieved predictiv</w:t>
      </w:r>
      <w:r>
        <w:rPr>
          <w:rFonts w:ascii="Times New Roman" w:eastAsia="Calibri" w:hAnsi="Times New Roman" w:cs="Calibri"/>
          <w:lang w:val="en-US"/>
        </w:rPr>
        <w:t>e accuracy close to the GLM while showing substantial bias and poor coverage for the strongest effect. Weight decay and early stopping both shrink weights toward zero, which would depress the largest effect most in absolute terms. A preliminary rerun witho</w:t>
      </w:r>
      <w:r>
        <w:rPr>
          <w:rFonts w:ascii="Times New Roman" w:eastAsia="Calibri" w:hAnsi="Times New Roman" w:cs="Calibri"/>
          <w:lang w:val="en-US"/>
        </w:rPr>
        <w:t>ut either confirmed part of this picture, reducing bias for the identity-link losses, but it also widened the bootstrap intervals to the point of uninformative coverage, suggesting a bias–variance trade-off rather than a straightforward improvement. System</w:t>
      </w:r>
      <w:r>
        <w:rPr>
          <w:rFonts w:ascii="Times New Roman" w:eastAsia="Calibri" w:hAnsi="Times New Roman" w:cs="Calibri"/>
          <w:lang w:val="en-US"/>
        </w:rPr>
        <w:t>atically varying regularization strength would be a natural next step.</w:t>
      </w:r>
    </w:p>
    <w:p w:rsidR="00AE1467" w:rsidRDefault="00B72666">
      <w:pPr>
        <w:spacing w:before="240" w:after="240" w:line="360" w:lineRule="auto"/>
        <w:jc w:val="both"/>
      </w:pPr>
      <w:r>
        <w:rPr>
          <w:rFonts w:ascii="Times New Roman" w:eastAsia="Calibri" w:hAnsi="Times New Roman" w:cs="Calibri"/>
          <w:lang w:val="en-US"/>
        </w:rPr>
        <w:t>The data-generating process offers a further set of levers. Introducing overdispersion or random-effect variance would move the simulated data closer to ecological datasets, and varying</w:t>
      </w:r>
      <w:r>
        <w:rPr>
          <w:rFonts w:ascii="Times New Roman" w:eastAsia="Calibri" w:hAnsi="Times New Roman" w:cs="Calibri"/>
          <w:lang w:val="en-US"/>
        </w:rPr>
        <w:t xml:space="preserve"> these alongside the intercept and effect sizes could identify the conditions under which particular losses fail rather than merely confirming that they can. Repeating the experiment with negative binomial data would be a more extreme version of the count </w:t>
      </w:r>
      <w:r>
        <w:rPr>
          <w:rFonts w:ascii="Times New Roman" w:eastAsia="Calibri" w:hAnsi="Times New Roman" w:cs="Calibri"/>
          <w:lang w:val="en-US"/>
        </w:rPr>
        <w:t>case and should accentuate the underperformance observed for MAE here. A further extension would return to the question that motivated this study: inspecting the simulated quantile residuals of the fitted networks directly, rather than relying on aggregate</w:t>
      </w:r>
      <w:r>
        <w:rPr>
          <w:rFonts w:ascii="Times New Roman" w:eastAsia="Calibri" w:hAnsi="Times New Roman" w:cs="Calibri"/>
          <w:lang w:val="en-US"/>
        </w:rPr>
        <w:t xml:space="preserve"> accuracy metrics, to establish whether a correctly matched loss produces residuals that are demonstrably better behaved and whether that signal could guide loss selection in practice.</w:t>
      </w:r>
    </w:p>
    <w:p w:rsidR="00AE1467" w:rsidRDefault="00B72666">
      <w:pPr>
        <w:pStyle w:val="Heading1"/>
        <w:numPr>
          <w:ilvl w:val="0"/>
          <w:numId w:val="0"/>
        </w:numPr>
        <w:spacing w:line="360" w:lineRule="auto"/>
      </w:pPr>
      <w:r>
        <w:t>References</w:t>
      </w:r>
    </w:p>
    <w:p w:rsidR="00000000" w:rsidRDefault="00B72666">
      <w:pPr>
        <w:sectPr w:rsidR="00000000">
          <w:footerReference w:type="default" r:id="rId13"/>
          <w:pgSz w:w="11906" w:h="16838"/>
          <w:pgMar w:top="1440" w:right="1440" w:bottom="1440" w:left="1440" w:header="720" w:footer="720" w:gutter="0"/>
          <w:cols w:space="720"/>
        </w:sectPr>
      </w:pPr>
    </w:p>
    <w:p w:rsidR="00AE1467" w:rsidRDefault="00B72666">
      <w:pPr>
        <w:pStyle w:val="Bibliography1"/>
        <w:spacing w:line="360" w:lineRule="auto"/>
        <w:ind w:left="0"/>
        <w:rPr>
          <w:rFonts w:ascii="Times New Roman" w:hAnsi="Times New Roman"/>
        </w:rPr>
      </w:pPr>
      <w:r>
        <w:rPr>
          <w:rFonts w:ascii="Times New Roman" w:hAnsi="Times New Roman"/>
        </w:rPr>
        <w:t xml:space="preserve">Brownlee, J. (n.d.). </w:t>
      </w:r>
      <w:r>
        <w:rPr>
          <w:rFonts w:ascii="Times New Roman" w:hAnsi="Times New Roman"/>
          <w:i/>
        </w:rPr>
        <w:t>How to Choose Loss Functions When Trai</w:t>
      </w:r>
      <w:r>
        <w:rPr>
          <w:rFonts w:ascii="Times New Roman" w:hAnsi="Times New Roman"/>
          <w:i/>
        </w:rPr>
        <w:t>ning Deep Learning Neural Networks</w:t>
      </w:r>
      <w:r>
        <w:rPr>
          <w:rFonts w:ascii="Times New Roman" w:hAnsi="Times New Roman"/>
        </w:rPr>
        <w:t>. Machine Learning Mastery. Retrieved October 12, 2026, from https://machinelearningmastery.com/how-to-choose-loss-functions-when-training-deep-learning-neural-networks/</w:t>
      </w:r>
    </w:p>
    <w:p w:rsidR="00AE1467" w:rsidRDefault="00B72666">
      <w:pPr>
        <w:pStyle w:val="Bibliography1"/>
        <w:spacing w:line="360" w:lineRule="auto"/>
        <w:ind w:left="0"/>
        <w:rPr>
          <w:rFonts w:ascii="Times New Roman" w:hAnsi="Times New Roman"/>
        </w:rPr>
      </w:pPr>
      <w:r>
        <w:rPr>
          <w:rFonts w:ascii="Times New Roman" w:hAnsi="Times New Roman"/>
        </w:rPr>
        <w:t xml:space="preserve">Elharrouss, O., Mahmood, Y., Bechqito, Y., Serhani, </w:t>
      </w:r>
      <w:r>
        <w:rPr>
          <w:rFonts w:ascii="Times New Roman" w:hAnsi="Times New Roman"/>
        </w:rPr>
        <w:t xml:space="preserve">M. A., Badidi, E., Riffi, J., &amp; Tairi, H. (2025). </w:t>
      </w:r>
      <w:r>
        <w:rPr>
          <w:rFonts w:ascii="Times New Roman" w:hAnsi="Times New Roman"/>
          <w:i/>
        </w:rPr>
        <w:t>Loss Functions in Deep Learning: A Comprehensive Review</w:t>
      </w:r>
      <w:r>
        <w:rPr>
          <w:rFonts w:ascii="Times New Roman" w:hAnsi="Times New Roman"/>
        </w:rPr>
        <w:t>. arXiv. https://doi.org/10.48550/arXiv.2504.04242</w:t>
      </w:r>
    </w:p>
    <w:p w:rsidR="00AE1467" w:rsidRDefault="00B72666">
      <w:pPr>
        <w:pStyle w:val="Bibliography1"/>
        <w:spacing w:line="360" w:lineRule="auto"/>
        <w:ind w:left="0"/>
        <w:rPr>
          <w:rFonts w:ascii="Times New Roman" w:hAnsi="Times New Roman"/>
        </w:rPr>
      </w:pPr>
      <w:r>
        <w:rPr>
          <w:rFonts w:ascii="Times New Roman" w:hAnsi="Times New Roman"/>
        </w:rPr>
        <w:t xml:space="preserve">Gneiting, T. (2011). Making and Evaluating Point Forecasts. </w:t>
      </w:r>
      <w:r>
        <w:rPr>
          <w:rFonts w:ascii="Times New Roman" w:hAnsi="Times New Roman"/>
          <w:i/>
        </w:rPr>
        <w:t>Journal of the American Statistical Asso</w:t>
      </w:r>
      <w:r>
        <w:rPr>
          <w:rFonts w:ascii="Times New Roman" w:hAnsi="Times New Roman"/>
          <w:i/>
        </w:rPr>
        <w:t>ciation</w:t>
      </w:r>
      <w:r>
        <w:rPr>
          <w:rFonts w:ascii="Times New Roman" w:hAnsi="Times New Roman"/>
        </w:rPr>
        <w:t xml:space="preserve">, </w:t>
      </w:r>
      <w:r>
        <w:rPr>
          <w:rFonts w:ascii="Times New Roman" w:hAnsi="Times New Roman"/>
          <w:i/>
        </w:rPr>
        <w:t>106</w:t>
      </w:r>
      <w:r>
        <w:rPr>
          <w:rFonts w:ascii="Times New Roman" w:hAnsi="Times New Roman"/>
        </w:rPr>
        <w:t>(494), 746–762. https://doi.org/10.1198/jasa.2011.r10138</w:t>
      </w:r>
    </w:p>
    <w:p w:rsidR="00AE1467" w:rsidRDefault="00B72666">
      <w:pPr>
        <w:pStyle w:val="Bibliography1"/>
        <w:spacing w:line="360" w:lineRule="auto"/>
        <w:ind w:left="0"/>
        <w:rPr>
          <w:rFonts w:ascii="Times New Roman" w:hAnsi="Times New Roman"/>
        </w:rPr>
      </w:pPr>
      <w:r>
        <w:rPr>
          <w:rFonts w:ascii="Times New Roman" w:hAnsi="Times New Roman"/>
        </w:rPr>
        <w:t xml:space="preserve">Goodfellow, I., Bengio, Y., &amp; Courville, A. (2016). </w:t>
      </w:r>
      <w:r>
        <w:rPr>
          <w:rFonts w:ascii="Times New Roman" w:hAnsi="Times New Roman"/>
          <w:i/>
        </w:rPr>
        <w:t>Deep Learning</w:t>
      </w:r>
      <w:r>
        <w:rPr>
          <w:rFonts w:ascii="Times New Roman" w:hAnsi="Times New Roman"/>
        </w:rPr>
        <w:t>. MIT Press. https://www.deeplearningbook.org/</w:t>
      </w:r>
    </w:p>
    <w:p w:rsidR="00AE1467" w:rsidRDefault="00B72666">
      <w:pPr>
        <w:pStyle w:val="Bibliography1"/>
        <w:spacing w:line="360" w:lineRule="auto"/>
        <w:ind w:left="0"/>
        <w:rPr>
          <w:rFonts w:ascii="Times New Roman" w:hAnsi="Times New Roman"/>
        </w:rPr>
      </w:pPr>
      <w:r>
        <w:rPr>
          <w:rFonts w:ascii="Times New Roman" w:hAnsi="Times New Roman"/>
        </w:rPr>
        <w:t xml:space="preserve">IBM. (n.d.). </w:t>
      </w:r>
      <w:r>
        <w:rPr>
          <w:rFonts w:ascii="Times New Roman" w:hAnsi="Times New Roman"/>
          <w:i/>
        </w:rPr>
        <w:t>What is a loss function?</w:t>
      </w:r>
      <w:r>
        <w:rPr>
          <w:rFonts w:ascii="Times New Roman" w:hAnsi="Times New Roman"/>
        </w:rPr>
        <w:t xml:space="preserve"> Retrieved October 12, 2026, from https://www.ibm.com/think/topics/loss-function</w:t>
      </w:r>
    </w:p>
    <w:p w:rsidR="00AE1467" w:rsidRDefault="00B72666">
      <w:pPr>
        <w:pStyle w:val="Bibliography1"/>
        <w:spacing w:line="360" w:lineRule="auto"/>
        <w:ind w:left="0"/>
        <w:rPr>
          <w:rFonts w:ascii="Times New Roman" w:hAnsi="Times New Roman"/>
        </w:rPr>
      </w:pPr>
      <w:r>
        <w:rPr>
          <w:rFonts w:ascii="Times New Roman" w:hAnsi="Times New Roman"/>
        </w:rPr>
        <w:t xml:space="preserve">Jansen, J., Woolley, S. N. C., &amp; Dunstan, P. K. (2020). Effects of sample size and network depth on a deep learning approach to species distribution modeling. </w:t>
      </w:r>
      <w:r>
        <w:rPr>
          <w:rFonts w:ascii="Times New Roman" w:hAnsi="Times New Roman"/>
          <w:i/>
        </w:rPr>
        <w:t>Ecological Infor</w:t>
      </w:r>
      <w:r>
        <w:rPr>
          <w:rFonts w:ascii="Times New Roman" w:hAnsi="Times New Roman"/>
          <w:i/>
        </w:rPr>
        <w:t>matics</w:t>
      </w:r>
      <w:r>
        <w:rPr>
          <w:rFonts w:ascii="Times New Roman" w:hAnsi="Times New Roman"/>
        </w:rPr>
        <w:t xml:space="preserve">, </w:t>
      </w:r>
      <w:r>
        <w:rPr>
          <w:rFonts w:ascii="Times New Roman" w:hAnsi="Times New Roman"/>
          <w:i/>
        </w:rPr>
        <w:t>60</w:t>
      </w:r>
      <w:r>
        <w:rPr>
          <w:rFonts w:ascii="Times New Roman" w:hAnsi="Times New Roman"/>
        </w:rPr>
        <w:t>, 101137. https://doi.org/10.1016/j.ecoinf.2020.101137</w:t>
      </w:r>
    </w:p>
    <w:p w:rsidR="00AE1467" w:rsidRDefault="00B72666">
      <w:pPr>
        <w:pStyle w:val="Bibliography1"/>
        <w:spacing w:line="360" w:lineRule="auto"/>
        <w:ind w:left="0"/>
        <w:rPr>
          <w:rFonts w:ascii="Times New Roman" w:hAnsi="Times New Roman"/>
        </w:rPr>
      </w:pPr>
      <w:r>
        <w:rPr>
          <w:rFonts w:ascii="Times New Roman" w:hAnsi="Times New Roman"/>
        </w:rPr>
        <w:t xml:space="preserve">Lathuiliere, S., Mesejo, P., Alameda-Pineda, X., &amp; Horaud, R. (2020). A Comprehensive Analysis of Deep Regression. </w:t>
      </w:r>
      <w:r>
        <w:rPr>
          <w:rFonts w:ascii="Times New Roman" w:hAnsi="Times New Roman"/>
          <w:i/>
        </w:rPr>
        <w:t>IEEE Transactions on Pattern Analysis and Machine Intelligence</w:t>
      </w:r>
      <w:r>
        <w:rPr>
          <w:rFonts w:ascii="Times New Roman" w:hAnsi="Times New Roman"/>
        </w:rPr>
        <w:t xml:space="preserve">, </w:t>
      </w:r>
      <w:r>
        <w:rPr>
          <w:rFonts w:ascii="Times New Roman" w:hAnsi="Times New Roman"/>
          <w:i/>
        </w:rPr>
        <w:t>42</w:t>
      </w:r>
      <w:r>
        <w:rPr>
          <w:rFonts w:ascii="Times New Roman" w:hAnsi="Times New Roman"/>
        </w:rPr>
        <w:t>(9), 2065–</w:t>
      </w:r>
      <w:r>
        <w:rPr>
          <w:rFonts w:ascii="Times New Roman" w:hAnsi="Times New Roman"/>
        </w:rPr>
        <w:t>2081. https://doi.org/10.1109/TPAMI.2019.2910523</w:t>
      </w:r>
    </w:p>
    <w:p w:rsidR="00AE1467" w:rsidRDefault="00B72666">
      <w:pPr>
        <w:pStyle w:val="Bibliography1"/>
        <w:spacing w:line="360" w:lineRule="auto"/>
        <w:ind w:left="0"/>
        <w:rPr>
          <w:rFonts w:ascii="Times New Roman" w:hAnsi="Times New Roman"/>
        </w:rPr>
      </w:pPr>
      <w:r>
        <w:rPr>
          <w:rFonts w:ascii="Times New Roman" w:hAnsi="Times New Roman"/>
        </w:rPr>
        <w:t xml:space="preserve">LeCun, Y., Bengio, Y., &amp; Hinton, G. (2015). Deep learning. </w:t>
      </w:r>
      <w:r>
        <w:rPr>
          <w:rFonts w:ascii="Times New Roman" w:hAnsi="Times New Roman"/>
          <w:i/>
        </w:rPr>
        <w:t>Nature</w:t>
      </w:r>
      <w:r>
        <w:rPr>
          <w:rFonts w:ascii="Times New Roman" w:hAnsi="Times New Roman"/>
        </w:rPr>
        <w:t xml:space="preserve">, </w:t>
      </w:r>
      <w:r>
        <w:rPr>
          <w:rFonts w:ascii="Times New Roman" w:hAnsi="Times New Roman"/>
          <w:i/>
        </w:rPr>
        <w:t>521</w:t>
      </w:r>
      <w:r>
        <w:rPr>
          <w:rFonts w:ascii="Times New Roman" w:hAnsi="Times New Roman"/>
        </w:rPr>
        <w:t>(7553), 436–444. https://doi.org/10.1038/nature14539</w:t>
      </w:r>
    </w:p>
    <w:p w:rsidR="00AE1467" w:rsidRDefault="00B72666">
      <w:pPr>
        <w:pStyle w:val="Bibliography1"/>
        <w:spacing w:line="360" w:lineRule="auto"/>
        <w:ind w:left="0"/>
        <w:rPr>
          <w:rFonts w:ascii="Times New Roman" w:hAnsi="Times New Roman"/>
        </w:rPr>
      </w:pPr>
      <w:r>
        <w:rPr>
          <w:rFonts w:ascii="Times New Roman" w:hAnsi="Times New Roman"/>
        </w:rPr>
        <w:t xml:space="preserve">McCullagh, P., &amp; Nelder, J. A. (1989). </w:t>
      </w:r>
      <w:r>
        <w:rPr>
          <w:rFonts w:ascii="Times New Roman" w:hAnsi="Times New Roman"/>
          <w:i/>
        </w:rPr>
        <w:t>Generalized Linear Models</w:t>
      </w:r>
      <w:r>
        <w:rPr>
          <w:rFonts w:ascii="Times New Roman" w:hAnsi="Times New Roman"/>
        </w:rPr>
        <w:t xml:space="preserve"> (2nd ed.). Chapman </w:t>
      </w:r>
      <w:r>
        <w:rPr>
          <w:rFonts w:ascii="Times New Roman" w:hAnsi="Times New Roman"/>
        </w:rPr>
        <w:t>and Hall/CRC. https://doi.org/10.1201/9780203753736</w:t>
      </w:r>
    </w:p>
    <w:p w:rsidR="00AE1467" w:rsidRDefault="00B72666">
      <w:pPr>
        <w:pStyle w:val="Bibliography1"/>
        <w:spacing w:line="360" w:lineRule="auto"/>
        <w:ind w:left="0"/>
        <w:rPr>
          <w:rFonts w:ascii="Times New Roman" w:hAnsi="Times New Roman"/>
        </w:rPr>
      </w:pPr>
      <w:r>
        <w:rPr>
          <w:rFonts w:ascii="Times New Roman" w:hAnsi="Times New Roman"/>
        </w:rPr>
        <w:t xml:space="preserve">Morris, T. P., White, I. R., &amp; Crowther, M. J. (2019). Using simulation studies to evaluate statistical methods. </w:t>
      </w:r>
      <w:r>
        <w:rPr>
          <w:rFonts w:ascii="Times New Roman" w:hAnsi="Times New Roman"/>
          <w:i/>
        </w:rPr>
        <w:t>Statistics in Medicine</w:t>
      </w:r>
      <w:r>
        <w:rPr>
          <w:rFonts w:ascii="Times New Roman" w:hAnsi="Times New Roman"/>
        </w:rPr>
        <w:t xml:space="preserve">, </w:t>
      </w:r>
      <w:r>
        <w:rPr>
          <w:rFonts w:ascii="Times New Roman" w:hAnsi="Times New Roman"/>
          <w:i/>
        </w:rPr>
        <w:t>38</w:t>
      </w:r>
      <w:r>
        <w:rPr>
          <w:rFonts w:ascii="Times New Roman" w:hAnsi="Times New Roman"/>
        </w:rPr>
        <w:t>(11), 2074–2102. https://doi.org/10.1002/sim.8086</w:t>
      </w:r>
    </w:p>
    <w:p w:rsidR="00AE1467" w:rsidRDefault="00B72666">
      <w:pPr>
        <w:pStyle w:val="Bibliography1"/>
        <w:spacing w:line="360" w:lineRule="auto"/>
        <w:ind w:left="0"/>
        <w:rPr>
          <w:rFonts w:ascii="Times New Roman" w:hAnsi="Times New Roman"/>
        </w:rPr>
      </w:pPr>
      <w:r>
        <w:rPr>
          <w:rFonts w:ascii="Times New Roman" w:hAnsi="Times New Roman"/>
        </w:rPr>
        <w:t xml:space="preserve">Pichler, M., &amp; </w:t>
      </w:r>
      <w:r>
        <w:rPr>
          <w:rFonts w:ascii="Times New Roman" w:hAnsi="Times New Roman"/>
        </w:rPr>
        <w:t xml:space="preserve">Hartig, F. (2023). Machine learning and deep learning—A review for ecologists. </w:t>
      </w:r>
      <w:r>
        <w:rPr>
          <w:rFonts w:ascii="Times New Roman" w:hAnsi="Times New Roman"/>
          <w:i/>
        </w:rPr>
        <w:t>Methods in Ecology and Evolution</w:t>
      </w:r>
      <w:r>
        <w:rPr>
          <w:rFonts w:ascii="Times New Roman" w:hAnsi="Times New Roman"/>
        </w:rPr>
        <w:t xml:space="preserve">, </w:t>
      </w:r>
      <w:r>
        <w:rPr>
          <w:rFonts w:ascii="Times New Roman" w:hAnsi="Times New Roman"/>
          <w:i/>
        </w:rPr>
        <w:t>14</w:t>
      </w:r>
      <w:r>
        <w:rPr>
          <w:rFonts w:ascii="Times New Roman" w:hAnsi="Times New Roman"/>
        </w:rPr>
        <w:t>(4), 994–1016. https://doi.org/10.1111/2041-210X.14061</w:t>
      </w:r>
    </w:p>
    <w:p w:rsidR="00AE1467" w:rsidRDefault="00B72666">
      <w:pPr>
        <w:pStyle w:val="Bibliography1"/>
        <w:spacing w:line="360" w:lineRule="auto"/>
        <w:ind w:left="0"/>
        <w:rPr>
          <w:rFonts w:ascii="Times New Roman" w:hAnsi="Times New Roman"/>
        </w:rPr>
      </w:pPr>
      <w:r>
        <w:rPr>
          <w:rFonts w:ascii="Times New Roman" w:hAnsi="Times New Roman"/>
        </w:rPr>
        <w:t>Terven, J., Cordova-Esparza, D.-M., Romero-González, J.-A., Ramírez-Pedraza, A., &amp; Chá</w:t>
      </w:r>
      <w:r>
        <w:rPr>
          <w:rFonts w:ascii="Times New Roman" w:hAnsi="Times New Roman"/>
        </w:rPr>
        <w:t xml:space="preserve">vez-Urbiola, E. A. (2025). A comprehensive survey of loss functions and metrics in deep learning. </w:t>
      </w:r>
      <w:r>
        <w:rPr>
          <w:rFonts w:ascii="Times New Roman" w:hAnsi="Times New Roman"/>
          <w:i/>
        </w:rPr>
        <w:t>Artificial Intelligence Review</w:t>
      </w:r>
      <w:r>
        <w:rPr>
          <w:rFonts w:ascii="Times New Roman" w:hAnsi="Times New Roman"/>
        </w:rPr>
        <w:t xml:space="preserve">, </w:t>
      </w:r>
      <w:r>
        <w:rPr>
          <w:rFonts w:ascii="Times New Roman" w:hAnsi="Times New Roman"/>
          <w:i/>
        </w:rPr>
        <w:t>58</w:t>
      </w:r>
      <w:r>
        <w:rPr>
          <w:rFonts w:ascii="Times New Roman" w:hAnsi="Times New Roman"/>
        </w:rPr>
        <w:t>(7), 195. https://doi.org/10.1007/s10462-025-11198-7</w:t>
      </w:r>
    </w:p>
    <w:p w:rsidR="00AE1467" w:rsidRDefault="00B72666">
      <w:pPr>
        <w:pStyle w:val="Bibliography1"/>
        <w:spacing w:line="360" w:lineRule="auto"/>
        <w:ind w:left="0"/>
        <w:rPr>
          <w:rFonts w:ascii="Times New Roman" w:hAnsi="Times New Roman"/>
        </w:rPr>
      </w:pPr>
      <w:r>
        <w:rPr>
          <w:rFonts w:ascii="Times New Roman" w:hAnsi="Times New Roman"/>
        </w:rPr>
        <w:t xml:space="preserve">Wisz, M. S., Hijmans, R. J., Li, J., Peterson, A. T., Graham, C. H., &amp; </w:t>
      </w:r>
      <w:r>
        <w:rPr>
          <w:rFonts w:ascii="Times New Roman" w:hAnsi="Times New Roman"/>
        </w:rPr>
        <w:t xml:space="preserve">Guisan, A. (2008). Effects of sample size on the performance of species distribution models. </w:t>
      </w:r>
      <w:r>
        <w:rPr>
          <w:rFonts w:ascii="Times New Roman" w:hAnsi="Times New Roman"/>
          <w:i/>
        </w:rPr>
        <w:t>Diversity and Distributions</w:t>
      </w:r>
      <w:r>
        <w:rPr>
          <w:rFonts w:ascii="Times New Roman" w:hAnsi="Times New Roman"/>
        </w:rPr>
        <w:t xml:space="preserve">, </w:t>
      </w:r>
      <w:r>
        <w:rPr>
          <w:rFonts w:ascii="Times New Roman" w:hAnsi="Times New Roman"/>
          <w:i/>
        </w:rPr>
        <w:t>14</w:t>
      </w:r>
      <w:r>
        <w:rPr>
          <w:rFonts w:ascii="Times New Roman" w:hAnsi="Times New Roman"/>
        </w:rPr>
        <w:t>(5), 763–773. https://doi.org/10.1111/j.1472-4642.2008.00482.x</w:t>
      </w:r>
    </w:p>
    <w:p w:rsidR="00000000" w:rsidRDefault="00B72666">
      <w:pPr>
        <w:sectPr w:rsidR="00000000">
          <w:type w:val="continuous"/>
          <w:pgSz w:w="11906" w:h="16838"/>
          <w:pgMar w:top="1440" w:right="1440" w:bottom="1440" w:left="1440" w:header="720" w:footer="720" w:gutter="0"/>
          <w:cols w:space="0"/>
        </w:sectPr>
      </w:pPr>
    </w:p>
    <w:p w:rsidR="00AE1467" w:rsidRDefault="00B72666">
      <w:pPr>
        <w:pStyle w:val="Heading1"/>
        <w:numPr>
          <w:ilvl w:val="0"/>
          <w:numId w:val="0"/>
        </w:numPr>
        <w:spacing w:line="360" w:lineRule="auto"/>
      </w:pPr>
      <w:r>
        <w:t>Appendix</w:t>
      </w:r>
    </w:p>
    <w:p w:rsidR="00AE1467" w:rsidRDefault="00B72666">
      <w:pPr>
        <w:spacing w:line="240" w:lineRule="auto"/>
        <w:jc w:val="both"/>
      </w:pPr>
      <w:r>
        <w:rPr>
          <w:rFonts w:ascii="Times New Roman" w:hAnsi="Times New Roman"/>
          <w:noProof/>
          <w:lang w:val="en-US" w:eastAsia="en-US"/>
        </w:rPr>
        <w:drawing>
          <wp:inline distT="0" distB="0" distL="0" distR="0">
            <wp:extent cx="5724326" cy="3181289"/>
            <wp:effectExtent l="0" t="0" r="0" b="61"/>
            <wp:docPr id="7"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724326" cy="3181289"/>
                    </a:xfrm>
                    <a:prstGeom prst="rect">
                      <a:avLst/>
                    </a:prstGeom>
                    <a:noFill/>
                    <a:ln>
                      <a:noFill/>
                      <a:prstDash/>
                    </a:ln>
                  </pic:spPr>
                </pic:pic>
              </a:graphicData>
            </a:graphic>
          </wp:inline>
        </w:drawing>
      </w:r>
      <w:r>
        <w:rPr>
          <w:rFonts w:ascii="Times New Roman" w:hAnsi="Times New Roman"/>
          <w:b/>
          <w:bCs/>
          <w:sz w:val="20"/>
          <w:szCs w:val="20"/>
          <w:lang w:val="en-US"/>
        </w:rPr>
        <w:t>F</w:t>
      </w:r>
      <w:r>
        <w:rPr>
          <w:rFonts w:ascii="Times New Roman" w:eastAsia="Calibri" w:hAnsi="Times New Roman" w:cs="Calibri"/>
          <w:b/>
          <w:bCs/>
          <w:sz w:val="20"/>
          <w:szCs w:val="20"/>
          <w:lang w:val="en-US"/>
        </w:rPr>
        <w:t>igure 5.</w:t>
      </w:r>
      <w:r>
        <w:rPr>
          <w:rFonts w:ascii="Times New Roman" w:eastAsia="Calibri" w:hAnsi="Times New Roman" w:cs="Calibri"/>
          <w:sz w:val="20"/>
          <w:szCs w:val="20"/>
          <w:lang w:val="en-US"/>
        </w:rPr>
        <w:t xml:space="preserve"> </w:t>
      </w:r>
      <w:r>
        <w:rPr>
          <w:rFonts w:ascii="Times New Roman" w:eastAsia="Calibri" w:hAnsi="Times New Roman" w:cs="Calibri"/>
          <w:b/>
          <w:bCs/>
          <w:sz w:val="20"/>
          <w:szCs w:val="20"/>
          <w:lang w:val="en-US"/>
        </w:rPr>
        <w:t>Train–test comparison of accuracy metrics on Gaussian-distributed data, over 1000 iterations.</w:t>
      </w:r>
      <w:r>
        <w:rPr>
          <w:rFonts w:ascii="Times New Roman" w:eastAsia="Calibri" w:hAnsi="Times New Roman" w:cs="Calibri"/>
          <w:sz w:val="20"/>
          <w:szCs w:val="20"/>
          <w:lang w:val="en-US"/>
        </w:rPr>
        <w:t xml:space="preserve"> Boxplots show the distribution of R², RMSE and Spearman correlation across iterations, calculated separately on training and held-out test data for each model. S</w:t>
      </w:r>
      <w:r>
        <w:rPr>
          <w:rFonts w:ascii="Times New Roman" w:eastAsia="Calibri" w:hAnsi="Times New Roman" w:cs="Calibri"/>
          <w:sz w:val="20"/>
          <w:szCs w:val="20"/>
          <w:lang w:val="en-US"/>
        </w:rPr>
        <w:t>ubstantially better performance on training than on test data would indicate overfitting. All models show a small and comparable train–test gap, with no loss function diverging from the others; the GLM shows the smallest gap, as expected for a four-paramet</w:t>
      </w:r>
      <w:r>
        <w:rPr>
          <w:rFonts w:ascii="Times New Roman" w:eastAsia="Calibri" w:hAnsi="Times New Roman" w:cs="Calibri"/>
          <w:sz w:val="20"/>
          <w:szCs w:val="20"/>
          <w:lang w:val="en-US"/>
        </w:rPr>
        <w:t>er model.</w:t>
      </w:r>
    </w:p>
    <w:p w:rsidR="00AE1467" w:rsidRDefault="00B72666">
      <w:pPr>
        <w:spacing w:line="240" w:lineRule="auto"/>
        <w:jc w:val="both"/>
      </w:pPr>
      <w:r>
        <w:rPr>
          <w:rFonts w:ascii="Times New Roman" w:hAnsi="Times New Roman"/>
          <w:noProof/>
          <w:lang w:val="en-US" w:eastAsia="en-US"/>
        </w:rPr>
        <w:drawing>
          <wp:inline distT="0" distB="0" distL="0" distR="0">
            <wp:extent cx="5724326" cy="3181289"/>
            <wp:effectExtent l="0" t="0" r="0" b="61"/>
            <wp:docPr id="8"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724326" cy="3181289"/>
                    </a:xfrm>
                    <a:prstGeom prst="rect">
                      <a:avLst/>
                    </a:prstGeom>
                    <a:noFill/>
                    <a:ln>
                      <a:noFill/>
                      <a:prstDash/>
                    </a:ln>
                  </pic:spPr>
                </pic:pic>
              </a:graphicData>
            </a:graphic>
          </wp:inline>
        </w:drawing>
      </w:r>
      <w:r>
        <w:rPr>
          <w:rFonts w:ascii="Times New Roman" w:hAnsi="Times New Roman"/>
          <w:b/>
          <w:bCs/>
          <w:sz w:val="20"/>
          <w:szCs w:val="20"/>
          <w:lang w:val="en-US"/>
        </w:rPr>
        <w:t>F</w:t>
      </w:r>
      <w:r>
        <w:rPr>
          <w:rFonts w:ascii="Times New Roman" w:eastAsia="Calibri" w:hAnsi="Times New Roman" w:cs="Calibri"/>
          <w:b/>
          <w:bCs/>
          <w:sz w:val="20"/>
          <w:szCs w:val="20"/>
          <w:lang w:val="en-US"/>
        </w:rPr>
        <w:t>igure 6.</w:t>
      </w:r>
      <w:r>
        <w:rPr>
          <w:rFonts w:ascii="Times New Roman" w:eastAsia="Calibri" w:hAnsi="Times New Roman" w:cs="Calibri"/>
          <w:sz w:val="20"/>
          <w:szCs w:val="20"/>
          <w:lang w:val="en-US"/>
        </w:rPr>
        <w:t xml:space="preserve"> </w:t>
      </w:r>
      <w:r>
        <w:rPr>
          <w:rFonts w:ascii="Times New Roman" w:eastAsia="Calibri" w:hAnsi="Times New Roman" w:cs="Calibri"/>
          <w:b/>
          <w:bCs/>
          <w:sz w:val="20"/>
          <w:szCs w:val="20"/>
          <w:lang w:val="en-US"/>
        </w:rPr>
        <w:t>Train–test comparison of accuracy metrics on Poisson-distributed data, over 1000 iterations.</w:t>
      </w:r>
      <w:r>
        <w:rPr>
          <w:rFonts w:ascii="Times New Roman" w:eastAsia="Calibri" w:hAnsi="Times New Roman" w:cs="Calibri"/>
          <w:sz w:val="20"/>
          <w:szCs w:val="20"/>
          <w:lang w:val="en-US"/>
        </w:rPr>
        <w:t xml:space="preserve"> Boxplots show the distribution of R², RMSE and Spearman correlation across iterations, calculated separately on training and held-out test data for each model. Su</w:t>
      </w:r>
      <w:r>
        <w:rPr>
          <w:rFonts w:ascii="Times New Roman" w:eastAsia="Calibri" w:hAnsi="Times New Roman" w:cs="Calibri"/>
          <w:sz w:val="20"/>
          <w:szCs w:val="20"/>
          <w:lang w:val="en-US"/>
        </w:rPr>
        <w:t>bstantially better performance on training than on test data would indicate overfitting. All models show a small and comparable train–test gap, with only MAE diverging on R2 the others – which is discussed in length in the main text; the GLM shows the smal</w:t>
      </w:r>
      <w:r>
        <w:rPr>
          <w:rFonts w:ascii="Times New Roman" w:eastAsia="Calibri" w:hAnsi="Times New Roman" w:cs="Calibri"/>
          <w:sz w:val="20"/>
          <w:szCs w:val="20"/>
          <w:lang w:val="en-US"/>
        </w:rPr>
        <w:t>lest gap, as expected for a four-parameter model.</w:t>
      </w:r>
    </w:p>
    <w:p w:rsidR="00AE1467" w:rsidRDefault="00AE1467">
      <w:pPr>
        <w:spacing w:line="240" w:lineRule="auto"/>
        <w:jc w:val="both"/>
      </w:pPr>
    </w:p>
    <w:p w:rsidR="00AE1467" w:rsidRDefault="00B72666">
      <w:pPr>
        <w:spacing w:line="240" w:lineRule="auto"/>
        <w:jc w:val="both"/>
      </w:pPr>
      <w:r>
        <w:rPr>
          <w:rFonts w:ascii="Times New Roman" w:eastAsia="Calibri" w:hAnsi="Times New Roman" w:cs="Calibri"/>
          <w:b/>
          <w:bCs/>
          <w:sz w:val="20"/>
          <w:szCs w:val="20"/>
          <w:lang w:val="en-US"/>
        </w:rPr>
        <w:t>Table 3.</w:t>
      </w:r>
      <w:r>
        <w:rPr>
          <w:rFonts w:ascii="Times New Roman" w:eastAsia="Calibri" w:hAnsi="Times New Roman" w:cs="Calibri"/>
          <w:sz w:val="20"/>
          <w:szCs w:val="20"/>
          <w:lang w:val="en-US"/>
        </w:rPr>
        <w:t xml:space="preserve"> </w:t>
      </w:r>
      <w:r>
        <w:rPr>
          <w:rFonts w:ascii="Times New Roman" w:eastAsia="Calibri" w:hAnsi="Times New Roman" w:cs="Calibri"/>
          <w:b/>
          <w:bCs/>
          <w:sz w:val="20"/>
          <w:szCs w:val="20"/>
          <w:lang w:val="en-US"/>
        </w:rPr>
        <w:t>Negative predictions by the GLM baseline and five DNN loss functions on Poisson-distributed data, over 1000 iterations with 50 test observations each.</w:t>
      </w:r>
      <w:r>
        <w:rPr>
          <w:rFonts w:ascii="Times New Roman" w:eastAsia="Calibri" w:hAnsi="Times New Roman" w:cs="Calibri"/>
          <w:sz w:val="20"/>
          <w:szCs w:val="20"/>
          <w:lang w:val="en-US"/>
        </w:rPr>
        <w:t xml:space="preserve"> Columns give the mean number of negative pred</w:t>
      </w:r>
      <w:r>
        <w:rPr>
          <w:rFonts w:ascii="Times New Roman" w:eastAsia="Calibri" w:hAnsi="Times New Roman" w:cs="Calibri"/>
          <w:sz w:val="20"/>
          <w:szCs w:val="20"/>
          <w:lang w:val="en-US"/>
        </w:rPr>
        <w:t>ictions per iteration, the same figure as a percentage of test observations, the percentage of iterations containing at least one negative prediction, and the largest number observed in any single iteration. Negative values are impossible for count data an</w:t>
      </w:r>
      <w:r>
        <w:rPr>
          <w:rFonts w:ascii="Times New Roman" w:eastAsia="Calibri" w:hAnsi="Times New Roman" w:cs="Calibri"/>
          <w:sz w:val="20"/>
          <w:szCs w:val="20"/>
          <w:lang w:val="en-US"/>
        </w:rPr>
        <w:t>d indicate predictions outside the support of the response.</w:t>
      </w:r>
    </w:p>
    <w:p w:rsidR="00AE1467" w:rsidRDefault="00B72666">
      <w:pPr>
        <w:spacing w:line="360" w:lineRule="auto"/>
        <w:rPr>
          <w:rFonts w:ascii="Times New Roman" w:hAnsi="Times New Roman"/>
        </w:rPr>
      </w:pPr>
      <w:r>
        <w:rPr>
          <w:rFonts w:ascii="Times New Roman" w:hAnsi="Times New Roman"/>
          <w:noProof/>
          <w:lang w:val="en-US" w:eastAsia="en-US"/>
        </w:rPr>
        <w:drawing>
          <wp:inline distT="0" distB="0" distL="0" distR="0">
            <wp:extent cx="5487131" cy="1828800"/>
            <wp:effectExtent l="0" t="0" r="0" b="0"/>
            <wp:docPr id="9"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5487131" cy="1828800"/>
                    </a:xfrm>
                    <a:prstGeom prst="rect">
                      <a:avLst/>
                    </a:prstGeom>
                    <a:noFill/>
                    <a:ln>
                      <a:noFill/>
                      <a:prstDash/>
                    </a:ln>
                  </pic:spPr>
                </pic:pic>
              </a:graphicData>
            </a:graphic>
          </wp:inline>
        </w:drawing>
      </w:r>
    </w:p>
    <w:p w:rsidR="00AE1467" w:rsidRDefault="00AE1467">
      <w:pPr>
        <w:spacing w:line="240" w:lineRule="auto"/>
        <w:jc w:val="both"/>
      </w:pPr>
    </w:p>
    <w:sectPr w:rsidR="00AE1467">
      <w:type w:val="continuous"/>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B72666">
      <w:pPr>
        <w:spacing w:after="0" w:line="240" w:lineRule="auto"/>
      </w:pPr>
      <w:r>
        <w:separator/>
      </w:r>
    </w:p>
  </w:endnote>
  <w:endnote w:type="continuationSeparator" w:id="0">
    <w:p w:rsidR="00000000" w:rsidRDefault="00B72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Yu Mincho">
    <w:charset w:val="00"/>
    <w:family w:val="roman"/>
    <w:pitch w:val="variable"/>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Noto Sans CJK JP">
    <w:charset w:val="00"/>
    <w:family w:val="auto"/>
    <w:pitch w:val="variable"/>
  </w:font>
  <w:font w:name="Noto Sans Arabic UI">
    <w:charset w:val="00"/>
    <w:family w:val="auto"/>
    <w:pitch w:val="variable"/>
  </w:font>
  <w:font w:name="Calibri Light">
    <w:panose1 w:val="020F0302020204030204"/>
    <w:charset w:val="00"/>
    <w:family w:val="swiss"/>
    <w:pitch w:val="variable"/>
    <w:sig w:usb0="E0002AFF" w:usb1="C000247B" w:usb2="00000009" w:usb3="00000000" w:csb0="000001FF" w:csb1="00000000"/>
  </w:font>
  <w:font w:name="OpenSymbol">
    <w:charset w:val="02"/>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2" w:name="PageNumWizard_FOOTER_MP014"/>
  <w:p w:rsidR="00A2354D" w:rsidRDefault="00B72666">
    <w:pPr>
      <w:pStyle w:val="Footer"/>
      <w:jc w:val="center"/>
    </w:pPr>
    <w:r>
      <w:fldChar w:fldCharType="begin"/>
    </w:r>
    <w:r>
      <w:instrText xml:space="preserve"> PAGE </w:instrText>
    </w:r>
    <w:r>
      <w:fldChar w:fldCharType="separate"/>
    </w:r>
    <w:r>
      <w:rPr>
        <w:noProof/>
      </w:rPr>
      <w:t>1</w:t>
    </w:r>
    <w:r>
      <w:fldChar w:fldCharType="end"/>
    </w:r>
    <w:bookmarkEnd w:id="2"/>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B72666">
      <w:pPr>
        <w:spacing w:after="0" w:line="240" w:lineRule="auto"/>
      </w:pPr>
      <w:r>
        <w:rPr>
          <w:color w:val="000000"/>
        </w:rPr>
        <w:separator/>
      </w:r>
    </w:p>
  </w:footnote>
  <w:footnote w:type="continuationSeparator" w:id="0">
    <w:p w:rsidR="00000000" w:rsidRDefault="00B726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56195B"/>
    <w:multiLevelType w:val="multilevel"/>
    <w:tmpl w:val="E1C25D80"/>
    <w:styleLink w:val="Outline"/>
    <w:lvl w:ilvl="0">
      <w:start w:val="1"/>
      <w:numFmt w:val="decimal"/>
      <w:pStyle w:val="Heading1"/>
      <w:lvlText w:val="%1."/>
      <w:lvlJc w:val="left"/>
      <w:pPr>
        <w:ind w:left="360" w:hanging="360"/>
      </w:pPr>
    </w:lvl>
    <w:lvl w:ilvl="1">
      <w:start w:val="1"/>
      <w:numFmt w:val="none"/>
      <w:lvlText w:val="%2."/>
      <w:lvlJc w:val="left"/>
      <w:pPr>
        <w:ind w:left="360" w:hanging="360"/>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attachedTemplate r:id="rId1"/>
  <w:revisionView w:inkAnnotations="0"/>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
  <w:rsids>
    <w:rsidRoot w:val="00AE1467"/>
    <w:rsid w:val="00AE1467"/>
    <w:rsid w:val="00B72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5170B9EA-C55B-478F-BB3A-8A178E580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Yu Mincho" w:hAnsi="Calibri" w:cs="Arial"/>
        <w:kern w:val="3"/>
        <w:sz w:val="24"/>
        <w:szCs w:val="24"/>
        <w:lang w:val="de-DE" w:eastAsia="ja-JP" w:bidi="ar-SA"/>
      </w:rPr>
    </w:rPrDefault>
    <w:pPrDefault>
      <w:pPr>
        <w:autoSpaceDN w:val="0"/>
        <w:spacing w:after="160" w:line="276" w:lineRule="auto"/>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paragraph" w:styleId="Heading1">
    <w:name w:val="heading 1"/>
    <w:basedOn w:val="Normal"/>
    <w:next w:val="Normal"/>
    <w:pPr>
      <w:keepNext/>
      <w:keepLines/>
      <w:numPr>
        <w:numId w:val="1"/>
      </w:numPr>
      <w:spacing w:before="360" w:after="80"/>
      <w:outlineLvl w:val="0"/>
    </w:pPr>
    <w:rPr>
      <w:rFonts w:ascii="Arial" w:hAnsi="Arial"/>
      <w:b/>
      <w:bCs/>
      <w:sz w:val="28"/>
      <w:szCs w:val="28"/>
      <w:lang w:val="en-GB"/>
    </w:rPr>
  </w:style>
  <w:style w:type="paragraph" w:styleId="Heading2">
    <w:name w:val="heading 2"/>
    <w:basedOn w:val="Heading1"/>
    <w:next w:val="Normal"/>
    <w:pPr>
      <w:spacing w:line="240" w:lineRule="auto"/>
      <w:jc w:val="both"/>
      <w:outlineLvl w:val="1"/>
    </w:pPr>
    <w:rPr>
      <w:sz w:val="24"/>
      <w:szCs w:val="24"/>
    </w:rPr>
  </w:style>
  <w:style w:type="paragraph" w:styleId="Heading3">
    <w:name w:val="heading 3"/>
    <w:basedOn w:val="Normal"/>
    <w:next w:val="Normal"/>
    <w:pPr>
      <w:keepNext/>
      <w:keepLines/>
      <w:spacing w:before="160" w:after="80"/>
      <w:outlineLvl w:val="2"/>
    </w:pPr>
    <w:rPr>
      <w:rFonts w:eastAsia="Yu Gothic Light" w:cs="Times New Roman"/>
      <w:color w:val="2F5496"/>
      <w:sz w:val="28"/>
      <w:szCs w:val="28"/>
    </w:rPr>
  </w:style>
  <w:style w:type="paragraph" w:styleId="Heading4">
    <w:name w:val="heading 4"/>
    <w:basedOn w:val="Normal"/>
    <w:next w:val="Normal"/>
    <w:pPr>
      <w:keepNext/>
      <w:keepLines/>
      <w:spacing w:before="80" w:after="40"/>
      <w:outlineLvl w:val="3"/>
    </w:pPr>
    <w:rPr>
      <w:rFonts w:eastAsia="Yu Gothic Light" w:cs="Times New Roman"/>
      <w:i/>
      <w:iCs/>
      <w:color w:val="2F5496"/>
    </w:rPr>
  </w:style>
  <w:style w:type="paragraph" w:styleId="Heading5">
    <w:name w:val="heading 5"/>
    <w:basedOn w:val="Normal"/>
    <w:next w:val="Normal"/>
    <w:pPr>
      <w:keepNext/>
      <w:keepLines/>
      <w:spacing w:before="80" w:after="40"/>
      <w:outlineLvl w:val="4"/>
    </w:pPr>
    <w:rPr>
      <w:rFonts w:eastAsia="Yu Gothic Light" w:cs="Times New Roman"/>
      <w:color w:val="2F5496"/>
    </w:rPr>
  </w:style>
  <w:style w:type="paragraph" w:styleId="Heading6">
    <w:name w:val="heading 6"/>
    <w:basedOn w:val="Normal"/>
    <w:next w:val="Normal"/>
    <w:pPr>
      <w:keepNext/>
      <w:keepLines/>
      <w:spacing w:before="40" w:after="0"/>
      <w:outlineLvl w:val="5"/>
    </w:pPr>
    <w:rPr>
      <w:rFonts w:eastAsia="Yu Gothic Light" w:cs="Times New Roman"/>
      <w:i/>
      <w:iCs/>
      <w:color w:val="595959"/>
    </w:rPr>
  </w:style>
  <w:style w:type="paragraph" w:styleId="Heading7">
    <w:name w:val="heading 7"/>
    <w:basedOn w:val="Normal"/>
    <w:next w:val="Normal"/>
    <w:pPr>
      <w:keepNext/>
      <w:keepLines/>
      <w:spacing w:before="40" w:after="0"/>
      <w:outlineLvl w:val="6"/>
    </w:pPr>
    <w:rPr>
      <w:rFonts w:eastAsia="Yu Gothic Light" w:cs="Times New Roman"/>
      <w:color w:val="595959"/>
    </w:rPr>
  </w:style>
  <w:style w:type="paragraph" w:styleId="Heading8">
    <w:name w:val="heading 8"/>
    <w:basedOn w:val="Normal"/>
    <w:next w:val="Normal"/>
    <w:pPr>
      <w:keepNext/>
      <w:keepLines/>
      <w:spacing w:after="0"/>
      <w:outlineLvl w:val="7"/>
    </w:pPr>
    <w:rPr>
      <w:rFonts w:eastAsia="Yu Gothic Light" w:cs="Times New Roman"/>
      <w:i/>
      <w:iCs/>
      <w:color w:val="272727"/>
    </w:rPr>
  </w:style>
  <w:style w:type="paragraph" w:styleId="Heading9">
    <w:name w:val="heading 9"/>
    <w:basedOn w:val="Normal"/>
    <w:next w:val="Normal"/>
    <w:pPr>
      <w:keepNext/>
      <w:keepLines/>
      <w:spacing w:after="0"/>
      <w:outlineLvl w:val="8"/>
    </w:pPr>
    <w:rPr>
      <w:rFonts w:eastAsia="Yu Gothic Light"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1"/>
      </w:numPr>
    </w:pPr>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JP" w:hAnsi="Liberation Sans" w:cs="Noto Sans Arabic UI"/>
      <w:sz w:val="28"/>
      <w:szCs w:val="28"/>
    </w:rPr>
  </w:style>
  <w:style w:type="paragraph" w:customStyle="1" w:styleId="Textbody">
    <w:name w:val="Text body"/>
    <w:basedOn w:val="Standard"/>
    <w:pPr>
      <w:spacing w:after="140"/>
    </w:pPr>
  </w:style>
  <w:style w:type="paragraph" w:styleId="Title">
    <w:name w:val="Title"/>
    <w:basedOn w:val="Normal"/>
    <w:next w:val="Normal"/>
    <w:pPr>
      <w:spacing w:after="80" w:line="240" w:lineRule="auto"/>
    </w:pPr>
    <w:rPr>
      <w:rFonts w:ascii="Calibri Light" w:eastAsia="Yu Gothic Light" w:hAnsi="Calibri Light" w:cs="Times New Roman"/>
      <w:spacing w:val="-10"/>
      <w:sz w:val="56"/>
      <w:szCs w:val="56"/>
    </w:rPr>
  </w:style>
  <w:style w:type="paragraph" w:styleId="Subtitle">
    <w:name w:val="Subtitle"/>
    <w:basedOn w:val="Normal"/>
    <w:next w:val="Normal"/>
    <w:rPr>
      <w:rFonts w:eastAsia="Yu Gothic Light" w:cs="Times New Roman"/>
      <w:color w:val="595959"/>
      <w:spacing w:val="15"/>
      <w:sz w:val="28"/>
      <w:szCs w:val="28"/>
    </w:rPr>
  </w:style>
  <w:style w:type="paragraph" w:styleId="Quote">
    <w:name w:val="Quote"/>
    <w:basedOn w:val="Normal"/>
    <w:next w:val="Normal"/>
    <w:pPr>
      <w:spacing w:before="160"/>
      <w:jc w:val="center"/>
    </w:pPr>
    <w:rPr>
      <w:i/>
      <w:iCs/>
      <w:color w:val="404040"/>
    </w:rPr>
  </w:style>
  <w:style w:type="paragraph" w:styleId="ListParagraph">
    <w:name w:val="List Paragraph"/>
    <w:basedOn w:val="Normal"/>
    <w:pPr>
      <w:ind w:left="720"/>
    </w:pPr>
  </w:style>
  <w:style w:type="paragraph" w:styleId="IntenseQuot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paragraph" w:styleId="CommentText">
    <w:name w:val="annotation text"/>
    <w:basedOn w:val="Normal"/>
    <w:pPr>
      <w:spacing w:line="240" w:lineRule="auto"/>
    </w:pPr>
    <w:rPr>
      <w:sz w:val="20"/>
      <w:szCs w:val="20"/>
    </w:rPr>
  </w:style>
  <w:style w:type="paragraph" w:customStyle="1" w:styleId="Index">
    <w:name w:val="Index"/>
    <w:basedOn w:val="Standard"/>
    <w:pPr>
      <w:suppressLineNumbers/>
    </w:pPr>
  </w:style>
  <w:style w:type="paragraph" w:customStyle="1" w:styleId="Bibliography1">
    <w:name w:val="Bibliography 1"/>
    <w:basedOn w:val="Index"/>
    <w:pPr>
      <w:spacing w:after="0" w:line="480" w:lineRule="atLeast"/>
      <w:ind w:left="720" w:hanging="720"/>
    </w:pPr>
  </w:style>
  <w:style w:type="paragraph" w:customStyle="1" w:styleId="HeaderandFooter">
    <w:name w:val="Header and Footer"/>
    <w:basedOn w:val="Standard"/>
    <w:pPr>
      <w:suppressLineNumbers/>
      <w:tabs>
        <w:tab w:val="center" w:pos="4819"/>
        <w:tab w:val="right" w:pos="9638"/>
      </w:tabs>
    </w:pPr>
  </w:style>
  <w:style w:type="paragraph" w:styleId="Footer">
    <w:name w:val="footer"/>
    <w:basedOn w:val="HeaderandFooter"/>
  </w:style>
  <w:style w:type="paragraph" w:customStyle="1" w:styleId="Quotations">
    <w:name w:val="Quotations"/>
    <w:basedOn w:val="Standard"/>
    <w:pPr>
      <w:spacing w:after="283"/>
      <w:ind w:left="567" w:right="567"/>
    </w:pPr>
  </w:style>
  <w:style w:type="paragraph" w:customStyle="1" w:styleId="HorizontalLine">
    <w:name w:val="Horizontal Line"/>
    <w:basedOn w:val="Standard"/>
    <w:next w:val="Textbody"/>
    <w:pPr>
      <w:suppressLineNumbers/>
      <w:spacing w:after="283"/>
    </w:pPr>
    <w:rPr>
      <w:sz w:val="12"/>
      <w:szCs w:val="12"/>
    </w:rPr>
  </w:style>
  <w:style w:type="character" w:customStyle="1" w:styleId="Heading1Char">
    <w:name w:val="Heading 1 Char"/>
    <w:basedOn w:val="DefaultParagraphFont"/>
    <w:rPr>
      <w:rFonts w:ascii="Arial" w:eastAsia="Arial" w:hAnsi="Arial" w:cs="Arial"/>
      <w:b/>
      <w:bCs/>
      <w:color w:val="auto"/>
      <w:sz w:val="28"/>
      <w:szCs w:val="28"/>
      <w:lang w:val="en-GB"/>
    </w:rPr>
  </w:style>
  <w:style w:type="character" w:customStyle="1" w:styleId="Heading2Char">
    <w:name w:val="Heading 2 Char"/>
    <w:rPr>
      <w:rFonts w:ascii="Calibri" w:eastAsia="Yu Mincho" w:hAnsi="Calibri" w:cs="Arial"/>
      <w:sz w:val="24"/>
      <w:szCs w:val="24"/>
    </w:rPr>
  </w:style>
  <w:style w:type="character" w:customStyle="1" w:styleId="Heading3Char">
    <w:name w:val="Heading 3 Char"/>
    <w:basedOn w:val="DefaultParagraphFont"/>
    <w:rPr>
      <w:rFonts w:eastAsia="Yu Gothic Light" w:cs="Times New Roman"/>
      <w:color w:val="2F5496"/>
      <w:sz w:val="28"/>
      <w:szCs w:val="28"/>
    </w:rPr>
  </w:style>
  <w:style w:type="character" w:customStyle="1" w:styleId="Heading4Char">
    <w:name w:val="Heading 4 Char"/>
    <w:basedOn w:val="DefaultParagraphFont"/>
    <w:rPr>
      <w:rFonts w:eastAsia="Yu Gothic Light" w:cs="Times New Roman"/>
      <w:i/>
      <w:iCs/>
      <w:color w:val="2F5496"/>
    </w:rPr>
  </w:style>
  <w:style w:type="character" w:customStyle="1" w:styleId="Heading5Char">
    <w:name w:val="Heading 5 Char"/>
    <w:basedOn w:val="DefaultParagraphFont"/>
    <w:rPr>
      <w:rFonts w:eastAsia="Yu Gothic Light" w:cs="Times New Roman"/>
      <w:color w:val="2F5496"/>
    </w:rPr>
  </w:style>
  <w:style w:type="character" w:customStyle="1" w:styleId="Heading6Char">
    <w:name w:val="Heading 6 Char"/>
    <w:basedOn w:val="DefaultParagraphFont"/>
    <w:rPr>
      <w:rFonts w:eastAsia="Yu Gothic Light" w:cs="Times New Roman"/>
      <w:i/>
      <w:iCs/>
      <w:color w:val="595959"/>
    </w:rPr>
  </w:style>
  <w:style w:type="character" w:customStyle="1" w:styleId="Heading7Char">
    <w:name w:val="Heading 7 Char"/>
    <w:basedOn w:val="DefaultParagraphFont"/>
    <w:rPr>
      <w:rFonts w:eastAsia="Yu Gothic Light" w:cs="Times New Roman"/>
      <w:color w:val="595959"/>
    </w:rPr>
  </w:style>
  <w:style w:type="character" w:customStyle="1" w:styleId="Heading8Char">
    <w:name w:val="Heading 8 Char"/>
    <w:basedOn w:val="DefaultParagraphFont"/>
    <w:rPr>
      <w:rFonts w:eastAsia="Yu Gothic Light" w:cs="Times New Roman"/>
      <w:i/>
      <w:iCs/>
      <w:color w:val="272727"/>
    </w:rPr>
  </w:style>
  <w:style w:type="character" w:customStyle="1" w:styleId="Heading9Char">
    <w:name w:val="Heading 9 Char"/>
    <w:basedOn w:val="DefaultParagraphFont"/>
    <w:rPr>
      <w:rFonts w:eastAsia="Yu Gothic Light" w:cs="Times New Roman"/>
      <w:color w:val="272727"/>
    </w:rPr>
  </w:style>
  <w:style w:type="character" w:customStyle="1" w:styleId="TitleChar">
    <w:name w:val="Title Char"/>
    <w:basedOn w:val="DefaultParagraphFont"/>
    <w:rPr>
      <w:rFonts w:ascii="Calibri Light" w:eastAsia="Yu Gothic Light" w:hAnsi="Calibri Light" w:cs="Times New Roman"/>
      <w:spacing w:val="-10"/>
      <w:kern w:val="3"/>
      <w:sz w:val="56"/>
      <w:szCs w:val="56"/>
    </w:rPr>
  </w:style>
  <w:style w:type="character" w:customStyle="1" w:styleId="SubtitleChar">
    <w:name w:val="Subtitle Char"/>
    <w:basedOn w:val="DefaultParagraphFont"/>
    <w:rPr>
      <w:rFonts w:eastAsia="Yu Gothic Light" w:cs="Times New Roman"/>
      <w:color w:val="595959"/>
      <w:spacing w:val="15"/>
      <w:sz w:val="28"/>
      <w:szCs w:val="28"/>
    </w:rPr>
  </w:style>
  <w:style w:type="character" w:customStyle="1" w:styleId="QuoteChar">
    <w:name w:val="Quote Char"/>
    <w:basedOn w:val="DefaultParagraphFont"/>
    <w:rPr>
      <w:i/>
      <w:iCs/>
      <w:color w:val="404040"/>
    </w:rPr>
  </w:style>
  <w:style w:type="character" w:styleId="IntenseEmphasis">
    <w:name w:val="Intense Emphasis"/>
    <w:basedOn w:val="DefaultParagraphFont"/>
    <w:rPr>
      <w:i/>
      <w:iCs/>
      <w:color w:val="2F5496"/>
    </w:rPr>
  </w:style>
  <w:style w:type="character" w:customStyle="1" w:styleId="IntenseQuoteChar">
    <w:name w:val="Intense Quote Char"/>
    <w:basedOn w:val="DefaultParagraphFont"/>
    <w:rPr>
      <w:i/>
      <w:iCs/>
      <w:color w:val="2F5496"/>
    </w:rPr>
  </w:style>
  <w:style w:type="character" w:styleId="IntenseReference">
    <w:name w:val="Intense Reference"/>
    <w:basedOn w:val="DefaultParagraphFont"/>
    <w:rPr>
      <w:b/>
      <w:bCs/>
      <w:smallCaps/>
      <w:color w:val="2F5496"/>
      <w:spacing w:val="5"/>
    </w:rPr>
  </w:style>
  <w:style w:type="character" w:styleId="Hyperlink">
    <w:name w:val="Hyperlink"/>
    <w:basedOn w:val="DefaultParagraphFont"/>
    <w:rPr>
      <w:color w:val="0563C1"/>
      <w:u w:val="single"/>
    </w:rPr>
  </w:style>
  <w:style w:type="character" w:customStyle="1" w:styleId="CommentTextChar">
    <w:name w:val="Comment Text Char"/>
    <w:basedOn w:val="DefaultParagraphFont"/>
    <w:rPr>
      <w:sz w:val="20"/>
      <w:szCs w:val="20"/>
    </w:rPr>
  </w:style>
  <w:style w:type="character" w:styleId="CommentReference">
    <w:name w:val="annotation reference"/>
    <w:basedOn w:val="DefaultParagraphFont"/>
    <w:rPr>
      <w:sz w:val="16"/>
      <w:szCs w:val="16"/>
    </w:rPr>
  </w:style>
  <w:style w:type="character" w:customStyle="1" w:styleId="BulletSymbols">
    <w:name w:val="Bullet Symbols"/>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4994</Words>
  <Characters>28470</Characters>
  <Application>Microsoft Office Word</Application>
  <DocSecurity>4</DocSecurity>
  <Lines>237</Lines>
  <Paragraphs>66</Paragraphs>
  <ScaleCrop>false</ScaleCrop>
  <Company/>
  <LinksUpToDate>false</LinksUpToDate>
  <CharactersWithSpaces>33398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Yannik Lang</dc:creator>
  <dc:description/>
  <cp:lastModifiedBy>word</cp:lastModifiedBy>
  <cp:revision>2</cp:revision>
  <cp:lastPrinted>2026-10-12T21:48:00Z</cp:lastPrinted>
  <dcterms:created xsi:type="dcterms:W3CDTF">2026-10-13T08:55:00Z</dcterms:created>
  <dcterms:modified xsi:type="dcterms:W3CDTF">2026-10-13T08:55:00Z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0x010100ECFD3B5779CEB84BA9D8F49694583029</vt:lpwstr>
  </property>
  <property fmtid="{D5CDD505-2E9C-101B-9397-08002B2CF9AE}" pid="3" name="ZOTERO_PREF_1">
    <vt:lpwstr>&lt;data data-version="3" zotero-version="10.0.6"&gt;&lt;session id="Nbm78VPp"/&gt;&lt;style id="http://www.zotero.org/styles/methods-in-ecology-and-evolution" hasBibliography="1" bibliographyStyleHasBeenSet="1"/&gt;&lt;prefs&gt;&lt;pref name="fieldType" value="ReferenceMark"/&gt;&lt;/pr</vt:lpwstr>
  </property>
  <property fmtid="{D5CDD505-2E9C-101B-9397-08002B2CF9AE}" pid="4" name="ZOTERO_PREF_2">
    <vt:lpwstr>efs&gt;&lt;/data&gt;</vt:lpwstr>
  </property>
</Properties>
</file>