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Technikerprojekt 2026 – Aufbau und Entwurfsentscheidungen</w:t>
      </w:r>
    </w:p>
    <w:p>
      <w:pPr/>
      <w:r>
        <w:rPr>
          <w:i/>
        </w:rPr>
        <w:t xml:space="preserve">Begründung der Systemarchitektur und der gewählten Umsetzung. Der Quellcode ist bewusst nur knapp kommentiert; die ausführliche Erklärung steht hier. Kapitel 7 führt zusätzlich zu jeder Stelle im Code, die sich nicht von selbst erschließt, eine Quelle oder eine Herleitung auf.</w:t>
      </w:r>
    </w:p>
    <w:p>
      <w:pPr>
        <w:pStyle w:val="Heading1"/>
      </w:pPr>
      <w:r>
        <w:t xml:space="preserve">1. Aufgabe und Gesamtaufbau</w:t>
      </w:r>
    </w:p>
    <w:p>
      <w:pPr/>
      <w:r>
        <w:t xml:space="preserve">Ziel ist die dauerhafte Aufzeichnung der Strangströme einer Photovoltaik-Anlage. Die Anlage besitzt einen Generatoranschlusskasten (GAK) mit acht Strängen. Erfasst werden sollen die Ströme je Strang, damit sich ein Ausfall oder eine Verschmutzung einzelner Module im Nachhinein nachweisen lässt.</w:t>
      </w:r>
    </w:p>
    <w:p>
      <w:pPr/>
      <w:r>
        <w:t xml:space="preserve">Das System besteht aus zwei getrennten Geräten:</w:t>
      </w:r>
    </w:p>
    <w:p>
      <w:pPr>
        <w:pStyle w:val="ListPara"/>
      </w:pPr>
      <w:r>
        <w:t xml:space="preserve">•  </w:t>
      </w:r>
      <w:r>
        <w:t xml:space="preserve">Sensorknoten (ESP32 DevKit v1): misst die Ströme und stellt sie bereit.</w:t>
      </w:r>
    </w:p>
    <w:p>
      <w:pPr>
        <w:pStyle w:val="ListPara"/>
      </w:pPr>
      <w:r>
        <w:t xml:space="preserve">•  </w:t>
      </w:r>
      <w:r>
        <w:t xml:space="preserve">Datenlogger (WT32-ETH01): holt die Werte ab, speichert sie und veröffentlicht sie im Netz.</w:t>
      </w:r>
    </w:p>
    <w:p>
      <w:pPr>
        <w:pStyle w:val="Heading2"/>
      </w:pPr>
      <w:r>
        <w:t xml:space="preserve">Warum zwei Geräte statt einem?</w:t>
      </w:r>
    </w:p>
    <w:p>
      <w:pPr/>
      <w:r>
        <w:t xml:space="preserve">Die Messung muss unmittelbar am GAK stattfinden, weil die Stromsensoren um die Strangleitungen herum sitzen. Der Netzwerkanschluss liegt dagegen im Technikraum. Beide Aufgaben in einem Gerät zu vereinen hätte eine lange, störanfällige Analogleitung erfordert. Die Trennung erlaubt stattdessen eine digitale, störsichere Verbindung über eine einzige verdrillte Leitung.</w:t>
      </w:r>
    </w:p>
    <w:p>
      <w:pPr/>
      <w:r>
        <w:t xml:space="preserve">Zusätzlich ist der Aufbau dadurch erweiterbar: Ein zweiter GAK kann als weiterer Sensorknoten an dieselbe Leitung gehängt werden, ohne dass am Logger etwas geändert werden muss.</w:t>
      </w:r>
    </w:p>
    <w:p>
      <w:pPr>
        <w:pStyle w:val="Heading1"/>
      </w:pPr>
      <w:r>
        <w:t xml:space="preserve">2. Kommunikation</w:t>
      </w:r>
    </w:p>
    <w:p>
      <w:pPr>
        <w:pStyle w:val="Heading2"/>
      </w:pPr>
      <w:r>
        <w:t xml:space="preserve">Warum Modbus RTU über RS485?</w:t>
      </w:r>
    </w:p>
    <w:p>
      <w:pPr>
        <w:pStyle w:val="ListPara"/>
      </w:pPr>
      <w:r>
        <w:t xml:space="preserve">•  </w:t>
      </w:r>
      <w:r>
        <w:t xml:space="preserve">RS485 arbeitet mit einer Differenzleitung. Störungen wirken auf beide Adern gleich und heben sich am Empfänger auf. In der Nähe von Wechselrichtern ist das entscheidend.</w:t>
      </w:r>
    </w:p>
    <w:p>
      <w:pPr>
        <w:pStyle w:val="ListPara"/>
      </w:pPr>
      <w:r>
        <w:t xml:space="preserve">•  </w:t>
      </w:r>
      <w:r>
        <w:t xml:space="preserve">Reichweiten bis über 1000 m sind möglich, weit mehr als hier benötigt.</w:t>
      </w:r>
    </w:p>
    <w:p>
      <w:pPr>
        <w:pStyle w:val="ListPara"/>
      </w:pPr>
      <w:r>
        <w:t xml:space="preserve">•  </w:t>
      </w:r>
      <w:r>
        <w:t xml:space="preserve">Modbus RTU ist der Industriestandard in der Anlagentechnik, offen dokumentiert und kostenlos. Ein später angeschlossenes Fremdgerät kann die Werte ohne Spezialsoftware auslesen.</w:t>
      </w:r>
    </w:p>
    <w:p>
      <w:pPr>
        <w:pStyle w:val="ListPara"/>
      </w:pPr>
      <w:r>
        <w:t xml:space="preserve">•  </w:t>
      </w:r>
      <w:r>
        <w:t xml:space="preserve">Es gibt genau einen Master, der fragt, und Slaves, die antworten. Dadurch kann es keine Kollisionen auf der Leitung geben.</w:t>
      </w:r>
    </w:p>
    <w:p>
      <w:pPr>
        <w:pStyle w:val="Heading2"/>
      </w:pPr>
      <w:r>
        <w:t xml:space="preserve">Registeraufteilung</w:t>
      </w:r>
    </w:p>
    <w:p>
      <w:pPr/>
      <w:r>
        <w:t xml:space="preserve">Sensor und Logger müssen sich über die Bedeutung der Register einig sein. Die Startadresse ergibt sich aus der Slave-Adresse mal zehn, damit sich mehrere Sensorknoten nicht überschneiden.</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1600"/>
        <w:gridCol w:w="6800"/>
      </w:tblGrid>
      <w:tr>
        <w:tc>
          <w:tcPr>
            <w:tcW w:w="1600" w:type="dxa"/>
            <w:shd w:val="clear" w:fill="EFEFEF"/>
          </w:tcPr>
          <w:p>
            <w:pPr>
              <w:spacing w:before="40" w:after="40"/>
            </w:pPr>
            <w:r>
              <w:rPr>
                <w:b/>
              </w:rPr>
              <w:t xml:space="preserve">Register</w:t>
            </w:r>
          </w:p>
        </w:tc>
        <w:tc>
          <w:tcPr>
            <w:tcW w:w="6800" w:type="dxa"/>
            <w:shd w:val="clear" w:fill="EFEFEF"/>
          </w:tcPr>
          <w:p>
            <w:pPr>
              <w:spacing w:before="40" w:after="40"/>
            </w:pPr>
            <w:r>
              <w:rPr>
                <w:b/>
              </w:rPr>
              <w:t xml:space="preserve">Inhalt</w:t>
            </w:r>
          </w:p>
        </w:tc>
      </w:tr>
      <w:tr>
        <w:tc>
          <w:tcPr>
            <w:tcW w:w="1600" w:type="dxa"/>
          </w:tcPr>
          <w:p>
            <w:pPr>
              <w:spacing w:before="40" w:after="40"/>
            </w:pPr>
            <w:r>
              <w:t xml:space="preserve">10</w:t>
            </w:r>
          </w:p>
        </w:tc>
        <w:tc>
          <w:tcPr>
            <w:tcW w:w="6800" w:type="dxa"/>
          </w:tcPr>
          <w:p>
            <w:pPr>
              <w:spacing w:before="40" w:after="40"/>
            </w:pPr>
            <w:r>
              <w:t xml:space="preserve">Paketnummer, zählt bei jedem neuen Mittelwert hoch</w:t>
            </w:r>
          </w:p>
        </w:tc>
      </w:tr>
      <w:tr>
        <w:tc>
          <w:tcPr>
            <w:tcW w:w="1600" w:type="dxa"/>
          </w:tcPr>
          <w:p>
            <w:pPr>
              <w:spacing w:before="40" w:after="40"/>
            </w:pPr>
            <w:r>
              <w:t xml:space="preserve">11</w:t>
            </w:r>
          </w:p>
        </w:tc>
        <w:tc>
          <w:tcPr>
            <w:tcW w:w="6800" w:type="dxa"/>
          </w:tcPr>
          <w:p>
            <w:pPr>
              <w:spacing w:before="40" w:after="40"/>
            </w:pPr>
            <w:r>
              <w:t xml:space="preserve">GAK-Nummer (entspricht der Slave-Adresse)</w:t>
            </w:r>
          </w:p>
        </w:tc>
      </w:tr>
      <w:tr>
        <w:tc>
          <w:tcPr>
            <w:tcW w:w="1600" w:type="dxa"/>
          </w:tcPr>
          <w:p>
            <w:pPr>
              <w:spacing w:before="40" w:after="40"/>
            </w:pPr>
            <w:r>
              <w:t xml:space="preserve">12 – 19</w:t>
            </w:r>
          </w:p>
        </w:tc>
        <w:tc>
          <w:tcPr>
            <w:tcW w:w="6800" w:type="dxa"/>
          </w:tcPr>
          <w:p>
            <w:pPr>
              <w:spacing w:before="40" w:after="40"/>
            </w:pPr>
            <w:r>
              <w:t xml:space="preserve">Strang 1 bis 8, Strom in Milliampere</w:t>
            </w:r>
          </w:p>
        </w:tc>
      </w:tr>
    </w:tbl>
    <w:p>
      <w:pPr>
        <w:pStyle w:val="Heading2"/>
      </w:pPr>
      <w:r>
        <w:t xml:space="preserve">Warum Milliampere als ganze Zahl?</w:t>
      </w:r>
    </w:p>
    <w:p>
      <w:pPr/>
      <w:r>
        <w:t xml:space="preserve">Ein Modbus-Register fasst genau 16 Bit und kennt keine Kommazahlen. Statt 5,12 A wird deshalb 5120 mA übertragen und erst beim Anzeigen wieder geteilt. Der Wertebereich von −32768 bis +32767 mA deckt ±32 A ab, was für einen einzelnen Strang ausreicht. Negative Werte sind zugelassen, um Rückspeisung erkennen zu können.</w:t>
      </w:r>
    </w:p>
    <w:p>
      <w:pPr>
        <w:pStyle w:val="Heading1"/>
      </w:pPr>
      <w:r>
        <w:t xml:space="preserve">3. Messtechnik im Sensorknoten</w:t>
      </w:r>
    </w:p>
    <w:p>
      <w:pPr>
        <w:pStyle w:val="Heading2"/>
      </w:pPr>
      <w:r>
        <w:t xml:space="preserve">Warum ein Hall-Sensor?</w:t>
      </w:r>
    </w:p>
    <w:p>
      <w:pPr/>
      <w:r>
        <w:t xml:space="preserve">Der Stromsensor misst das Magnetfeld um den Leiter und nicht den Strom selbst. Dadurch besteht keine elektrische Verbindung zwischen der Strangleitung und der Elektronik. Bei Gleichspannungen von mehreren hundert Volt ist diese galvanische Trennung eine Sicherheitsanforderung und kein Komfortmerkmal.</w:t>
      </w:r>
    </w:p>
    <w:p>
      <w:pPr>
        <w:pStyle w:val="Heading2"/>
      </w:pPr>
      <w:r>
        <w:t xml:space="preserve">Warum ein Spannungsteiler?</w:t>
      </w:r>
    </w:p>
    <w:p>
      <w:pPr/>
      <w:r>
        <w:t xml:space="preserve">Der Sensor wird mit 5 V versorgt und gibt bis zu 5 V aus. Die Analogeingänge des ESP32 vertragen höchstens 3,3 V; mehr zerstört den Eingang. Der Teiler aus 10 kΩ und 20 kΩ verringert die Spannung auf zwei Drittel. Aus 5,0 V werden so 3,33 V. Die Empfindlichkeit sinkt dabei im gleichen Verhältnis, was in der Umrechnung berücksichtigt ist.</w:t>
      </w:r>
    </w:p>
    <w:p>
      <w:pPr>
        <w:pStyle w:val="Heading2"/>
      </w:pPr>
      <w:r>
        <w:t xml:space="preserve">Warum zwei Mittelungsstufen?</w:t>
      </w:r>
    </w:p>
    <w:p>
      <w:pPr/>
      <w:r>
        <w:t xml:space="preserve">Ein einzelner Analogwert des ESP32 schwankt merklich, zusätzlich verursachen getaktete Wechselrichter Störimpulse. Deshalb wird zweistufig gemittelt:</w:t>
      </w:r>
    </w:p>
    <w:p>
      <w:pPr>
        <w:pStyle w:val="ListPara"/>
      </w:pPr>
      <w:r>
        <w:t xml:space="preserve">•  </w:t>
      </w:r>
      <w:r>
        <w:t xml:space="preserve">Erste Stufe (alle 3 s): 128 Rohwerte je Kanal werden sortiert, die 32 kleinsten und 32 größten verworfen und aus den mittleren 64 der Mittelwert gebildet. Dieses gestutzte Mittel entfernt einzelne Ausreißer zuverlässig, während ein einfacher Mittelwert von ihnen verfälscht würde.</w:t>
      </w:r>
    </w:p>
    <w:p>
      <w:pPr>
        <w:pStyle w:val="ListPara"/>
      </w:pPr>
      <w:r>
        <w:t xml:space="preserve">•  </w:t>
      </w:r>
      <w:r>
        <w:t xml:space="preserve">Zweite Stufe (alle 30 s): Zehn dieser Punktmessungen werden gemittelt. Das glättet kurzzeitige Schwankungen der Sonneneinstrahlung, etwa durch Wolken.</w:t>
      </w:r>
    </w:p>
    <w:p>
      <w:pPr>
        <w:pStyle w:val="Heading2"/>
      </w:pPr>
      <w:r>
        <w:t xml:space="preserve">Warum ein Totband von 0,5 A?</w:t>
      </w:r>
    </w:p>
    <w:p>
      <w:pPr/>
      <w:r>
        <w:t xml:space="preserve">Der Nullpunkt der Sensoren schwankt um einige Millivolt, was rechnerisch bereits Zehntelampere ergibt. Ohne Totband würde die Anlage nachts Ströme anzeigen, obwohl keine fließen. Der Preis dafür ist, dass echte Ströme unter 0,5 A ebenfalls als null gemeldet werden. Da ein Strang im Betrieb deutlich mehr liefert, ist das vertretbar.</w:t>
      </w:r>
    </w:p>
    <w:p>
      <w:pPr>
        <w:pStyle w:val="Heading2"/>
      </w:pPr>
      <w:r>
        <w:t xml:space="preserve">Austauschbare Sensorplatinen</w:t>
      </w:r>
    </w:p>
    <w:p>
      <w:pPr/>
      <w:r>
        <w:t xml:space="preserve">Für zwei Sensortypen existiert je eine Platine. Sie unterscheiden sich in der Empfindlichkeit und im Nullpunkt. Die Auswahl erfolgt im Quelltext über eine einzige Zeile; der Compiler wählt daraufhin den passenden Parametersatz aus. Ein falsch eingestellter Typ führt zu einem um den Faktor vier abweichenden Messwert, deshalb wird der eingestellte Typ beim Start auf der seriellen Schnittstelle ausgegeben.</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2600"/>
        <w:gridCol w:w="2400"/>
        <w:gridCol w:w="3400"/>
      </w:tblGrid>
      <w:tr>
        <w:tc>
          <w:tcPr>
            <w:tcW w:w="2600" w:type="dxa"/>
            <w:shd w:val="clear" w:fill="EFEFEF"/>
          </w:tcPr>
          <w:p>
            <w:pPr>
              <w:spacing w:before="40" w:after="40"/>
            </w:pPr>
            <w:r>
              <w:rPr>
                <w:b/>
              </w:rPr>
              <w:t xml:space="preserve">Sensortyp</w:t>
            </w:r>
          </w:p>
        </w:tc>
        <w:tc>
          <w:tcPr>
            <w:tcW w:w="2400" w:type="dxa"/>
            <w:shd w:val="clear" w:fill="EFEFEF"/>
          </w:tcPr>
          <w:p>
            <w:pPr>
              <w:spacing w:before="40" w:after="40"/>
            </w:pPr>
            <w:r>
              <w:rPr>
                <w:b/>
              </w:rPr>
              <w:t xml:space="preserve">Empfindlichkeit</w:t>
            </w:r>
          </w:p>
        </w:tc>
        <w:tc>
          <w:tcPr>
            <w:tcW w:w="3400" w:type="dxa"/>
            <w:shd w:val="clear" w:fill="EFEFEF"/>
          </w:tcPr>
          <w:p>
            <w:pPr>
              <w:spacing w:before="40" w:after="40"/>
            </w:pPr>
            <w:r>
              <w:rPr>
                <w:b/>
              </w:rPr>
              <w:t xml:space="preserve">Nullpunkt</w:t>
            </w:r>
          </w:p>
        </w:tc>
      </w:tr>
      <w:tr>
        <w:tc>
          <w:tcPr>
            <w:tcW w:w="2600" w:type="dxa"/>
          </w:tcPr>
          <w:p>
            <w:pPr>
              <w:spacing w:before="40" w:after="40"/>
            </w:pPr>
            <w:r>
              <w:t xml:space="preserve">CYHCS-LSP25</w:t>
            </w:r>
          </w:p>
        </w:tc>
        <w:tc>
          <w:tcPr>
            <w:tcW w:w="2400" w:type="dxa"/>
          </w:tcPr>
          <w:p>
            <w:pPr>
              <w:spacing w:before="40" w:after="40"/>
            </w:pPr>
            <w:r>
              <w:t xml:space="preserve">80 mV/A</w:t>
            </w:r>
          </w:p>
        </w:tc>
        <w:tc>
          <w:tcPr>
            <w:tcW w:w="3400" w:type="dxa"/>
          </w:tcPr>
          <w:p>
            <w:pPr>
              <w:spacing w:before="40" w:after="40"/>
            </w:pPr>
            <w:r>
              <w:t xml:space="preserve">am Aufbau gemessen (verbaut)</w:t>
            </w:r>
          </w:p>
        </w:tc>
      </w:tr>
      <w:tr>
        <w:tc>
          <w:tcPr>
            <w:tcW w:w="2600" w:type="dxa"/>
          </w:tcPr>
          <w:p>
            <w:pPr>
              <w:spacing w:before="40" w:after="40"/>
            </w:pPr>
            <w:r>
              <w:t xml:space="preserve">ACS758-100B</w:t>
            </w:r>
          </w:p>
        </w:tc>
        <w:tc>
          <w:tcPr>
            <w:tcW w:w="2400" w:type="dxa"/>
          </w:tcPr>
          <w:p>
            <w:pPr>
              <w:spacing w:before="40" w:after="40"/>
            </w:pPr>
            <w:r>
              <w:t xml:space="preserve">20 mV/A</w:t>
            </w:r>
          </w:p>
        </w:tc>
        <w:tc>
          <w:tcPr>
            <w:tcW w:w="3400" w:type="dxa"/>
          </w:tcPr>
          <w:p>
            <w:pPr>
              <w:spacing w:before="40" w:after="40"/>
            </w:pPr>
            <w:r>
              <w:t xml:space="preserve">theoretisch, vor Einsatz nachmessen</w:t>
            </w:r>
          </w:p>
        </w:tc>
      </w:tr>
    </w:tbl>
    <w:p>
      <w:pPr>
        <w:pStyle w:val="Heading1"/>
      </w:pPr>
      <w:r>
        <w:t xml:space="preserve">4. Datenspeicherung im Logger</w:t>
      </w:r>
    </w:p>
    <w:p>
      <w:pPr>
        <w:pStyle w:val="Heading2"/>
      </w:pPr>
      <w:r>
        <w:t xml:space="preserve">Warum binär statt CSV?</w:t>
      </w:r>
    </w:p>
    <w:p>
      <w:pPr/>
      <w:r>
        <w:t xml:space="preserve">Ein Datensatz als Text benötigt rund 70 Zeichen, als Binärstruktur nur 24 Byte. Das ist etwa ein Drittel. Da die Datei dauerhaft wächst, wirkt sich das unmittelbar auf Speicherbedarf und Schreiblast der SD-Karte aus. Lesbaren Text benötigt nur der Mensch, und der bekommt ihn beim Download erzeugt.</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3200"/>
        <w:gridCol w:w="2600"/>
        <w:gridCol w:w="2600"/>
      </w:tblGrid>
      <w:tr>
        <w:tc>
          <w:tcPr>
            <w:tcW w:w="3200" w:type="dxa"/>
            <w:shd w:val="clear" w:fill="EFEFEF"/>
          </w:tcPr>
          <w:p>
            <w:pPr>
              <w:spacing w:before="40" w:after="40"/>
            </w:pPr>
            <w:r>
              <w:rPr>
                <w:b/>
              </w:rPr>
              <w:t xml:space="preserve">Feld</w:t>
            </w:r>
          </w:p>
        </w:tc>
        <w:tc>
          <w:tcPr>
            <w:tcW w:w="2600" w:type="dxa"/>
            <w:shd w:val="clear" w:fill="EFEFEF"/>
          </w:tcPr>
          <w:p>
            <w:pPr>
              <w:spacing w:before="40" w:after="40"/>
            </w:pPr>
            <w:r>
              <w:rPr>
                <w:b/>
              </w:rPr>
              <w:t xml:space="preserve">Typ</w:t>
            </w:r>
          </w:p>
        </w:tc>
        <w:tc>
          <w:tcPr>
            <w:tcW w:w="2600" w:type="dxa"/>
            <w:shd w:val="clear" w:fill="EFEFEF"/>
          </w:tcPr>
          <w:p>
            <w:pPr>
              <w:spacing w:before="40" w:after="40"/>
            </w:pPr>
            <w:r>
              <w:rPr>
                <w:b/>
              </w:rPr>
              <w:t xml:space="preserve">Größe</w:t>
            </w:r>
          </w:p>
        </w:tc>
      </w:tr>
      <w:tr>
        <w:tc>
          <w:tcPr>
            <w:tcW w:w="3200" w:type="dxa"/>
          </w:tcPr>
          <w:p>
            <w:pPr>
              <w:spacing w:before="40" w:after="40"/>
            </w:pPr>
            <w:r>
              <w:t xml:space="preserve">Zeitstempel</w:t>
            </w:r>
          </w:p>
        </w:tc>
        <w:tc>
          <w:tcPr>
            <w:tcW w:w="2600" w:type="dxa"/>
          </w:tcPr>
          <w:p>
            <w:pPr>
              <w:spacing w:before="40" w:after="40"/>
            </w:pPr>
            <w:r>
              <w:t xml:space="preserve">uint32</w:t>
            </w:r>
          </w:p>
        </w:tc>
        <w:tc>
          <w:tcPr>
            <w:tcW w:w="2600" w:type="dxa"/>
          </w:tcPr>
          <w:p>
            <w:pPr>
              <w:spacing w:before="40" w:after="40"/>
            </w:pPr>
            <w:r>
              <w:t xml:space="preserve">4 Byte</w:t>
            </w:r>
          </w:p>
        </w:tc>
      </w:tr>
      <w:tr>
        <w:tc>
          <w:tcPr>
            <w:tcW w:w="3200" w:type="dxa"/>
          </w:tcPr>
          <w:p>
            <w:pPr>
              <w:spacing w:before="40" w:after="40"/>
            </w:pPr>
            <w:r>
              <w:t xml:space="preserve">Paketnummer</w:t>
            </w:r>
          </w:p>
        </w:tc>
        <w:tc>
          <w:tcPr>
            <w:tcW w:w="2600" w:type="dxa"/>
          </w:tcPr>
          <w:p>
            <w:pPr>
              <w:spacing w:before="40" w:after="40"/>
            </w:pPr>
            <w:r>
              <w:t xml:space="preserve">uint16</w:t>
            </w:r>
          </w:p>
        </w:tc>
        <w:tc>
          <w:tcPr>
            <w:tcW w:w="2600" w:type="dxa"/>
          </w:tcPr>
          <w:p>
            <w:pPr>
              <w:spacing w:before="40" w:after="40"/>
            </w:pPr>
            <w:r>
              <w:t xml:space="preserve">2 Byte</w:t>
            </w:r>
          </w:p>
        </w:tc>
      </w:tr>
      <w:tr>
        <w:tc>
          <w:tcPr>
            <w:tcW w:w="3200" w:type="dxa"/>
          </w:tcPr>
          <w:p>
            <w:pPr>
              <w:spacing w:before="40" w:after="40"/>
            </w:pPr>
            <w:r>
              <w:t xml:space="preserve">GAK-Nummer</w:t>
            </w:r>
          </w:p>
        </w:tc>
        <w:tc>
          <w:tcPr>
            <w:tcW w:w="2600" w:type="dxa"/>
          </w:tcPr>
          <w:p>
            <w:pPr>
              <w:spacing w:before="40" w:after="40"/>
            </w:pPr>
            <w:r>
              <w:t xml:space="preserve">uint16</w:t>
            </w:r>
          </w:p>
        </w:tc>
        <w:tc>
          <w:tcPr>
            <w:tcW w:w="2600" w:type="dxa"/>
          </w:tcPr>
          <w:p>
            <w:pPr>
              <w:spacing w:before="40" w:after="40"/>
            </w:pPr>
            <w:r>
              <w:t xml:space="preserve">2 Byte</w:t>
            </w:r>
          </w:p>
        </w:tc>
      </w:tr>
      <w:tr>
        <w:tc>
          <w:tcPr>
            <w:tcW w:w="3200" w:type="dxa"/>
          </w:tcPr>
          <w:p>
            <w:pPr>
              <w:spacing w:before="40" w:after="40"/>
            </w:pPr>
            <w:r>
              <w:t xml:space="preserve">Ströme (8 Kanäle)</w:t>
            </w:r>
          </w:p>
        </w:tc>
        <w:tc>
          <w:tcPr>
            <w:tcW w:w="2600" w:type="dxa"/>
          </w:tcPr>
          <w:p>
            <w:pPr>
              <w:spacing w:before="40" w:after="40"/>
            </w:pPr>
            <w:r>
              <w:t xml:space="preserve">int16 × 8</w:t>
            </w:r>
          </w:p>
        </w:tc>
        <w:tc>
          <w:tcPr>
            <w:tcW w:w="2600" w:type="dxa"/>
          </w:tcPr>
          <w:p>
            <w:pPr>
              <w:spacing w:before="40" w:after="40"/>
            </w:pPr>
            <w:r>
              <w:t xml:space="preserve">16 Byte</w:t>
            </w:r>
          </w:p>
        </w:tc>
      </w:tr>
      <w:tr>
        <w:tc>
          <w:tcPr>
            <w:tcW w:w="3200" w:type="dxa"/>
          </w:tcPr>
          <w:p>
            <w:pPr>
              <w:spacing w:before="40" w:after="40"/>
            </w:pPr>
            <w:r>
              <w:t xml:space="preserve">Summe</w:t>
            </w:r>
          </w:p>
        </w:tc>
        <w:tc>
          <w:tcPr>
            <w:tcW w:w="2600" w:type="dxa"/>
          </w:tcPr>
          <w:p>
            <w:pPr>
              <w:spacing w:before="40" w:after="40"/>
            </w:pPr>
            <w:r>
              <w:t xml:space="preserve"/>
            </w:r>
          </w:p>
        </w:tc>
        <w:tc>
          <w:tcPr>
            <w:tcW w:w="2600" w:type="dxa"/>
          </w:tcPr>
          <w:p>
            <w:pPr>
              <w:spacing w:before="40" w:after="40"/>
            </w:pPr>
            <w:r>
              <w:t xml:space="preserve">24 Byte</w:t>
            </w:r>
          </w:p>
        </w:tc>
      </w:tr>
    </w:tbl>
    <w:p>
      <w:pPr/>
      <w:r>
        <w:t xml:space="preserve">Damit der Compiler keine unsichtbaren Füllbytes einfügt, ist die Struktur mit pack(1) versehen. Eine Prüfung zur Übersetzungszeit (static_assert) bricht den Build ab, falls die Größe versehentlich geändert wird – sonst wären bereits aufgezeichnete Dateien unlesbar.</w:t>
      </w:r>
    </w:p>
    <w:p>
      <w:pPr>
        <w:pStyle w:val="Heading2"/>
      </w:pPr>
      <w:r>
        <w:t xml:space="preserve">Warum die Filterung über die Paketnummer?</w:t>
      </w:r>
    </w:p>
    <w:p>
      <w:pPr/>
      <w:r>
        <w:t xml:space="preserve">Der Sensor liefert nur alle 30 Sekunden einen neuen Mittelwert, der Logger fragt jedoch alle 5 Sekunden ab. Ohne Gegenmaßnahme stünde jeder Messwert sechsmal in der Datei. Der Logger vergleicht deshalb die Paketnummer mit der zuletzt gespeicherten und schreibt nur bei einer Änderung. Die Live-Anzeige wird davon unabhängig weiterhin alle 5 Sekunden aktualisiert. Hängt der Sensor, entsteht dadurch bewusst eine Lücke im Log statt scheinbar gültiger Wiederholungen.</w:t>
      </w:r>
    </w:p>
    <w:p>
      <w:pPr/>
      <w:r>
        <w:t xml:space="preserve">Die häufigere Abfrage bleibt sinnvoll, weil dadurch ein Verbindungsausfall innerhalb von fünf Sekunden auf der Weboberfläche sichtbar wird.</w:t>
      </w:r>
    </w:p>
    <w:p>
      <w:pPr>
        <w:pStyle w:val="Heading1"/>
      </w:pPr>
      <w:r>
        <w:t xml:space="preserve">5. Betriebssicherheit</w:t>
      </w:r>
    </w:p>
    <w:p>
      <w:pPr>
        <w:pStyle w:val="Heading2"/>
      </w:pPr>
      <w:r>
        <w:t xml:space="preserve">Warum kein delay()?</w:t>
      </w:r>
    </w:p>
    <w:p>
      <w:pPr/>
      <w:r>
        <w:t xml:space="preserve">delay() hält den gesamten Prozessor an. Während eines delay(5000) könnte der Webserver keine Anfrage beantworten. Stattdessen wird über millis() geprüft, ob genügend Zeit vergangen ist. Jede Aufgabe entscheidet selbst, ob sie an der Reihe ist, und kehrt sonst sofort zurück. Dieses nicht blockierende Muster ist Voraussetzung dafür, dass Messung, Speicherung und Webserver nebeneinander laufen.</w:t>
      </w:r>
    </w:p>
    <w:p>
      <w:pPr/>
      <w:r>
        <w:t xml:space="preserve">Eine Ausnahme ließ sich nicht vermeiden: Antwortet der Sensor nicht, wartet die Modbus-Bibliothek bis zu zwei Sekunden. Die Bibliothek bietet dafür einen Rückruf an, der während des Wartens wiederholt aufgerufen wird. Darin werden weiterhin Browser-Anfragen bedient, sodass die Weboberfläche gerade im Störfall erreichbar bleibt.</w:t>
      </w:r>
    </w:p>
    <w:p>
      <w:pPr>
        <w:pStyle w:val="Heading2"/>
      </w:pPr>
      <w:r>
        <w:t xml:space="preserve">Warum ein Fehler-Manager mit Wiederholversuch?</w:t>
      </w:r>
    </w:p>
    <w:p>
      <w:pPr/>
      <w:r>
        <w:t xml:space="preserve">Das Gerät soll unbeaufsichtigt laufen. Fällt eine Baugruppe aus, darf das nicht zum Stillstand führen. Fehlt die SD-Karte beim Einschalten, startet der Logger trotzdem und versucht alle zehn Sekunden erneut. Ein Schreibfehler setzt den Status zurück und erzwingt eine Neuinitialisierung. Die Messung über Modbus läuft unabhängig davon weiter, ebenso der Webserver. Jede Baugruppe hat einen eigenen Statusmerker, der auf der Weboberfläche angezeigt wird.</w:t>
      </w:r>
    </w:p>
    <w:p>
      <w:pPr>
        <w:pStyle w:val="Heading2"/>
      </w:pPr>
      <w:r>
        <w:t xml:space="preserve">Warum feste IP-Adresse und NTP?</w:t>
      </w:r>
    </w:p>
    <w:p>
      <w:pPr/>
      <w:r>
        <w:t xml:space="preserve">Ein Logger muss unter einer gleichbleibenden Adresse erreichbar sein, deshalb wird die Adresse fest vergeben statt per DHCP bezogen. Der ESP32 besitzt keine batteriegepufferte Uhr und weiß nach jedem Start nicht, wie spät es ist. Die Uhrzeit wird daher über NTP aus dem Netz geholt. Bis das gelungen ist, werden Messwerte weiterhin aufgezeichnet, in der CSV-Datei aber als „Keine_Netzwerkzeit“ gekennzeichnet. Ein Messwert ohne Uhrzeit ist immer noch wertvoller als gar kein Messwert.</w:t>
      </w:r>
    </w:p>
    <w:p>
      <w:pPr>
        <w:pStyle w:val="Heading2"/>
      </w:pPr>
      <w:r>
        <w:t xml:space="preserve">Trennung der Netzwerkkonfiguration</w:t>
      </w:r>
    </w:p>
    <w:p>
      <w:pPr/>
      <w:r>
        <w:t xml:space="preserve">Die tatsächlichen Adressen der Anlage stehen in einer eigenen Datei, die nicht Teil des Quellcode-Repositorys ist. Versioniert wird nur eine Vorlage mit Platzhaltern. So kann der Quellcode veröffentlicht werden, ohne die Netzstruktur des Betreibers offenzulegen.</w:t>
      </w:r>
    </w:p>
    <w:p>
      <w:pPr>
        <w:pStyle w:val="Heading1"/>
      </w:pPr>
      <w:r>
        <w:t xml:space="preserve">6. Grenzen und mögliche Erweiterungen</w:t>
      </w:r>
    </w:p>
    <w:p>
      <w:pPr>
        <w:pStyle w:val="ListPara"/>
      </w:pPr>
      <w:r>
        <w:t xml:space="preserve">•  </w:t>
      </w:r>
      <w:r>
        <w:t xml:space="preserve">Die Logdatei wächst unbegrenzt. Bei einem neuen Datensatz alle 30 Sekunden sind das rund 70 kB pro Tag beziehungsweise 25 MB pro Jahr – für eine SD-Karte unkritisch, eine Rotation in Tagesdateien wäre dennoch eine sinnvolle Ergänzung.</w:t>
      </w:r>
    </w:p>
    <w:p>
      <w:pPr>
        <w:pStyle w:val="ListPara"/>
      </w:pPr>
      <w:r>
        <w:t xml:space="preserve">•  </w:t>
      </w:r>
      <w:r>
        <w:t xml:space="preserve">Die Weboberfläche ist nicht durch ein Passwort geschützt. Im abgeschlossenen Anlagennetz ist das vertretbar, bei einer Erreichbarkeit aus dem Internet nicht.</w:t>
      </w:r>
    </w:p>
    <w:p>
      <w:pPr>
        <w:pStyle w:val="ListPara"/>
      </w:pPr>
      <w:r>
        <w:t xml:space="preserve">•  </w:t>
      </w:r>
      <w:r>
        <w:t xml:space="preserve">Die Kennlinie des ESP32-Analogeingangs ist nicht vollständig linear. Da der Nullpunkt je Kanal gemessen und abgezogen wird, wirkt sich das im genutzten Bereich nur gering aus; eine Kalibrierung über mehrere Stützstellen würde die Genauigkeit weiter verbessern.</w:t>
      </w:r>
    </w:p>
    <w:p>
      <w:pPr>
        <w:pStyle w:val="ListPara"/>
      </w:pPr>
      <w:r>
        <w:t xml:space="preserve">•  </w:t>
      </w:r>
      <w:r>
        <w:t xml:space="preserve">Es wird nur ein Sensorknoten abgefragt. Die Registeraufteilung ist bereits so angelegt, dass weitere GAK ohne Änderung des Protokolls ergänzt werden können.</w:t>
      </w:r>
    </w:p>
    <w:p>
      <w:pPr>
        <w:pStyle w:val="Heading1"/>
      </w:pPr>
      <w:r>
        <w:t xml:space="preserve">7. Quellen zu den einzelnen Code-Stellen</w:t>
      </w:r>
    </w:p>
    <w:p>
      <w:pPr/>
      <w:r>
        <w:rPr>
          <w:i/>
        </w:rPr>
        <w:t xml:space="preserve">Die folgenden Punkte sind beim Lesen des Quellcodes nicht selbsterklärend. Zu jedem ist angegeben, warum die Lösung so aussieht und wo man das nachlesen kann. Wo keine passende Anleitung existiert, ist stattdessen der Gedankengang beschrieben, über den man auf die Umsetzung kommt.</w:t>
      </w:r>
    </w:p>
    <w:p>
      <w:pPr>
        <w:pStyle w:val="Heading2"/>
      </w:pPr>
      <w:r>
        <w:t xml:space="preserve">7.1 Zeitsteuerung und Timer</w:t>
      </w:r>
    </w:p>
    <w:p>
      <w:pPr>
        <w:pStyle w:val="Heading3"/>
      </w:pPr>
      <w:r>
        <w:t xml:space="preserve">Warum kein delay(), sondern ein Vergleich mit millis()</w:t>
      </w:r>
    </w:p>
    <w:p>
      <w:pPr/>
      <w:r>
        <w:t xml:space="preserve">Der Einstieg in Arduino läuft über delay(). Dass das den gesamten Prozessor anhält und damit alles andere blockiert, merkt man erst, wenn zwei Dinge gleichzeitig laufen sollen. Das Standardbeispiel dazu heißt „Blink Without Delay“ und gehört zu den mitgelieferten Arduino-Beispielen.</w:t>
      </w:r>
    </w:p>
    <w:p>
      <w:pPr>
        <w:pStyle w:val="Quelle"/>
      </w:pPr>
      <w:r>
        <w:rPr>
          <w:b/>
        </w:rPr>
        <w:t xml:space="preserve">Quelle: </w:t>
      </w:r>
      <w:hyperlink r:id="rIdL100">
        <w:r>
          <w:rPr>
            <w:color w:val="0563C1"/>
            <w:u w:val="single"/>
          </w:rPr>
          <w:t xml:space="preserve">Arduino: Blink Without Delay</w:t>
        </w:r>
      </w:hyperlink>
      <w:r>
        <w:t xml:space="preserve">   |   </w:t>
      </w:r>
      <w:hyperlink r:id="rIdL101">
        <w:r>
          <w:rPr>
            <w:color w:val="0563C1"/>
            <w:u w:val="single"/>
          </w:rPr>
          <w:t xml:space="preserve">deutsche Fassung</w:t>
        </w:r>
      </w:hyperlink>
    </w:p>
    <w:p>
      <w:pPr>
        <w:pStyle w:val="Quelle"/>
      </w:pPr>
      <w:r>
        <w:rPr>
          <w:b/>
        </w:rPr>
        <w:t xml:space="preserve">Quelle: </w:t>
      </w:r>
      <w:hyperlink r:id="rIdL102">
        <w:r>
          <w:rPr>
            <w:color w:val="0563C1"/>
            <w:u w:val="single"/>
          </w:rPr>
          <w:t xml:space="preserve">Adafruit: Multi-Tasking mit millis()</w:t>
        </w:r>
      </w:hyperlink>
      <w:r>
        <w:t xml:space="preserve">   |   </w:t>
      </w:r>
      <w:hyperlink r:id="rIdL103">
        <w:r>
          <w:rPr>
            <w:color w:val="0563C1"/>
            <w:u w:val="single"/>
          </w:rPr>
          <w:t xml:space="preserve">baldengineer: Zeile für Zeile erklärt</w:t>
        </w:r>
      </w:hyperlink>
    </w:p>
    <w:p>
      <w:pPr>
        <w:pStyle w:val="Heading3"/>
      </w:pPr>
      <w:r>
        <w:t xml:space="preserve">Warum „jetzt − zuletzt &gt;= Intervall“ und nicht „jetzt &gt;= nächsterZeitpunkt“</w:t>
      </w:r>
    </w:p>
    <w:p>
      <w:pPr/>
      <w:r>
        <w:t xml:space="preserve">millis() zählt in einer 32-Bit-Zahl und beginnt nach rund 49,7 Tagen Dauerbetrieb wieder bei null. Die Schreibweise mit der Subtraktion liefert auch über diesen Sprung hinweg das richtige Ergebnis, weil die Rechnung vorzeichenlos erfolgt und der Überlauf sich herauskürzt. Die andere Schreibweise würde an dieser Stelle einmalig fast 50 Tage lang hängen bleiben. Für einen Logger im Dauerbetrieb ist das ein echter Fehler und kein theoretisches Problem.</w:t>
      </w:r>
    </w:p>
    <w:p>
      <w:pPr>
        <w:pStyle w:val="Quelle"/>
      </w:pPr>
      <w:r>
        <w:rPr>
          <w:b/>
        </w:rPr>
        <w:t xml:space="preserve">Quelle: </w:t>
      </w:r>
      <w:hyperlink r:id="rIdL104">
        <w:r>
          <w:rPr>
            <w:color w:val="0563C1"/>
            <w:u w:val="single"/>
          </w:rPr>
          <w:t xml:space="preserve">Norwegian Creations: den millis()-Überlauf vermeiden</w:t>
        </w:r>
      </w:hyperlink>
    </w:p>
    <w:p>
      <w:pPr>
        <w:pStyle w:val="Heading2"/>
      </w:pPr>
      <w:r>
        <w:t xml:space="preserve">7.2 Datenformat auf der SD-Karte</w:t>
      </w:r>
    </w:p>
    <w:p>
      <w:pPr>
        <w:pStyle w:val="Heading3"/>
      </w:pPr>
      <w:r>
        <w:t xml:space="preserve">#pragma pack(push, 1)</w:t>
      </w:r>
    </w:p>
    <w:p>
      <w:pPr/>
      <w:r>
        <w:t xml:space="preserve">Ohne diese Anweisung fügt der Compiler unsichtbare Füllbytes zwischen die Felder einer Struktur ein, damit jedes Feld an einer für den Prozessor günstigen Adresse liegt. Auf der SD-Karte wäre das verschwendeter Platz, und schlimmer: Die Dateigröße hängt dann vom Compiler ab. Auf dieses Thema stößt man, sobald man eine Struktur unverändert in eine Datei schreibt und sich wundert, warum sizeof() mehr ergibt als die Summe der Felder.</w:t>
      </w:r>
    </w:p>
    <w:p>
      <w:pPr>
        <w:pStyle w:val="Quelle"/>
      </w:pPr>
      <w:r>
        <w:rPr>
          <w:b/>
        </w:rPr>
        <w:t xml:space="preserve">Quelle: </w:t>
      </w:r>
      <w:hyperlink r:id="rIdL105">
        <w:r>
          <w:rPr>
            <w:color w:val="0563C1"/>
            <w:u w:val="single"/>
          </w:rPr>
          <w:t xml:space="preserve">Structure Padding und Data Packing erklärt</w:t>
        </w:r>
      </w:hyperlink>
      <w:r>
        <w:t xml:space="preserve">   |   </w:t>
      </w:r>
      <w:hyperlink r:id="rIdL106">
        <w:r>
          <w:rPr>
            <w:color w:val="0563C1"/>
            <w:u w:val="single"/>
          </w:rPr>
          <w:t xml:space="preserve">Microsoft: pragma pack</w:t>
        </w:r>
      </w:hyperlink>
    </w:p>
    <w:p>
      <w:pPr>
        <w:pStyle w:val="Heading3"/>
      </w:pPr>
      <w:r>
        <w:t xml:space="preserve">static_assert zur Absicherung der Dateigröße</w:t>
      </w:r>
    </w:p>
    <w:p>
      <w:pPr/>
      <w:r>
        <w:t xml:space="preserve">static_assert prüft eine Bedingung bereits beim Übersetzen und bricht den Build mit einer eigenen Fehlermeldung ab. Hier sichert es zu, dass ein Datensatz genau 24 Byte groß bleibt.</w:t>
      </w:r>
    </w:p>
    <w:p>
      <w:pPr>
        <w:pStyle w:val="Quelle"/>
      </w:pPr>
      <w:r>
        <w:rPr>
          <w:b/>
        </w:rPr>
        <w:t xml:space="preserve">Wie man darauf kommt: </w:t>
      </w:r>
      <w:r>
        <w:t xml:space="preserve">Der Gedanke entsteht aus der Frage „Was passiert, wenn später jemand ein Feld ergänzt?“ – dann wären alle bisher aufgezeichneten Dateien unlesbar, und zwar ohne Fehlermeldung. Ein Fehler, der erst Monate später beim Auswerten auffällt, ist der schlimmste Fall. Also verschiebt man ihn auf den frühestmöglichen Zeitpunkt: den Compiler.</w:t>
      </w:r>
    </w:p>
    <w:p>
      <w:pPr>
        <w:pStyle w:val="Quelle"/>
      </w:pPr>
      <w:r>
        <w:rPr>
          <w:b/>
        </w:rPr>
        <w:t xml:space="preserve">Quelle: </w:t>
      </w:r>
      <w:hyperlink r:id="rIdL107">
        <w:r>
          <w:rPr>
            <w:color w:val="0563C1"/>
            <w:u w:val="single"/>
          </w:rPr>
          <w:t xml:space="preserve">cppreference: static_assert</w:t>
        </w:r>
      </w:hyperlink>
    </w:p>
    <w:p>
      <w:pPr>
        <w:pStyle w:val="Heading3"/>
      </w:pPr>
      <w:r>
        <w:t xml:space="preserve">Struktur direkt als Bytes schreiben und lesen</w:t>
      </w:r>
    </w:p>
    <w:p>
      <w:pPr/>
      <w:r>
        <w:t xml:space="preserve">Die Umwandlung (uint8_t*)&amp;record übergibt der Datei die Speicheradresse der Struktur, sodass deren Inhalt unverändert byteweise geschrieben wird. Beim Lesen läuft es genau umgekehrt. Voraussetzung ist die feste Größe aus dem vorigen Punkt.</w:t>
      </w:r>
    </w:p>
    <w:p>
      <w:pPr>
        <w:pStyle w:val="Quelle"/>
      </w:pPr>
      <w:r>
        <w:rPr>
          <w:b/>
        </w:rPr>
        <w:t xml:space="preserve">Wie man darauf kommt: </w:t>
      </w:r>
      <w:r>
        <w:t xml:space="preserve">Man sucht nach einer Möglichkeit, Daten kompakt abzulegen, und stellt fest, dass die Struktur im Arbeitsspeicher bereits genau das gewünschte Byte-Muster hat. Es genügt also, dem Dateisystem zu sagen, wo diese Bytes liegen, statt sie erst in Text umzuwandeln.</w:t>
      </w:r>
    </w:p>
    <w:p>
      <w:pPr>
        <w:pStyle w:val="Heading3"/>
      </w:pPr>
      <w:r>
        <w:t xml:space="preserve">Rückgabewert von read() prüfen</w:t>
      </w:r>
    </w:p>
    <w:p>
      <w:pPr/>
      <w:r>
        <w:t xml:space="preserve">read() liefert die Anzahl der tatsächlich gelesenen Bytes. Wird die Datei durch einen Stromausfall mitten im Schreiben abgeschnitten, kommt beim letzten Durchlauf weniger als ein vollständiger Datensatz zurück.</w:t>
      </w:r>
    </w:p>
    <w:p>
      <w:pPr>
        <w:pStyle w:val="Quelle"/>
      </w:pPr>
      <w:r>
        <w:rPr>
          <w:b/>
        </w:rPr>
        <w:t xml:space="preserve">Wie man darauf kommt: </w:t>
      </w:r>
      <w:r>
        <w:t xml:space="preserve">Die Frage „Was passiert bei Stromausfall?“ gehört bei einem Gerät im Dauerbetrieb zum Pflichtprogramm. Der halbe Datensatz würde als scheinbar gültige Zeile in der CSV-Datei landen. Die Prüfung kostet eine Zeile und verhindert genau das.</w:t>
      </w:r>
    </w:p>
    <w:p>
      <w:pPr>
        <w:pStyle w:val="Heading2"/>
      </w:pPr>
      <w:r>
        <w:t xml:space="preserve">7.3 Hardware-Anbindung</w:t>
      </w:r>
    </w:p>
    <w:p>
      <w:pPr>
        <w:pStyle w:val="Heading3"/>
      </w:pPr>
      <w:r>
        <w:t xml:space="preserve">Eigenes SPIClass-Objekt für die SD-Karte</w:t>
      </w:r>
    </w:p>
    <w:p>
      <w:pPr/>
      <w:r>
        <w:t xml:space="preserve">Der ESP32 hat zwei nutzbare SPI-Busse (VSPI und HSPI) mit Standardpins. Da die SD-Karte hier an anderen Pins hängt, muss ein eigenes SPIClass-Objekt angelegt, mit den gewünschten Pins gestartet und an SD.begin() übergeben werden. Wichtig ist, dass das Objekt global angelegt wird – innerhalb von setup() würde es beim Verlassen zerstört.</w:t>
      </w:r>
    </w:p>
    <w:p>
      <w:pPr>
        <w:pStyle w:val="Quelle"/>
      </w:pPr>
      <w:r>
        <w:rPr>
          <w:b/>
        </w:rPr>
        <w:t xml:space="preserve">Quelle: </w:t>
      </w:r>
      <w:hyperlink r:id="rIdL108">
        <w:r>
          <w:rPr>
            <w:color w:val="0563C1"/>
            <w:u w:val="single"/>
          </w:rPr>
          <w:t xml:space="preserve">Random Nerd Tutorials: MicroSD mit eigenen Pins</w:t>
        </w:r>
      </w:hyperlink>
      <w:r>
        <w:t xml:space="preserve">   |   </w:t>
      </w:r>
      <w:hyperlink r:id="rIdL109">
        <w:r>
          <w:rPr>
            <w:color w:val="0563C1"/>
            <w:u w:val="single"/>
          </w:rPr>
          <w:t xml:space="preserve">SPI beim ESP32</w:t>
        </w:r>
      </w:hyperlink>
    </w:p>
    <w:p>
      <w:pPr>
        <w:pStyle w:val="Heading3"/>
      </w:pPr>
      <w:r>
        <w:t xml:space="preserve">Die ETH_PHY-Definitionen stehen vor dem #include</w:t>
      </w:r>
    </w:p>
    <w:p>
      <w:pPr/>
      <w:r>
        <w:t xml:space="preserve">Die Ethernet-Bibliothek setzt eigene Standardwerte für diese Namen, allerdings nur dann, wenn sie noch nicht definiert sind (#ifndef). Stehen die eigenen Werte vorher, gewinnen sie. Stehen sie danach, meldet der Compiler „macro redefined“.</w:t>
      </w:r>
    </w:p>
    <w:p>
      <w:pPr>
        <w:pStyle w:val="Quelle"/>
      </w:pPr>
      <w:r>
        <w:rPr>
          <w:b/>
        </w:rPr>
        <w:t xml:space="preserve">Wie man darauf kommt: </w:t>
      </w:r>
      <w:r>
        <w:t xml:space="preserve">Man erhält beim Übersetzen eine Warnung wegen doppelt definierter Makros, öffnet die Header-Datei der Bibliothek und sieht dort die #ifndef-Blöcke. Daraus folgt unmittelbar die richtige Reihenfolge. Die konkreten Pinwerte für das WT32-ETH01 sind durch die Platine vorgegeben.</w:t>
      </w:r>
    </w:p>
    <w:p>
      <w:pPr>
        <w:pStyle w:val="Quelle"/>
      </w:pPr>
      <w:r>
        <w:rPr>
          <w:b/>
        </w:rPr>
        <w:t xml:space="preserve">Quelle: </w:t>
      </w:r>
      <w:hyperlink r:id="rIdL110">
        <w:r>
          <w:rPr>
            <w:color w:val="0563C1"/>
            <w:u w:val="single"/>
          </w:rPr>
          <w:t xml:space="preserve">Pinbelegung und Taktkonfiguration des WT32-ETH01</w:t>
        </w:r>
      </w:hyperlink>
    </w:p>
    <w:p>
      <w:pPr>
        <w:pStyle w:val="Heading3"/>
      </w:pPr>
      <w:r>
        <w:t xml:space="preserve">Warum keine eigene MAC-Adresse gesetzt wird</w:t>
      </w:r>
    </w:p>
    <w:p>
      <w:pPr/>
      <w:r>
        <w:t xml:space="preserve">Eine frühere Fassung rief ETH.macAddress(mac) auf, in der Annahme, damit eine eigene MAC-Adresse festzulegen. Ein Blick in den Quelltext der Bibliothek zeigt jedoch, dass dahinter ein Lesebefehl steht (ETH_CMD_G_MAC_ADDR, G wie Get). Die Funktion schreibt die vorhandene Adresse in das übergebene Feld, statt eine neue zu setzen. Der Aufruf war wirkungslos und wurde entfernt; genutzt wird die ab Werk im Chip hinterlegte Adresse.</w:t>
      </w:r>
    </w:p>
    <w:p>
      <w:pPr>
        <w:pStyle w:val="Quelle"/>
      </w:pPr>
      <w:r>
        <w:rPr>
          <w:b/>
        </w:rPr>
        <w:t xml:space="preserve">Wie man darauf kommt: </w:t>
      </w:r>
      <w:r>
        <w:t xml:space="preserve">Bei Bibliotheksfunktionen, deren Wirkung man nicht überprüfen kann, lohnt der Blick in den Quelltext. Bei Arduino-Bibliotheken liegt der auf der Festplatte und ist offen einsehbar. Das ist oft schneller und immer zuverlässiger als die Suche in einem Forum.</w:t>
      </w:r>
    </w:p>
    <w:p>
      <w:pPr>
        <w:pStyle w:val="Quelle"/>
      </w:pPr>
      <w:r>
        <w:rPr>
          <w:b/>
        </w:rPr>
        <w:t xml:space="preserve">Quelle: </w:t>
      </w:r>
      <w:hyperlink r:id="rIdL111">
        <w:r>
          <w:rPr>
            <w:color w:val="0563C1"/>
            <w:u w:val="single"/>
          </w:rPr>
          <w:t xml:space="preserve">Quelltext der ETH-Bibliothek</w:t>
        </w:r>
      </w:hyperlink>
    </w:p>
    <w:p>
      <w:pPr>
        <w:pStyle w:val="Heading2"/>
      </w:pPr>
      <w:r>
        <w:t xml:space="preserve">7.4 Uhrzeit</w:t>
      </w:r>
    </w:p>
    <w:p>
      <w:pPr>
        <w:pStyle w:val="Heading3"/>
      </w:pPr>
      <w:r>
        <w:t xml:space="preserve">configTime, TZ-Zeichenkette und tzset</w:t>
      </w:r>
    </w:p>
    <w:p>
      <w:pPr/>
      <w:r>
        <w:t xml:space="preserve">Der ESP32 holt sich die Uhrzeit über NTP aus dem Netz. Die beiden Nullen in configTime bedeuten: keine feste Zeitverschiebung und keine Sommerzeitregel. Beides wird stattdessen über die Umgebungsvariable TZ gesetzt. Die Zeichenkette „CET-1CEST,M3.5.0,M10.5.0/3“ bedeutet: Normalzeit CET (eine Stunde östlich von UTC), Sommerzeit CEST, Beginn im dritten Monat am letzten Sonntag, Ende im zehnten Monat am letzten Sonntag um 3 Uhr. Die 5 steht dabei für „letzter“, die 0 für Sonntag. Der ESP32 rechnet die Umstellung damit selbst aus und braucht dafür keine Netzwerkabfrage.</w:t>
      </w:r>
    </w:p>
    <w:p>
      <w:pPr>
        <w:pStyle w:val="Quelle"/>
      </w:pPr>
      <w:r>
        <w:rPr>
          <w:b/>
        </w:rPr>
        <w:t xml:space="preserve">Quelle: </w:t>
      </w:r>
      <w:hyperlink r:id="rIdL112">
        <w:r>
          <w:rPr>
            <w:color w:val="0563C1"/>
            <w:u w:val="single"/>
          </w:rPr>
          <w:t xml:space="preserve">Random Nerd Tutorials: NTP, Zeitzonen und Sommerzeit</w:t>
        </w:r>
      </w:hyperlink>
      <w:r>
        <w:t xml:space="preserve">   |   </w:t>
      </w:r>
      <w:hyperlink r:id="rIdL113">
        <w:r>
          <w:rPr>
            <w:color w:val="0563C1"/>
            <w:u w:val="single"/>
          </w:rPr>
          <w:t xml:space="preserve">Aufbau der TZ-Zeichenkette</w:t>
        </w:r>
      </w:hyperlink>
    </w:p>
    <w:p>
      <w:pPr>
        <w:pStyle w:val="Heading3"/>
      </w:pPr>
      <w:r>
        <w:t xml:space="preserve">UNIX-Zeitstempel und strftime</w:t>
      </w:r>
    </w:p>
    <w:p>
      <w:pPr/>
      <w:r>
        <w:t xml:space="preserve">Gespeichert wird die Zeit als Anzahl der Sekunden seit dem 1. Januar 1970. Das passt in vier Byte, während eine lesbare Zeichenkette 19 Byte bräuchte. Erst beim Download wird mit strftime daraus „JJJJ-MM-TT HH:MM:SS“.</w:t>
      </w:r>
    </w:p>
    <w:p>
      <w:pPr>
        <w:pStyle w:val="Quelle"/>
      </w:pPr>
      <w:r>
        <w:rPr>
          <w:b/>
        </w:rPr>
        <w:t xml:space="preserve">Quelle: </w:t>
      </w:r>
      <w:hyperlink r:id="rIdL114">
        <w:r>
          <w:rPr>
            <w:color w:val="0563C1"/>
            <w:u w:val="single"/>
          </w:rPr>
          <w:t xml:space="preserve">Unixzeit erklärt</w:t>
        </w:r>
      </w:hyperlink>
      <w:r>
        <w:t xml:space="preserve">   |   </w:t>
      </w:r>
      <w:hyperlink r:id="rIdL115">
        <w:r>
          <w:rPr>
            <w:color w:val="0563C1"/>
            <w:u w:val="single"/>
          </w:rPr>
          <w:t xml:space="preserve">cppreference: strftime</w:t>
        </w:r>
      </w:hyperlink>
    </w:p>
    <w:p>
      <w:pPr>
        <w:pStyle w:val="Heading3"/>
      </w:pPr>
      <w:r>
        <w:t xml:space="preserve">Die Plausibilitätsgrenze für die Uhrzeit</w:t>
      </w:r>
    </w:p>
    <w:p>
      <w:pPr/>
      <w:r>
        <w:t xml:space="preserve">Ohne Netzwerk beginnt die interne Uhr bei null, also 1970. Ein Vergleich gegen einen Zeitpunkt in der Vergangenheit erkennt zuverlässig, ob die Uhr schon gestellt wurde.</w:t>
      </w:r>
    </w:p>
    <w:p>
      <w:pPr>
        <w:pStyle w:val="Quelle"/>
      </w:pPr>
      <w:r>
        <w:rPr>
          <w:b/>
        </w:rPr>
        <w:t xml:space="preserve">Wie man darauf kommt: </w:t>
      </w:r>
      <w:r>
        <w:t xml:space="preserve">Man braucht ein Kriterium für „Uhr noch nicht gestellt“. Da die Uhr bei null startet und NTP einen aktuellen Wert liefert, genügt eine feste Grenze irgendwo zwischen beiden. Sinnvoll ist ein Datum kurz vor Inbetriebnahme der Anlage – dann gilt jeder Wert davor als ungestellt.</w:t>
      </w:r>
    </w:p>
    <w:p>
      <w:pPr>
        <w:pStyle w:val="Heading2"/>
      </w:pPr>
      <w:r>
        <w:t xml:space="preserve">7.5 Webserver und CSV-Download</w:t>
      </w:r>
    </w:p>
    <w:p>
      <w:pPr>
        <w:pStyle w:val="Heading3"/>
      </w:pPr>
      <w:r>
        <w:t xml:space="preserve">CONTENT_LENGTH_UNKNOWN und die stückweise Übertragung</w:t>
      </w:r>
    </w:p>
    <w:p>
      <w:pPr/>
      <w:r>
        <w:t xml:space="preserve">Normalerweise teilt ein Server dem Browser vorab die Größe der Antwort mit. Beim CSV-Download steht die aber erst fest, wenn alle Datensätze umgewandelt sind. Mit CONTENT_LENGTH_UNKNOWN schaltet der Server auf „chunked transfer encoding“ um und schickt die Daten in Stücken. Ein leeres Stück signalisiert das Ende.</w:t>
      </w:r>
    </w:p>
    <w:p>
      <w:pPr>
        <w:pStyle w:val="Quelle"/>
      </w:pPr>
      <w:r>
        <w:rPr>
          <w:b/>
        </w:rPr>
        <w:t xml:space="preserve">Quelle: </w:t>
      </w:r>
      <w:hyperlink r:id="rIdL116">
        <w:r>
          <w:rPr>
            <w:color w:val="0563C1"/>
            <w:u w:val="single"/>
          </w:rPr>
          <w:t xml:space="preserve">MDN: Transfer-Encoding und chunked</w:t>
        </w:r>
      </w:hyperlink>
    </w:p>
    <w:p>
      <w:pPr>
        <w:pStyle w:val="Heading3"/>
      </w:pPr>
      <w:r>
        <w:t xml:space="preserve">Content-Disposition: attachment</w:t>
      </w:r>
    </w:p>
    <w:p>
      <w:pPr/>
      <w:r>
        <w:t xml:space="preserve">Ohne diesen Kopfzeileneintrag zeigt der Browser die CSV-Datei als Text im Fenster an. Mit ihm wird sie unter dem angegebenen Namen gespeichert.</w:t>
      </w:r>
    </w:p>
    <w:p>
      <w:pPr>
        <w:pStyle w:val="Quelle"/>
      </w:pPr>
      <w:r>
        <w:rPr>
          <w:b/>
        </w:rPr>
        <w:t xml:space="preserve">Quelle: </w:t>
      </w:r>
      <w:hyperlink r:id="rIdL117">
        <w:r>
          <w:rPr>
            <w:color w:val="0563C1"/>
            <w:u w:val="single"/>
          </w:rPr>
          <w:t xml:space="preserve">MDN: Content-Disposition</w:t>
        </w:r>
      </w:hyperlink>
    </w:p>
    <w:p>
      <w:pPr>
        <w:pStyle w:val="Heading3"/>
      </w:pPr>
      <w:r>
        <w:t xml:space="preserve">Warum die Zeilen in einem Sammelpuffer gebuendelt werden</w:t>
      </w:r>
    </w:p>
    <w:p>
      <w:pPr/>
      <w:r>
        <w:t xml:space="preserve">Jedes einzeln verschickte Stück erzeugt einen eigenen Netzwerk-Kopf. Bei mehreren tausend Datensätzen überwiegt dieser Verwaltungsaufwand die Nutzdaten deutlich. Die Zeilen werden deshalb in einem 2-kB-Puffer gesammelt und erst am Stück versendet.</w:t>
      </w:r>
    </w:p>
    <w:p>
      <w:pPr>
        <w:pStyle w:val="Quelle"/>
      </w:pPr>
      <w:r>
        <w:rPr>
          <w:b/>
        </w:rPr>
        <w:t xml:space="preserve">Wie man darauf kommt: </w:t>
      </w:r>
      <w:r>
        <w:t xml:space="preserve">Das Muster kennt man aus dem Alltag: Es ist schneller, einen vollen Karton zu verschicken als hundert einzelne Briefe. In der Programmierung heißt das „Buffering“ und lohnt sich immer dort, wo jeder einzelne Vorgang einen festen Grundaufwand hat – bei Netzwerkpaketen ebenso wie bei Schreibzugriffen.</w:t>
      </w:r>
    </w:p>
    <w:p>
      <w:pPr>
        <w:pStyle w:val="Heading3"/>
      </w:pPr>
      <w:r>
        <w:t xml:space="preserve">String.reserve() und Heap-Fragmentierung</w:t>
      </w:r>
    </w:p>
    <w:p>
      <w:pPr/>
      <w:r>
        <w:t xml:space="preserve">Jedes += bei einem String fordert neuen Speicher an und kopiert den bisherigen Inhalt um. Der freigegebene alte Bereich hinterlässt eine Lücke. Auf einem Mikrocontroller führt das mit der Zeit zu einem löchrigen Speicher und irgendwann zu Abstürzen, obwohl rechnerisch genug frei wäre. reserve() fordert den Platz einmal am Stück an.</w:t>
      </w:r>
    </w:p>
    <w:p>
      <w:pPr>
        <w:pStyle w:val="Quelle"/>
      </w:pPr>
      <w:r>
        <w:rPr>
          <w:b/>
        </w:rPr>
        <w:t xml:space="preserve">Quelle: </w:t>
      </w:r>
      <w:hyperlink r:id="rIdL118">
        <w:r>
          <w:rPr>
            <w:color w:val="0563C1"/>
            <w:u w:val="single"/>
          </w:rPr>
          <w:t xml:space="preserve">Was ist Heap-Fragmentierung?</w:t>
        </w:r>
      </w:hyperlink>
      <w:r>
        <w:t xml:space="preserve">   |   </w:t>
      </w:r>
      <w:hyperlink r:id="rIdL119">
        <w:r>
          <w:rPr>
            <w:color w:val="0563C1"/>
            <w:u w:val="single"/>
          </w:rPr>
          <w:t xml:space="preserve">Adafruit: SRAM optimieren</w:t>
        </w:r>
      </w:hyperlink>
    </w:p>
    <w:p>
      <w:pPr>
        <w:pStyle w:val="Heading3"/>
      </w:pPr>
      <w:r>
        <w:t xml:space="preserve">snprintf statt sprintf</w:t>
      </w:r>
    </w:p>
    <w:p>
      <w:pPr/>
      <w:r>
        <w:t xml:space="preserve">snprintf bekommt zusätzlich die Größe des Zielpuffers übergeben und schreibt niemals darüber hinaus. sprintf hat diese Grenze nicht und überschreibt im Fehlerfall benachbarten Speicher – ein Fehler, der sich als scheinbar zufälliger Absturz an ganz anderer Stelle zeigt.</w:t>
      </w:r>
    </w:p>
    <w:p>
      <w:pPr>
        <w:pStyle w:val="Quelle"/>
      </w:pPr>
      <w:r>
        <w:rPr>
          <w:b/>
        </w:rPr>
        <w:t xml:space="preserve">Quelle: </w:t>
      </w:r>
      <w:hyperlink r:id="rIdL120">
        <w:r>
          <w:rPr>
            <w:color w:val="0563C1"/>
            <w:u w:val="single"/>
          </w:rPr>
          <w:t xml:space="preserve">cppreference: printf-Familie</w:t>
        </w:r>
      </w:hyperlink>
    </w:p>
    <w:p>
      <w:pPr>
        <w:pStyle w:val="Heading3"/>
      </w:pPr>
      <w:r>
        <w:t xml:space="preserve">Automatisches Neuladen der Seite</w:t>
      </w:r>
    </w:p>
    <w:p>
      <w:pPr/>
      <w:r>
        <w:t xml:space="preserve">Die Zeile mit http-equiv='refresh' lässt den Browser die Seite alle fünf Sekunden neu laden. Ohne sie stehen auf einer Seite mit der Überschrift „Live-Werte“ dauerhaft die Werte vom Zeitpunkt des Aufrufs.</w:t>
      </w:r>
    </w:p>
    <w:p>
      <w:pPr>
        <w:pStyle w:val="Quelle"/>
      </w:pPr>
      <w:r>
        <w:rPr>
          <w:b/>
        </w:rPr>
        <w:t xml:space="preserve">Wie man darauf kommt: </w:t>
      </w:r>
      <w:r>
        <w:t xml:space="preserve">Der Bedarf fällt beim ersten Test sofort auf. Die saubere Lösung wäre, die Werte im Hintergrund nachzuladen; für eine Statusseite auf einem Mikrocontroller genügt die einfache Variante und kommt ohne zusätzlichen Code aus.</w:t>
      </w:r>
    </w:p>
    <w:p>
      <w:pPr>
        <w:pStyle w:val="Heading2"/>
      </w:pPr>
      <w:r>
        <w:t xml:space="preserve">7.6 Modbus</w:t>
      </w:r>
    </w:p>
    <w:p>
      <w:pPr>
        <w:pStyle w:val="Heading3"/>
      </w:pPr>
      <w:r>
        <w:t xml:space="preserve">Funktionscode 3 und Holding-Register</w:t>
      </w:r>
    </w:p>
    <w:p>
      <w:pPr/>
      <w:r>
        <w:t xml:space="preserve">Modbus kennt mehrere Speicherbereiche. Holding-Register sind 16 Bit breit und les- wie schreibbar; sie sind der übliche Ort für Messwerte. readHoldingRegisters entspricht dem Funktionscode 3. Der Master gibt Startadresse und Anzahl an und bekommt die Werte am Stück zurück. Auf der Gegenseite muss jedes Register mit addHreg angelegt worden sein, sonst antwortet der Slave mit dem Fehler „Illegal Data Address“.</w:t>
      </w:r>
    </w:p>
    <w:p>
      <w:pPr>
        <w:pStyle w:val="Quelle"/>
      </w:pPr>
      <w:r>
        <w:rPr>
          <w:b/>
        </w:rPr>
        <w:t xml:space="preserve">Quelle: </w:t>
      </w:r>
      <w:hyperlink r:id="rIdL121">
        <w:r>
          <w:rPr>
            <w:color w:val="0563C1"/>
            <w:u w:val="single"/>
          </w:rPr>
          <w:t xml:space="preserve">Einführung in Modbus und die Funktionscodes</w:t>
        </w:r>
      </w:hyperlink>
      <w:r>
        <w:t xml:space="preserve">   |   </w:t>
      </w:r>
      <w:hyperlink r:id="rIdL122">
        <w:r>
          <w:rPr>
            <w:color w:val="0563C1"/>
            <w:u w:val="single"/>
          </w:rPr>
          <w:t xml:space="preserve">offizielle Spezifikation</w:t>
        </w:r>
      </w:hyperlink>
    </w:p>
    <w:p>
      <w:pPr>
        <w:pStyle w:val="Quelle"/>
      </w:pPr>
      <w:r>
        <w:rPr>
          <w:b/>
        </w:rPr>
        <w:t xml:space="preserve">Quelle: </w:t>
      </w:r>
      <w:hyperlink r:id="rIdL123">
        <w:r>
          <w:rPr>
            <w:color w:val="0563C1"/>
            <w:u w:val="single"/>
          </w:rPr>
          <w:t xml:space="preserve">ModbusMaster (Logger)</w:t>
        </w:r>
      </w:hyperlink>
      <w:r>
        <w:t xml:space="preserve">   |   </w:t>
      </w:r>
      <w:hyperlink r:id="rIdL124">
        <w:r>
          <w:rPr>
            <w:color w:val="0563C1"/>
            <w:u w:val="single"/>
          </w:rPr>
          <w:t xml:space="preserve">modbus-esp8266 (Sensor)</w:t>
        </w:r>
      </w:hyperlink>
    </w:p>
    <w:p>
      <w:pPr>
        <w:pStyle w:val="Heading3"/>
      </w:pPr>
      <w:r>
        <w:t xml:space="preserve">Der Umweg über uint16_t und zurück nach int16_t</w:t>
      </w:r>
    </w:p>
    <w:p>
      <w:pPr/>
      <w:r>
        <w:t xml:space="preserve">Modbus überträgt Register grundsätzlich ohne Vorzeichen. Der Sensor wandelt seinen vorzeichenbehafteten Messwert deshalb in eine vorzeichenlose Zahl um, der Logger wandelt ihn zurück. Das Bitmuster bleibt dabei unverändert: Aus −1 wird 65535 und beim Logger wieder −1.</w:t>
      </w:r>
    </w:p>
    <w:p>
      <w:pPr>
        <w:pStyle w:val="Quelle"/>
      </w:pPr>
      <w:r>
        <w:rPr>
          <w:b/>
        </w:rPr>
        <w:t xml:space="preserve">Wie man darauf kommt: </w:t>
      </w:r>
      <w:r>
        <w:t xml:space="preserve">Man bemerkt es, sobald ein Messwert negativ werden kann und plötzlich rund 65000 in der Tabelle steht. Der Zusammenhang wird klar, wenn man sich ansieht, wie negative Zahlen im Zweierkomplement gespeichert werden – dieselben 16 Bit, nur anders interpretiert.</w:t>
      </w:r>
    </w:p>
    <w:p>
      <w:pPr>
        <w:pStyle w:val="Heading3"/>
      </w:pPr>
      <w:r>
        <w:t xml:space="preserve">Der idle()-Rückruf</w:t>
      </w:r>
    </w:p>
    <w:p>
      <w:pPr/>
      <w:r>
        <w:t xml:space="preserve">Antwortet der Sensor nicht, wartet die Bibliothek bis zu zwei Sekunden auf eine Antwort. In dieser Zeit stand früher das ganze Programm still, und die Weboberfläche war ausgerechnet dann nicht erreichbar, wenn man wegen der Störung nachschauen wollte. ModbusMaster bietet dafür die Funktion idle(): Der übergebene Rückruf wird während des Wartens wiederholt aufgerufen. Dort werden weiterhin Browser-Anfragen bedient.</w:t>
      </w:r>
    </w:p>
    <w:p>
      <w:pPr>
        <w:pStyle w:val="Quelle"/>
      </w:pPr>
      <w:r>
        <w:rPr>
          <w:b/>
        </w:rPr>
        <w:t xml:space="preserve">Wie man darauf kommt: </w:t>
      </w:r>
      <w:r>
        <w:t xml:space="preserve">Zuerst sucht man nach einer Möglichkeit, die Wartezeit zu verkürzen, und stellt fest, dass sie in der Bibliothek fest eingetragen ist. Beim Durchsehen der öffentlichen Funktionen in der Header-Datei fällt idle() auf. Ein Blick in den Quelltext bestätigt, dass der Rückruf genau in der Warteschleife aufgerufen wird. Das Durchsehen der Header-Datei einer Bibliothek lohnt sich fast immer.</w:t>
      </w:r>
    </w:p>
    <w:p>
      <w:pPr>
        <w:pStyle w:val="Quelle"/>
      </w:pPr>
      <w:r>
        <w:rPr>
          <w:b/>
        </w:rPr>
        <w:t xml:space="preserve">Quelle: </w:t>
      </w:r>
      <w:hyperlink r:id="rIdL125">
        <w:r>
          <w:rPr>
            <w:color w:val="0563C1"/>
            <w:u w:val="single"/>
          </w:rPr>
          <w:t xml:space="preserve">Quelltext und API von ModbusMaster</w:t>
        </w:r>
      </w:hyperlink>
    </w:p>
    <w:p>
      <w:pPr>
        <w:pStyle w:val="Heading3"/>
      </w:pPr>
      <w:r>
        <w:t xml:space="preserve">Die Filterung über die Paketnummer</w:t>
      </w:r>
    </w:p>
    <w:p>
      <w:pPr/>
      <w:r>
        <w:t xml:space="preserve">Der Sensor zählt eine Paketnummer hoch, sobald ein neuer Mittelwert vorliegt. Der Logger vergleicht sie mit der zuletzt gespeicherten und schreibt nur bei einer Änderung.</w:t>
      </w:r>
    </w:p>
    <w:p>
      <w:pPr>
        <w:pStyle w:val="Quelle"/>
      </w:pPr>
      <w:r>
        <w:rPr>
          <w:b/>
        </w:rPr>
        <w:t xml:space="preserve">Wie man darauf kommt: </w:t>
      </w:r>
      <w:r>
        <w:t xml:space="preserve">Beim Vergleich der beiden Intervalle fällt auf, dass der Sensor alle 30 s liefert, der Logger aber alle 5 s fragt – also sechs gleiche Einträge je Messwert. Das Mittel dagegen liegt bereits im Protokoll: Die Paketnummer ist genau dafür da, ein Datenpaket eindeutig zu kennzeichnen. Sie ist damit verlässlicher als ein Vergleich der Messwerte selbst, denn zwei aufeinander folgende Mittelwerte dürfen durchaus identisch sein.</w:t>
      </w:r>
    </w:p>
    <w:p>
      <w:pPr>
        <w:pStyle w:val="Heading2"/>
      </w:pPr>
      <w:r>
        <w:t xml:space="preserve">7.7 Analogmessung im Sensorknoten</w:t>
      </w:r>
    </w:p>
    <w:p>
      <w:pPr>
        <w:pStyle w:val="Heading3"/>
      </w:pPr>
      <w:r>
        <w:t xml:space="preserve">ADC1 und ADC2 – die Einschränkung bei aktivem WLAN</w:t>
      </w:r>
    </w:p>
    <w:p>
      <w:pPr/>
      <w:r>
        <w:t xml:space="preserve">Der ESP32 besitzt zwei Analog-Digital-Wandler. ADC2 wird vom Funkteil mitbenutzt und liefert keine Werte mehr, sobald WLAN gestartet ist. Zwei der acht Sensoren (GPIO 4 und 25) hängen an ADC2. Da der Sensorknoten ausschließlich über RS485 kommuniziert und kein WLAN startet, ist das hier unkritisch – bei einer späteren Erweiterung um WLAN müssten diese beiden Kanäle jedoch auf ADC1-Pins umgezogen werden. Das ist eine der häufigsten Stolperfallen beim ESP32.</w:t>
      </w:r>
    </w:p>
    <w:p>
      <w:pPr>
        <w:pStyle w:val="Quelle"/>
      </w:pPr>
      <w:r>
        <w:rPr>
          <w:b/>
        </w:rPr>
        <w:t xml:space="preserve">Quelle: </w:t>
      </w:r>
      <w:hyperlink r:id="rIdL126">
        <w:r>
          <w:rPr>
            <w:color w:val="0563C1"/>
            <w:u w:val="single"/>
          </w:rPr>
          <w:t xml:space="preserve">Espressif: ADC2 und der WLAN-Treiber</w:t>
        </w:r>
      </w:hyperlink>
      <w:r>
        <w:t xml:space="preserve">   |   </w:t>
      </w:r>
      <w:hyperlink r:id="rIdL127">
        <w:r>
          <w:rPr>
            <w:color w:val="0563C1"/>
            <w:u w:val="single"/>
          </w:rPr>
          <w:t xml:space="preserve">Arduino-ESP32: ADC</w:t>
        </w:r>
      </w:hyperlink>
    </w:p>
    <w:p>
      <w:pPr>
        <w:pStyle w:val="Heading3"/>
      </w:pPr>
      <w:r>
        <w:t xml:space="preserve">Der Spannungsteiler und die korrigierte Empfindlichkeit</w:t>
      </w:r>
    </w:p>
    <w:p>
      <w:pPr/>
      <w:r>
        <w:t xml:space="preserve">Am Teilerpunkt liegt der Anteil R2/(R1+R2) der Eingangsspannung an, hier zwei Drittel. Entscheidend ist der zweite Schritt: Wenn die Spannung auf zwei Drittel sinkt, sinkt auch die Änderung je Ampere auf zwei Drittel. Die Empfindlichkeit muss deshalb mit demselben Faktor multipliziert werden, sonst zeigt die Anlage um 50 Prozent zu hohe Ströme an.</w:t>
      </w:r>
    </w:p>
    <w:p>
      <w:pPr>
        <w:pStyle w:val="Quelle"/>
      </w:pPr>
      <w:r>
        <w:rPr>
          <w:b/>
        </w:rPr>
        <w:t xml:space="preserve">Quelle: </w:t>
      </w:r>
      <w:hyperlink r:id="rIdL128">
        <w:r>
          <w:rPr>
            <w:color w:val="0563C1"/>
            <w:u w:val="single"/>
          </w:rPr>
          <w:t xml:space="preserve">Spannungsteiler</w:t>
        </w:r>
      </w:hyperlink>
      <w:r>
        <w:t xml:space="preserve">   |   </w:t>
      </w:r>
      <w:hyperlink r:id="rIdL129">
        <w:r>
          <w:rPr>
            <w:color w:val="0563C1"/>
            <w:u w:val="single"/>
          </w:rPr>
          <w:t xml:space="preserve">Hall-Effekt</w:t>
        </w:r>
      </w:hyperlink>
    </w:p>
    <w:p>
      <w:pPr>
        <w:pStyle w:val="Quelle"/>
      </w:pPr>
      <w:r>
        <w:rPr>
          <w:b/>
        </w:rPr>
        <w:t xml:space="preserve">Wie man darauf kommt: </w:t>
      </w:r>
      <w:r>
        <w:t xml:space="preserve">Die Teilerformel selbst steht in jedem Grundlagenbuch. Dass auch die Empfindlichkeit korrigiert werden muss, erschließt sich beim Aufschreiben der Einheiten: Der Sensor liefert Volt je Ampere, der Teiler multipliziert Volt mit einem Faktor – also wirkt der Faktor auch auf Volt je Ampere. Ein Rechenweg mit mitgeführten Einheiten deckt solche Fehler zuverlässig auf.</w:t>
      </w:r>
    </w:p>
    <w:p>
      <w:pPr>
        <w:pStyle w:val="Heading3"/>
      </w:pPr>
      <w:r>
        <w:t xml:space="preserve">Der getrimmte Mittelwert</w:t>
      </w:r>
    </w:p>
    <w:p>
      <w:pPr/>
      <w:r>
        <w:t xml:space="preserve">128 Rohwerte werden sortiert, die 32 kleinsten und 32 größten verworfen und aus den verbleibenden 64 der Mittelwert gebildet. Ein einzelner Störimpuls landet beim Sortieren zwangsläufig am Rand und fällt heraus. Beim einfachen Mittelwert würde er das Ergebnis verfälschen, beim reinen Medianwert ginge dafür die Auflösung verloren. Das gestutzte Mittel verbindet beide Vorteile.</w:t>
      </w:r>
    </w:p>
    <w:p>
      <w:pPr>
        <w:pStyle w:val="Quelle"/>
      </w:pPr>
      <w:r>
        <w:rPr>
          <w:b/>
        </w:rPr>
        <w:t xml:space="preserve">Quelle: </w:t>
      </w:r>
      <w:hyperlink r:id="rIdL130">
        <w:r>
          <w:rPr>
            <w:color w:val="0563C1"/>
            <w:u w:val="single"/>
          </w:rPr>
          <w:t xml:space="preserve">Microchip AN4515: digitale Filterung von Sensordaten (PDF)</w:t>
        </w:r>
      </w:hyperlink>
      <w:r>
        <w:t xml:space="preserve">   |   </w:t>
      </w:r>
      <w:hyperlink r:id="rIdL131">
        <w:r>
          <w:rPr>
            <w:color w:val="0563C1"/>
            <w:u w:val="single"/>
          </w:rPr>
          <w:t xml:space="preserve">Gestutztes Mittel</w:t>
        </w:r>
      </w:hyperlink>
    </w:p>
    <w:p>
      <w:pPr>
        <w:pStyle w:val="Heading3"/>
      </w:pPr>
      <w:r>
        <w:t xml:space="preserve">Das Totband um den Nullpunkt</w:t>
      </w:r>
    </w:p>
    <w:p>
      <w:pPr/>
      <w:r>
        <w:t xml:space="preserve">Messwerte zwischen −0,5 A und +0,5 A werden auf glatt null gesetzt.</w:t>
      </w:r>
    </w:p>
    <w:p>
      <w:pPr>
        <w:pStyle w:val="Quelle"/>
      </w:pPr>
      <w:r>
        <w:rPr>
          <w:b/>
        </w:rPr>
        <w:t xml:space="preserve">Wie man darauf kommt: </w:t>
      </w:r>
      <w:r>
        <w:t xml:space="preserve">Der Bedarf zeigt sich beim ersten Nachtbetrieb: Die Anlage meldet Ströme, obwohl keine fließen. Der Grund ist schnell gefunden – der Nullpunkt schwankt um einige Millivolt, und bei rund 53 mV je Ampere ergeben schon 25 mV etwa ein halbes Ampere. Die Schwelle wählt man knapp über dem beobachteten Rauschen und deutlich unter dem kleinsten Strom, der im Betrieb wirklich vorkommt.</w:t>
      </w:r>
    </w:p>
    <w:p>
      <w:pPr>
        <w:pStyle w:val="Heading3"/>
      </w:pPr>
      <w:r>
        <w:t xml:space="preserve">Die Nullpunkte werden je Kanal gemessen</w:t>
      </w:r>
    </w:p>
    <w:p>
      <w:pPr/>
      <w:r>
        <w:t xml:space="preserve">Jeder der acht Sensoren hat fertigungsbedingt einen leicht abweichenden Ruhewert. Rechnerisch wären es 2,5 V × 0,667 = 1,667 V, gemessen wurden Werte um 1,56 V.</w:t>
      </w:r>
    </w:p>
    <w:p>
      <w:pPr>
        <w:pStyle w:val="Quelle"/>
      </w:pPr>
      <w:r>
        <w:rPr>
          <w:b/>
        </w:rPr>
        <w:t xml:space="preserve">Wie man darauf kommt: </w:t>
      </w:r>
      <w:r>
        <w:t xml:space="preserve">Wenn alle acht Kanäle bei stromlosen Strängen unterschiedliche und von der Theorie abweichende Werte zeigen, ist klar, dass ein gemeinsamer Rechenwert nicht genügt. Da sich Bauteiltoleranzen nicht berechnen, sondern nur messen lassen, wird der Ruhewert je Kanal einmal aufgenommen und fest eingetragen. Nach einem Sensortausch muss das wiederholt werden.</w:t>
      </w:r>
    </w:p>
    <w:p>
      <w:pPr>
        <w:pStyle w:val="Heading3"/>
      </w:pPr>
      <w:r>
        <w:t xml:space="preserve">Auswahl der Sensorplatine über den Präprozessor</w:t>
      </w:r>
    </w:p>
    <w:p>
      <w:pPr/>
      <w:r>
        <w:t xml:space="preserve">#if, #elif und #error werden vor dem eigentlichen Übersetzen ausgewertet. Je nach eingestelltem Typ landet nur der passende Parametersatz im Programm, der andere wird verworfen. #error fängt einen Tippfehler bereits beim Übersetzen ab.</w:t>
      </w:r>
    </w:p>
    <w:p>
      <w:pPr>
        <w:pStyle w:val="Quelle"/>
      </w:pPr>
      <w:r>
        <w:rPr>
          <w:b/>
        </w:rPr>
        <w:t xml:space="preserve">Wie man darauf kommt: </w:t>
      </w:r>
      <w:r>
        <w:t xml:space="preserve">Empfindlichkeit und Nullpunkte gehören zusammen – wer nur eines von beiden ändert, erhält stillschweigend falsche Messwerte. Deshalb werden sie zu einem Block zusammengefasst, der über eine einzige Zeile ausgewählt wird. Da die Entscheidung zur Laufzeit nie wechselt, ist der Präprozessor dafür das richtige Werkzeug und kostet keinen Speicher.</w:t>
      </w:r>
    </w:p>
    <w:p>
      <w:pPr>
        <w:pStyle w:val="Quelle"/>
      </w:pPr>
      <w:r>
        <w:rPr>
          <w:b/>
        </w:rPr>
        <w:t xml:space="preserve">Quelle: </w:t>
      </w:r>
      <w:hyperlink r:id="rIdL132">
        <w:r>
          <w:rPr>
            <w:color w:val="0563C1"/>
            <w:u w:val="single"/>
          </w:rPr>
          <w:t xml:space="preserve">cppreference: bedingte Übersetzung</w:t>
        </w:r>
      </w:hyperlink>
    </w:p>
    <w:p>
      <w:pPr>
        <w:pStyle w:val="Heading3"/>
      </w:pPr>
      <w:r>
        <w:t xml:space="preserve">mb.task() in jedem Schleifendurchlauf</w:t>
      </w:r>
    </w:p>
    <w:p>
      <w:pPr/>
      <w:r>
        <w:t xml:space="preserve">Die Modbus-Bibliothek des Sensors arbeitet nicht im Hintergrund. Nur innerhalb von task() prüft sie, ob eine Anfrage eingetroffen ist, und schickt die Antwort ab. Ein delay() an dieser Stelle führt dazu, dass der Logger keine Antwort erhält und einen Verbindungsfehler meldet.</w:t>
      </w:r>
    </w:p>
    <w:p>
      <w:pPr>
        <w:pStyle w:val="Quelle"/>
      </w:pPr>
      <w:r>
        <w:rPr>
          <w:b/>
        </w:rPr>
        <w:t xml:space="preserve">Wie man darauf kommt: </w:t>
      </w:r>
      <w:r>
        <w:t xml:space="preserve">Das Muster begegnet einem bei vielen Arduino-Bibliotheken: Eine Funktion namens task, loop, handle oder update muss regelmäßig aufgerufen werden, weil der Mikrocontroller die Arbeit sonst nirgends erledigen kann. Erkennbar ist es daran, dass die Beispiele der Bibliothek diesen Aufruf immer als erste Zeile in loop() haben.</w:t>
      </w:r>
    </w:p>
    <w:p>
      <w:pPr>
        <w:pStyle w:val="Heading1"/>
      </w:pPr>
      <w:r>
        <w:t xml:space="preserve">8. Hinweis zu den Quellenangaben</w:t>
      </w:r>
    </w:p>
    <w:p>
      <w:pPr/>
      <w:r>
        <w:t xml:space="preserve">Alle angegebenen Adressen wurden im September 2026 geprüft. Bei einzelnen Anbietern (unter anderem arduino.cc und allaboutcircuits.com) verhindern Zugriffsschutz oder nachgeladene Inhalte eine automatische Prüfung; diese Adressen stammen aus der Suche und sollten vor der Abgabe im Browser einmal geöffnet werden. Bei den mit „Wie man darauf kommt“ gekennzeichneten Punkten existiert keine passende Anleitung, weil sie sich aus der konkreten Aufgabenstellung ergeben; dort ist stattdessen der Gedankengang dokumentiert.</w:t>
      </w:r>
    </w:p>
    <w:sectPr>
      <w:pgSz w:w="11906" w:h="16838"/>
      <w:pgMar w:top="1134" w:right="1134" w:bottom="1134" w:left="1418" w:header="709" w:footer="709"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outlineLvl w:val="0"/>
      <w:spacing w:before="360" w:after="140"/>
      <w:keepNext/>
    </w:pPr>
    <w:rPr>
      <w:b/>
      <w:color w:val="1F3864"/>
      <w:sz w:val="32"/>
    </w:rPr>
  </w:style>
  <w:style w:type="paragraph" w:styleId="Heading2">
    <w:name w:val="heading 2"/>
    <w:basedOn w:val="Normal"/>
    <w:pPr>
      <w:outlineLvl w:val="1"/>
      <w:spacing w:before="240" w:after="100"/>
      <w:keepNext/>
    </w:pPr>
    <w:rPr>
      <w:b/>
      <w:color w:val="2E5496"/>
      <w:sz w:val="26"/>
    </w:rPr>
  </w:style>
  <w:style w:type="paragraph" w:styleId="Heading3">
    <w:name w:val="heading 3"/>
    <w:basedOn w:val="Normal"/>
    <w:pPr>
      <w:outlineLvl w:val="2"/>
      <w:spacing w:before="200" w:after="60"/>
      <w:keepNext/>
    </w:pPr>
    <w:rPr>
      <w:b/>
      <w:color w:val="333333"/>
      <w:sz w:val="22"/>
    </w:rPr>
  </w:style>
  <w:style w:type="paragraph" w:styleId="ListPara">
    <w:name w:val="List Paragraph"/>
    <w:basedOn w:val="Normal"/>
    <w:pPr>
      <w:ind w:left="454" w:hanging="284"/>
      <w:spacing w:after="80"/>
    </w:pPr>
  </w:style>
  <w:style w:type="paragraph" w:styleId="Quelle">
    <w:name w:val="Quelle"/>
    <w:basedOn w:val="Normal"/>
    <w:pPr>
      <w:ind w:left="227"/>
      <w:spacing w:after="80"/>
    </w:pPr>
    <w:rPr>
      <w:sz w:val="19"/>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L100" Type="http://schemas.openxmlformats.org/officeDocument/2006/relationships/hyperlink" Target="https://www.arduino.cc/en/Tutorial/BlinkWithoutDelay" TargetMode="External"/><Relationship Id="rIdL101" Type="http://schemas.openxmlformats.org/officeDocument/2006/relationships/hyperlink" Target="http://playground.arduino.cc/Learning/BlinkWithoutDelay_de" TargetMode="External"/><Relationship Id="rIdL102" Type="http://schemas.openxmlformats.org/officeDocument/2006/relationships/hyperlink" Target="https://learn.adafruit.com/multi-tasking-the-arduino-part-1/using-millis-for-timing" TargetMode="External"/><Relationship Id="rIdL103" Type="http://schemas.openxmlformats.org/officeDocument/2006/relationships/hyperlink" Target="https://www.baldengineer.com/blink-without-delay-explained.html" TargetMode="External"/><Relationship Id="rIdL104" Type="http://schemas.openxmlformats.org/officeDocument/2006/relationships/hyperlink" Target="https://www.norwegiancreations.com/2018/10/arduino-tutorial-avoiding-the-overflow-issue-when-using-millis-and-micros/" TargetMode="External"/><Relationship Id="rIdL105" Type="http://schemas.openxmlformats.org/officeDocument/2006/relationships/hyperlink" Target="https://www.geeksforgeeks.org/c/structure-member-alignment-padding-and-data-packing/" TargetMode="External"/><Relationship Id="rIdL106" Type="http://schemas.openxmlformats.org/officeDocument/2006/relationships/hyperlink" Target="https://learn.microsoft.com/en-us/cpp/preprocessor/pack" TargetMode="External"/><Relationship Id="rIdL107" Type="http://schemas.openxmlformats.org/officeDocument/2006/relationships/hyperlink" Target="https://en.cppreference.com/w/cpp/language/static_assert" TargetMode="External"/><Relationship Id="rIdL108" Type="http://schemas.openxmlformats.org/officeDocument/2006/relationships/hyperlink" Target="https://randomnerdtutorials.com/esp32-microsd-card-arduino/" TargetMode="External"/><Relationship Id="rIdL109" Type="http://schemas.openxmlformats.org/officeDocument/2006/relationships/hyperlink" Target="https://randomnerdtutorials.com/esp32-spi-communication-arduino/" TargetMode="External"/><Relationship Id="rIdL110" Type="http://schemas.openxmlformats.org/officeDocument/2006/relationships/hyperlink" Target="https://github.com/egnor/wt32-eth01" TargetMode="External"/><Relationship Id="rIdL111" Type="http://schemas.openxmlformats.org/officeDocument/2006/relationships/hyperlink" Target="https://github.com/espressif/arduino-esp32/blob/master/libraries/Ethernet/src/ETH.cpp" TargetMode="External"/><Relationship Id="rIdL112" Type="http://schemas.openxmlformats.org/officeDocument/2006/relationships/hyperlink" Target="https://randomnerdtutorials.com/esp32-ntp-timezones-daylight-saving/" TargetMode="External"/><Relationship Id="rIdL113" Type="http://schemas.openxmlformats.org/officeDocument/2006/relationships/hyperlink" Target="https://di-mgt.com.au/wclock/help/wclo_tzexplain.html" TargetMode="External"/><Relationship Id="rIdL114" Type="http://schemas.openxmlformats.org/officeDocument/2006/relationships/hyperlink" Target="https://de.wikipedia.org/wiki/Unixzeit" TargetMode="External"/><Relationship Id="rIdL115" Type="http://schemas.openxmlformats.org/officeDocument/2006/relationships/hyperlink" Target="https://en.cppreference.com/w/c/chrono/strftime" TargetMode="External"/><Relationship Id="rIdL116" Type="http://schemas.openxmlformats.org/officeDocument/2006/relationships/hyperlink" Target="https://developer.mozilla.org/de/docs/Web/HTTP/Reference/Headers/Transfer-Encoding" TargetMode="External"/><Relationship Id="rIdL117" Type="http://schemas.openxmlformats.org/officeDocument/2006/relationships/hyperlink" Target="https://developer.mozilla.org/de/docs/Web/HTTP/Reference/Headers/Content-Disposition" TargetMode="External"/><Relationship Id="rIdL118" Type="http://schemas.openxmlformats.org/officeDocument/2006/relationships/hyperlink" Target="https://cpp4arduino.com/2018/11/06/what-is-heap-fragmentation.html" TargetMode="External"/><Relationship Id="rIdL119" Type="http://schemas.openxmlformats.org/officeDocument/2006/relationships/hyperlink" Target="https://learn.adafruit.com/memories-of-an-arduino/optimizing-sram" TargetMode="External"/><Relationship Id="rIdL120" Type="http://schemas.openxmlformats.org/officeDocument/2006/relationships/hyperlink" Target="https://en.cppreference.com/w/c/io/fprintf" TargetMode="External"/><Relationship Id="rIdL121" Type="http://schemas.openxmlformats.org/officeDocument/2006/relationships/hyperlink" Target="https://control.com/technical-articles/introduction-to-modbus-and-modbus-function-codes/" TargetMode="External"/><Relationship Id="rIdL122" Type="http://schemas.openxmlformats.org/officeDocument/2006/relationships/hyperlink" Target="https://modbus.org/docs/Modbus_Application_Protocol_V1_1b3.pdf" TargetMode="External"/><Relationship Id="rIdL123" Type="http://schemas.openxmlformats.org/officeDocument/2006/relationships/hyperlink" Target="https://4-20ma.io/ModbusMaster/group__register.html" TargetMode="External"/><Relationship Id="rIdL124" Type="http://schemas.openxmlformats.org/officeDocument/2006/relationships/hyperlink" Target="https://github.com/emelianov/modbus-esp8266" TargetMode="External"/><Relationship Id="rIdL125" Type="http://schemas.openxmlformats.org/officeDocument/2006/relationships/hyperlink" Target="https://github.com/4-20ma/ModbusMaster" TargetMode="External"/><Relationship Id="rIdL126" Type="http://schemas.openxmlformats.org/officeDocument/2006/relationships/hyperlink" Target="https://docs.espressif.com/projects/esp-idf/en/latest/esp32/api-reference/peripherals/adc.html" TargetMode="External"/><Relationship Id="rIdL127" Type="http://schemas.openxmlformats.org/officeDocument/2006/relationships/hyperlink" Target="https://docs.espressif.com/projects/arduino-esp32/en/latest/api/adc.html" TargetMode="External"/><Relationship Id="rIdL128" Type="http://schemas.openxmlformats.org/officeDocument/2006/relationships/hyperlink" Target="https://de.wikipedia.org/wiki/Spannungsteiler" TargetMode="External"/><Relationship Id="rIdL129" Type="http://schemas.openxmlformats.org/officeDocument/2006/relationships/hyperlink" Target="https://de.wikipedia.org/wiki/Hall-Effekt" TargetMode="External"/><Relationship Id="rIdL130" Type="http://schemas.openxmlformats.org/officeDocument/2006/relationships/hyperlink" Target="https://ww1.microchip.com/downloads/aemDocuments/documents/MCU08/ApplicationNotes/ApplicationNotes/ProcessAnalogSensorDataDigitalFiltering-DS00004515.pdf" TargetMode="External"/><Relationship Id="rIdL131" Type="http://schemas.openxmlformats.org/officeDocument/2006/relationships/hyperlink" Target="https://de.wikipedia.org/wiki/Gestutztes_Mittel" TargetMode="External"/><Relationship Id="rIdL132" Type="http://schemas.openxmlformats.org/officeDocument/2006/relationships/hyperlink" Target="https://en.cppreference.com/w/cpp/preprocessor/conditional" TargetMode="External"/></Relationships>
</file>

<file path=docProps/core.xml><?xml version="1.0" encoding="utf-8"?>
<cp:coreProperties xmlns:cp="http://schemas.openxmlformats.org/package/2006/metadata/core-properties" xmlns:dc="http://purl.org/dc/elements/1.1/">
  <dc:title>Technikerprojekt 2026 - Aufbau und Entwurfsentscheidungen</dc:title>
  <dc:creator>Yannik Schmidt</dc:creator>
</cp:coreProperties>
</file>