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Heading1"/>
      </w:pPr>
      <w:r>
        <w:t xml:space="preserve">Technikerprojekt 2026 – Erläuterungen zum Quellcode</w:t>
      </w:r>
    </w:p>
    <w:p>
      <w:pPr/>
      <w:r>
        <w:rPr>
          <w:i/>
        </w:rPr>
        <w:t xml:space="preserve">Dieses Dokument erklärt ausschließlich die Stellen im Quellcode, die sich nicht aus der Aufgabenstellung oder der eingesetzten Hardware ergeben, sondern aus der Umsetzung selbst. Bewusst nicht behandelt sind Punkte, die aus dem Aufbau unmittelbar folgen – etwa dass ein Spannungsteiler nötig ist, weil der ESP32 nur 3,3 V verträgt, oder warum die Messung galvanisch getrennt erfolgt.</w:t>
      </w:r>
    </w:p>
    <w:p>
      <w:pPr/>
      <w:r>
        <w:rPr>
          <w:i/>
        </w:rPr>
        <w:t xml:space="preserve">Zu jedem Punkt steht, warum die Lösung so aussieht, und dazu entweder eine Quelle zum Nachlesen oder – wo keine passende Anleitung existiert – der Gedankengang, über den man auf die Umsetzung kommt.</w:t>
      </w:r>
    </w:p>
    <w:p>
      <w:pPr>
        <w:pStyle w:val="Heading1"/>
      </w:pPr>
      <w:r>
        <w:t xml:space="preserve">1. Referenz</w:t>
      </w:r>
    </w:p>
    <w:p>
      <w:pPr/>
      <w:r>
        <w:t xml:space="preserve">Beide Tabellen sind Vereinbarungen zwischen den beiden Geräten. Ohne sie ist der Code an mehreren Stellen nicht zu lesen.</w:t>
      </w:r>
    </w:p>
    <w:p>
      <w:pPr>
        <w:pStyle w:val="Heading2"/>
      </w:pPr>
      <w:r>
        <w:t xml:space="preserve">Registerbelegung</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1400"/>
        <w:gridCol w:w="4000"/>
        <w:gridCol w:w="3000"/>
      </w:tblGrid>
      <w:tr>
        <w:tc>
          <w:tcPr>
            <w:tcW w:w="1400" w:type="dxa"/>
            <w:shd w:val="clear" w:fill="EFEFEF"/>
          </w:tcPr>
          <w:p>
            <w:pPr>
              <w:spacing w:before="40" w:after="40"/>
            </w:pPr>
            <w:r>
              <w:rPr>
                <w:b/>
              </w:rPr>
              <w:t xml:space="preserve">Register</w:t>
            </w:r>
          </w:p>
        </w:tc>
        <w:tc>
          <w:tcPr>
            <w:tcW w:w="4000" w:type="dxa"/>
            <w:shd w:val="clear" w:fill="EFEFEF"/>
          </w:tcPr>
          <w:p>
            <w:pPr>
              <w:spacing w:before="40" w:after="40"/>
            </w:pPr>
            <w:r>
              <w:rPr>
                <w:b/>
              </w:rPr>
              <w:t xml:space="preserve">Inhalt</w:t>
            </w:r>
          </w:p>
        </w:tc>
        <w:tc>
          <w:tcPr>
            <w:tcW w:w="3000" w:type="dxa"/>
            <w:shd w:val="clear" w:fill="EFEFEF"/>
          </w:tcPr>
          <w:p>
            <w:pPr>
              <w:spacing w:before="40" w:after="40"/>
            </w:pPr>
            <w:r>
              <w:rPr>
                <w:b/>
              </w:rPr>
              <w:t xml:space="preserve">Bezeichner im Code</w:t>
            </w:r>
          </w:p>
        </w:tc>
      </w:tr>
      <w:tr>
        <w:tc>
          <w:tcPr>
            <w:tcW w:w="1400" w:type="dxa"/>
          </w:tcPr>
          <w:p>
            <w:pPr>
              <w:spacing w:before="40" w:after="40"/>
            </w:pPr>
            <w:r>
              <w:t xml:space="preserve">10</w:t>
            </w:r>
          </w:p>
        </w:tc>
        <w:tc>
          <w:tcPr>
            <w:tcW w:w="4000" w:type="dxa"/>
          </w:tcPr>
          <w:p>
            <w:pPr>
              <w:spacing w:before="40" w:after="40"/>
            </w:pPr>
            <w:r>
              <w:t xml:space="preserve">Paketnummer</w:t>
            </w:r>
          </w:p>
        </w:tc>
        <w:tc>
          <w:tcPr>
            <w:tcW w:w="3000" w:type="dxa"/>
          </w:tcPr>
          <w:p>
            <w:pPr>
              <w:spacing w:before="40" w:after="40"/>
            </w:pPr>
            <w:r>
              <w:t xml:space="preserve">REG_PACKET</w:t>
            </w:r>
          </w:p>
        </w:tc>
      </w:tr>
      <w:tr>
        <w:tc>
          <w:tcPr>
            <w:tcW w:w="1400" w:type="dxa"/>
          </w:tcPr>
          <w:p>
            <w:pPr>
              <w:spacing w:before="40" w:after="40"/>
            </w:pPr>
            <w:r>
              <w:t xml:space="preserve">11</w:t>
            </w:r>
          </w:p>
        </w:tc>
        <w:tc>
          <w:tcPr>
            <w:tcW w:w="4000" w:type="dxa"/>
          </w:tcPr>
          <w:p>
            <w:pPr>
              <w:spacing w:before="40" w:after="40"/>
            </w:pPr>
            <w:r>
              <w:t xml:space="preserve">GAK-Nummer</w:t>
            </w:r>
          </w:p>
        </w:tc>
        <w:tc>
          <w:tcPr>
            <w:tcW w:w="3000" w:type="dxa"/>
          </w:tcPr>
          <w:p>
            <w:pPr>
              <w:spacing w:before="40" w:after="40"/>
            </w:pPr>
            <w:r>
              <w:t xml:space="preserve">REG_GAK</w:t>
            </w:r>
          </w:p>
        </w:tc>
      </w:tr>
      <w:tr>
        <w:tc>
          <w:tcPr>
            <w:tcW w:w="1400" w:type="dxa"/>
          </w:tcPr>
          <w:p>
            <w:pPr>
              <w:spacing w:before="40" w:after="40"/>
            </w:pPr>
            <w:r>
              <w:t xml:space="preserve">12 – 19</w:t>
            </w:r>
          </w:p>
        </w:tc>
        <w:tc>
          <w:tcPr>
            <w:tcW w:w="4000" w:type="dxa"/>
          </w:tcPr>
          <w:p>
            <w:pPr>
              <w:spacing w:before="40" w:after="40"/>
            </w:pPr>
            <w:r>
              <w:t xml:space="preserve">Strang 1 bis 8 in mA</w:t>
            </w:r>
          </w:p>
        </w:tc>
        <w:tc>
          <w:tcPr>
            <w:tcW w:w="3000" w:type="dxa"/>
          </w:tcPr>
          <w:p>
            <w:pPr>
              <w:spacing w:before="40" w:after="40"/>
            </w:pPr>
            <w:r>
              <w:t xml:space="preserve">REG_VALUES + i</w:t>
            </w:r>
          </w:p>
        </w:tc>
      </w:tr>
    </w:tbl>
    <w:p>
      <w:pPr>
        <w:pStyle w:val="Heading2"/>
      </w:pPr>
      <w:r>
        <w:t xml:space="preserve">Aufbau eines Datensatzes auf der SD-Karte</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3600"/>
        <w:gridCol w:w="2400"/>
        <w:gridCol w:w="2400"/>
      </w:tblGrid>
      <w:tr>
        <w:tc>
          <w:tcPr>
            <w:tcW w:w="3600" w:type="dxa"/>
            <w:shd w:val="clear" w:fill="EFEFEF"/>
          </w:tcPr>
          <w:p>
            <w:pPr>
              <w:spacing w:before="40" w:after="40"/>
            </w:pPr>
            <w:r>
              <w:rPr>
                <w:b/>
              </w:rPr>
              <w:t xml:space="preserve">Feld</w:t>
            </w:r>
          </w:p>
        </w:tc>
        <w:tc>
          <w:tcPr>
            <w:tcW w:w="2400" w:type="dxa"/>
            <w:shd w:val="clear" w:fill="EFEFEF"/>
          </w:tcPr>
          <w:p>
            <w:pPr>
              <w:spacing w:before="40" w:after="40"/>
            </w:pPr>
            <w:r>
              <w:rPr>
                <w:b/>
              </w:rPr>
              <w:t xml:space="preserve">Typ</w:t>
            </w:r>
          </w:p>
        </w:tc>
        <w:tc>
          <w:tcPr>
            <w:tcW w:w="2400" w:type="dxa"/>
            <w:shd w:val="clear" w:fill="EFEFEF"/>
          </w:tcPr>
          <w:p>
            <w:pPr>
              <w:spacing w:before="40" w:after="40"/>
            </w:pPr>
            <w:r>
              <w:rPr>
                <w:b/>
              </w:rPr>
              <w:t xml:space="preserve">Größe</w:t>
            </w:r>
          </w:p>
        </w:tc>
      </w:tr>
      <w:tr>
        <w:tc>
          <w:tcPr>
            <w:tcW w:w="3600" w:type="dxa"/>
          </w:tcPr>
          <w:p>
            <w:pPr>
              <w:spacing w:before="40" w:after="40"/>
            </w:pPr>
            <w:r>
              <w:t xml:space="preserve">timestamp</w:t>
            </w:r>
          </w:p>
        </w:tc>
        <w:tc>
          <w:tcPr>
            <w:tcW w:w="2400" w:type="dxa"/>
          </w:tcPr>
          <w:p>
            <w:pPr>
              <w:spacing w:before="40" w:after="40"/>
            </w:pPr>
            <w:r>
              <w:t xml:space="preserve">uint32</w:t>
            </w:r>
          </w:p>
        </w:tc>
        <w:tc>
          <w:tcPr>
            <w:tcW w:w="2400" w:type="dxa"/>
          </w:tcPr>
          <w:p>
            <w:pPr>
              <w:spacing w:before="40" w:after="40"/>
            </w:pPr>
            <w:r>
              <w:t xml:space="preserve">4 Byte</w:t>
            </w:r>
          </w:p>
        </w:tc>
      </w:tr>
      <w:tr>
        <w:tc>
          <w:tcPr>
            <w:tcW w:w="3600" w:type="dxa"/>
          </w:tcPr>
          <w:p>
            <w:pPr>
              <w:spacing w:before="40" w:after="40"/>
            </w:pPr>
            <w:r>
              <w:t xml:space="preserve">packetNr</w:t>
            </w:r>
          </w:p>
        </w:tc>
        <w:tc>
          <w:tcPr>
            <w:tcW w:w="2400" w:type="dxa"/>
          </w:tcPr>
          <w:p>
            <w:pPr>
              <w:spacing w:before="40" w:after="40"/>
            </w:pPr>
            <w:r>
              <w:t xml:space="preserve">uint16</w:t>
            </w:r>
          </w:p>
        </w:tc>
        <w:tc>
          <w:tcPr>
            <w:tcW w:w="2400" w:type="dxa"/>
          </w:tcPr>
          <w:p>
            <w:pPr>
              <w:spacing w:before="40" w:after="40"/>
            </w:pPr>
            <w:r>
              <w:t xml:space="preserve">2 Byte</w:t>
            </w:r>
          </w:p>
        </w:tc>
      </w:tr>
      <w:tr>
        <w:tc>
          <w:tcPr>
            <w:tcW w:w="3600" w:type="dxa"/>
          </w:tcPr>
          <w:p>
            <w:pPr>
              <w:spacing w:before="40" w:after="40"/>
            </w:pPr>
            <w:r>
              <w:t xml:space="preserve">data.gakID</w:t>
            </w:r>
          </w:p>
        </w:tc>
        <w:tc>
          <w:tcPr>
            <w:tcW w:w="2400" w:type="dxa"/>
          </w:tcPr>
          <w:p>
            <w:pPr>
              <w:spacing w:before="40" w:after="40"/>
            </w:pPr>
            <w:r>
              <w:t xml:space="preserve">uint16</w:t>
            </w:r>
          </w:p>
        </w:tc>
        <w:tc>
          <w:tcPr>
            <w:tcW w:w="2400" w:type="dxa"/>
          </w:tcPr>
          <w:p>
            <w:pPr>
              <w:spacing w:before="40" w:after="40"/>
            </w:pPr>
            <w:r>
              <w:t xml:space="preserve">2 Byte</w:t>
            </w:r>
          </w:p>
        </w:tc>
      </w:tr>
      <w:tr>
        <w:tc>
          <w:tcPr>
            <w:tcW w:w="3600" w:type="dxa"/>
          </w:tcPr>
          <w:p>
            <w:pPr>
              <w:spacing w:before="40" w:after="40"/>
            </w:pPr>
            <w:r>
              <w:t xml:space="preserve">data.current_mA[8]</w:t>
            </w:r>
          </w:p>
        </w:tc>
        <w:tc>
          <w:tcPr>
            <w:tcW w:w="2400" w:type="dxa"/>
          </w:tcPr>
          <w:p>
            <w:pPr>
              <w:spacing w:before="40" w:after="40"/>
            </w:pPr>
            <w:r>
              <w:t xml:space="preserve">int16 × 8</w:t>
            </w:r>
          </w:p>
        </w:tc>
        <w:tc>
          <w:tcPr>
            <w:tcW w:w="2400" w:type="dxa"/>
          </w:tcPr>
          <w:p>
            <w:pPr>
              <w:spacing w:before="40" w:after="40"/>
            </w:pPr>
            <w:r>
              <w:t xml:space="preserve">16 Byte</w:t>
            </w:r>
          </w:p>
        </w:tc>
      </w:tr>
      <w:tr>
        <w:tc>
          <w:tcPr>
            <w:tcW w:w="3600" w:type="dxa"/>
          </w:tcPr>
          <w:p>
            <w:pPr>
              <w:spacing w:before="40" w:after="40"/>
            </w:pPr>
            <w:r>
              <w:t xml:space="preserve">Summe</w:t>
            </w:r>
          </w:p>
        </w:tc>
        <w:tc>
          <w:tcPr>
            <w:tcW w:w="2400" w:type="dxa"/>
          </w:tcPr>
          <w:p>
            <w:pPr>
              <w:spacing w:before="40" w:after="40"/>
            </w:pPr>
            <w:r>
              <w:t xml:space="preserve"/>
            </w:r>
          </w:p>
        </w:tc>
        <w:tc>
          <w:tcPr>
            <w:tcW w:w="2400" w:type="dxa"/>
          </w:tcPr>
          <w:p>
            <w:pPr>
              <w:spacing w:before="40" w:after="40"/>
            </w:pPr>
            <w:r>
              <w:t xml:space="preserve">24 Byte</w:t>
            </w:r>
          </w:p>
        </w:tc>
      </w:tr>
    </w:tbl>
    <w:p>
      <w:pPr>
        <w:pStyle w:val="Heading1"/>
      </w:pPr>
      <w:r>
        <w:t xml:space="preserve">2. Zeitsteuerung</w:t>
      </w:r>
    </w:p>
    <w:p>
      <w:pPr>
        <w:pStyle w:val="Heading3"/>
      </w:pPr>
      <w:r>
        <w:rPr>
          <w:rFonts w:ascii="Consolas" w:hAnsi="Consolas"/>
          <w:sz w:val="20"/>
        </w:rPr>
        <w:t xml:space="preserve">loop()</w:t>
      </w:r>
      <w:r>
        <w:t xml:space="preserve">   –   </w:t>
      </w:r>
      <w:r>
        <w:t xml:space="preserve">beide Programme</w:t>
      </w:r>
    </w:p>
    <w:p>
      <w:pPr/>
      <w:r>
        <w:t xml:space="preserve">Keine Aufgabe darf den Ablauf anhalten. Jede prüft selbst, ob sie an der Reihe ist, und kehrt sonst sofort zurück. Ein delay() an einer beliebigen Stelle würde den gesamten Prozessor blockieren: Der Logger könnte während der Wartezeit keine Browser-Anfrage beantworten, der Sensor keine Modbus-Anfrage.</w:t>
      </w:r>
    </w:p>
    <w:p>
      <w:pPr>
        <w:pStyle w:val="Quelle"/>
      </w:pPr>
      <w:r>
        <w:rPr>
          <w:b/>
        </w:rPr>
        <w:t xml:space="preserve">Quelle: </w:t>
      </w:r>
      <w:hyperlink r:id="rIdL100">
        <w:r>
          <w:rPr>
            <w:color w:val="0563C1"/>
            <w:u w:val="single"/>
          </w:rPr>
          <w:t xml:space="preserve">Arduino: Blink Without Delay</w:t>
        </w:r>
      </w:hyperlink>
      <w:r>
        <w:t xml:space="preserve">   |   </w:t>
      </w:r>
      <w:hyperlink r:id="rIdL101">
        <w:r>
          <w:rPr>
            <w:color w:val="0563C1"/>
            <w:u w:val="single"/>
          </w:rPr>
          <w:t xml:space="preserve">deutsche Fassung</w:t>
        </w:r>
      </w:hyperlink>
      <w:r>
        <w:t xml:space="preserve">   |   </w:t>
      </w:r>
      <w:hyperlink r:id="rIdL102">
        <w:r>
          <w:rPr>
            <w:color w:val="0563C1"/>
            <w:u w:val="single"/>
          </w:rPr>
          <w:t xml:space="preserve">Adafruit: Multi-Tasking mit millis()</w:t>
        </w:r>
      </w:hyperlink>
    </w:p>
    <w:p>
      <w:pPr>
        <w:pStyle w:val="Heading3"/>
      </w:pPr>
      <w:r>
        <w:rPr>
          <w:rFonts w:ascii="Consolas" w:hAnsi="Consolas"/>
          <w:sz w:val="20"/>
        </w:rPr>
        <w:t xml:space="preserve">currentMillis - lastModbusRead &gt;= INTERVAL_MEASURE</w:t>
      </w:r>
      <w:r>
        <w:t xml:space="preserve">   –   </w:t>
      </w:r>
      <w:r>
        <w:t xml:space="preserve">Projekt_Logger</w:t>
      </w:r>
    </w:p>
    <w:p>
      <w:pPr/>
      <w:r>
        <w:t xml:space="preserve">Die Bedingung ist absichtlich als Subtraktion geschrieben und nicht als Vergleich mit einem berechneten nächsten Zeitpunkt. millis() zählt in einer 32-Bit-Zahl und beginnt nach rund 49,7 Tagen wieder bei null. Die Subtraktion liefert auch über diesen Sprung hinweg das richtige Ergebnis, weil vorzeichenlos gerechnet wird und der Überlauf sich herauskürzt. Die andere Schreibweise bliebe an dieser Stelle einmalig fast 50 Tage lang hängen – bei einem Logger im Dauerbetrieb ein echter Fehler.</w:t>
      </w:r>
    </w:p>
    <w:p>
      <w:pPr>
        <w:pStyle w:val="Quelle"/>
      </w:pPr>
      <w:r>
        <w:rPr>
          <w:b/>
        </w:rPr>
        <w:t xml:space="preserve">Quelle: </w:t>
      </w:r>
      <w:hyperlink r:id="rIdL103">
        <w:r>
          <w:rPr>
            <w:color w:val="0563C1"/>
            <w:u w:val="single"/>
          </w:rPr>
          <w:t xml:space="preserve">Norwegian Creations: den millis()-Überlauf vermeiden</w:t>
        </w:r>
      </w:hyperlink>
    </w:p>
    <w:p>
      <w:pPr>
        <w:pStyle w:val="Heading1"/>
      </w:pPr>
      <w:r>
        <w:t xml:space="preserve">3. Datenformat und Dateizugriff</w:t>
      </w:r>
    </w:p>
    <w:p>
      <w:pPr>
        <w:pStyle w:val="Heading3"/>
      </w:pPr>
      <w:r>
        <w:rPr>
          <w:rFonts w:ascii="Consolas" w:hAnsi="Consolas"/>
          <w:sz w:val="20"/>
        </w:rPr>
        <w:t xml:space="preserve">#pragma pack(push, 1)</w:t>
      </w:r>
      <w:r>
        <w:t xml:space="preserve">   –   </w:t>
      </w:r>
      <w:r>
        <w:t xml:space="preserve">Projekt_Logger</w:t>
      </w:r>
    </w:p>
    <w:p>
      <w:pPr/>
      <w:r>
        <w:t xml:space="preserve">Ohne diese Anweisung fügt der Compiler unsichtbare Füllbytes zwischen die Felder ein, damit jedes an einer für den Prozessor günstigen Adresse liegt. Da die Struktur unverändert auf die SD-Karte geschrieben wird, hinge die Dateigröße sonst vom Compiler ab. Auf das Thema stößt man, sobald sizeof() mehr ergibt als die Summe der Feldgrößen.</w:t>
      </w:r>
    </w:p>
    <w:p>
      <w:pPr>
        <w:pStyle w:val="Quelle"/>
      </w:pPr>
      <w:r>
        <w:rPr>
          <w:b/>
        </w:rPr>
        <w:t xml:space="preserve">Quelle: </w:t>
      </w:r>
      <w:hyperlink r:id="rIdL104">
        <w:r>
          <w:rPr>
            <w:color w:val="0563C1"/>
            <w:u w:val="single"/>
          </w:rPr>
          <w:t xml:space="preserve">Structure Padding und Data Packing</w:t>
        </w:r>
      </w:hyperlink>
      <w:r>
        <w:t xml:space="preserve">   |   </w:t>
      </w:r>
      <w:hyperlink r:id="rIdL105">
        <w:r>
          <w:rPr>
            <w:color w:val="0563C1"/>
            <w:u w:val="single"/>
          </w:rPr>
          <w:t xml:space="preserve">Microsoft: pragma pack</w:t>
        </w:r>
      </w:hyperlink>
    </w:p>
    <w:p>
      <w:pPr>
        <w:pStyle w:val="Heading3"/>
      </w:pPr>
      <w:r>
        <w:rPr>
          <w:rFonts w:ascii="Consolas" w:hAnsi="Consolas"/>
          <w:sz w:val="20"/>
        </w:rPr>
        <w:t xml:space="preserve">static_assert(sizeof(StorageRecord) == 24, ...)</w:t>
      </w:r>
      <w:r>
        <w:t xml:space="preserve">   –   </w:t>
      </w:r>
      <w:r>
        <w:t xml:space="preserve">Projekt_Logger</w:t>
      </w:r>
    </w:p>
    <w:p>
      <w:pPr/>
      <w:r>
        <w:t xml:space="preserve">Die Prüfung sichert zu, dass ein Datensatz genau 24 Byte groß bleibt, und bricht den Build sonst mit einer eigenen Meldung ab. Sie erzeugt keinen Code und kostet keinen Speicher, weil sie nur beim Übersetzen ausgewertet wird.</w:t>
      </w:r>
    </w:p>
    <w:p>
      <w:pPr>
        <w:pStyle w:val="Quelle"/>
      </w:pPr>
      <w:r>
        <w:rPr>
          <w:b/>
        </w:rPr>
        <w:t xml:space="preserve">Wie man darauf kommt: </w:t>
      </w:r>
      <w:r>
        <w:t xml:space="preserve">Der Gedanke entsteht aus der Frage „Was passiert, wenn später jemand ein Feld ergänzt oder einen Typ ändert?“ Die Antwort: Alle bisher aufgezeichneten Dateien wären unlesbar, und zwar ohne jede Fehlermeldung – der Logger würde einfach falsche Werte ausgeben. Ein Fehler, der erst Monate später beim Auswerten auffällt, ist der teuerste Fall. Also verlegt man ihn auf den frühestmöglichen Zeitpunkt, an dem er noch nichts kostet: den Compiler. Das ist der eigentliche Zweck von static_assert – eine Annahme, die stillschweigend im Code steckt, für den Compiler ausdrücklich hinschreiben.</w:t>
      </w:r>
    </w:p>
    <w:p>
      <w:pPr>
        <w:pStyle w:val="Quelle"/>
      </w:pPr>
      <w:r>
        <w:rPr>
          <w:b/>
        </w:rPr>
        <w:t xml:space="preserve">Quelle: </w:t>
      </w:r>
      <w:hyperlink r:id="rIdL106">
        <w:r>
          <w:rPr>
            <w:color w:val="0563C1"/>
            <w:u w:val="single"/>
          </w:rPr>
          <w:t xml:space="preserve">cppreference: static_assert</w:t>
        </w:r>
      </w:hyperlink>
    </w:p>
    <w:p>
      <w:pPr>
        <w:pStyle w:val="Heading3"/>
      </w:pPr>
      <w:r>
        <w:rPr>
          <w:rFonts w:ascii="Consolas" w:hAnsi="Consolas"/>
          <w:sz w:val="20"/>
        </w:rPr>
        <w:t xml:space="preserve">file.write((const uint8_t*)&amp;record, sizeof(StorageRecord))</w:t>
      </w:r>
      <w:r>
        <w:t xml:space="preserve">   –   </w:t>
      </w:r>
      <w:r>
        <w:t xml:space="preserve">Projekt_Logger</w:t>
      </w:r>
    </w:p>
    <w:p>
      <w:pPr/>
      <w:r>
        <w:t xml:space="preserve">Die Umwandlung übergibt der Datei die Speicheradresse der Struktur, deren Inhalt dadurch unverändert byteweise geschrieben wird. Beim Lesen läuft es genau umgekehrt. Voraussetzung ist die feste Größe aus dem vorigen Punkt.</w:t>
      </w:r>
    </w:p>
    <w:p>
      <w:pPr>
        <w:pStyle w:val="Quelle"/>
      </w:pPr>
      <w:r>
        <w:rPr>
          <w:b/>
        </w:rPr>
        <w:t xml:space="preserve">Wie man darauf kommt: </w:t>
      </w:r>
      <w:r>
        <w:t xml:space="preserve">Man sucht nach einer Möglichkeit, Daten kompakt abzulegen, und stellt fest, dass die Struktur im Arbeitsspeicher bereits genau das gewünschte Byte-Muster hat. Es genügt also, dem Dateisystem zu sagen, wo diese Bytes liegen, statt sie erst in Text umzuwandeln. Textform braucht nur der Mensch – und der bekommt sie beim Download erzeugt.</w:t>
      </w:r>
    </w:p>
    <w:p>
      <w:pPr>
        <w:pStyle w:val="Heading3"/>
      </w:pPr>
      <w:r>
        <w:rPr>
          <w:rFonts w:ascii="Consolas" w:hAnsi="Consolas"/>
          <w:sz w:val="20"/>
        </w:rPr>
        <w:t xml:space="preserve">if (file.read(...) != (int)sizeof(StorageRecord)) break;</w:t>
      </w:r>
      <w:r>
        <w:t xml:space="preserve">   –   </w:t>
      </w:r>
      <w:r>
        <w:t xml:space="preserve">Projekt_Logger</w:t>
      </w:r>
    </w:p>
    <w:p>
      <w:pPr/>
      <w:r>
        <w:t xml:space="preserve">read() liefert die Anzahl der tatsächlich gelesenen Bytes. Wird die Datei durch einen Stromausfall mitten im Schreiben abgeschnitten, kommt beim letzten Durchlauf weniger als ein vollständiger Datensatz zurück.</w:t>
      </w:r>
    </w:p>
    <w:p>
      <w:pPr>
        <w:pStyle w:val="Quelle"/>
      </w:pPr>
      <w:r>
        <w:rPr>
          <w:b/>
        </w:rPr>
        <w:t xml:space="preserve">Wie man darauf kommt: </w:t>
      </w:r>
      <w:r>
        <w:t xml:space="preserve">Die Frage „Was passiert bei Stromausfall?“ gehört bei einem Gerät im Dauerbetrieb zum Pflichtprogramm. Ohne die Prüfung landete der halbe Datensatz als scheinbar gültige Zeile in der CSV-Datei. Die Abfrage kostet eine Zeile.</w:t>
      </w:r>
    </w:p>
    <w:p>
      <w:pPr>
        <w:pStyle w:val="Heading1"/>
      </w:pPr>
      <w:r>
        <w:t xml:space="preserve">4. Hardware-Anbindung</w:t>
      </w:r>
    </w:p>
    <w:p>
      <w:pPr>
        <w:pStyle w:val="Heading3"/>
      </w:pPr>
      <w:r>
        <w:rPr>
          <w:rFonts w:ascii="Consolas" w:hAnsi="Consolas"/>
          <w:sz w:val="20"/>
        </w:rPr>
        <w:t xml:space="preserve">SPIClass sdSPI(VSPI)</w:t>
      </w:r>
      <w:r>
        <w:t xml:space="preserve">   –   </w:t>
      </w:r>
      <w:r>
        <w:t xml:space="preserve">Projekt_Logger</w:t>
      </w:r>
    </w:p>
    <w:p>
      <w:pPr/>
      <w:r>
        <w:t xml:space="preserve">Der ESP32 hat zwei nutzbare SPI-Busse mit jeweils festen Standardpins. Da die SD-Karte an anderen Pins hängt, muss ein eigenes SPIClass-Objekt angelegt, mit den gewünschten Pins gestartet und an SD.begin() übergeben werden. Es muss global stehen – innerhalb von setup() würde es beim Verlassen zerstört, und die SD-Karte fiele danach aus.</w:t>
      </w:r>
    </w:p>
    <w:p>
      <w:pPr>
        <w:pStyle w:val="Quelle"/>
      </w:pPr>
      <w:r>
        <w:rPr>
          <w:b/>
        </w:rPr>
        <w:t xml:space="preserve">Quelle: </w:t>
      </w:r>
      <w:hyperlink r:id="rIdL107">
        <w:r>
          <w:rPr>
            <w:color w:val="0563C1"/>
            <w:u w:val="single"/>
          </w:rPr>
          <w:t xml:space="preserve">Random Nerd Tutorials: MicroSD mit eigenen Pins</w:t>
        </w:r>
      </w:hyperlink>
      <w:r>
        <w:t xml:space="preserve">   |   </w:t>
      </w:r>
      <w:hyperlink r:id="rIdL108">
        <w:r>
          <w:rPr>
            <w:color w:val="0563C1"/>
            <w:u w:val="single"/>
          </w:rPr>
          <w:t xml:space="preserve">SPI beim ESP32</w:t>
        </w:r>
      </w:hyperlink>
    </w:p>
    <w:p>
      <w:pPr>
        <w:pStyle w:val="Heading3"/>
      </w:pPr>
      <w:r>
        <w:rPr>
          <w:rFonts w:ascii="Consolas" w:hAnsi="Consolas"/>
          <w:sz w:val="20"/>
        </w:rPr>
        <w:t xml:space="preserve">#define ETH_PHY_ADDR … vor #include &lt;ETH.h&gt;</w:t>
      </w:r>
      <w:r>
        <w:t xml:space="preserve">   –   </w:t>
      </w:r>
      <w:r>
        <w:t xml:space="preserve">Projekt_Logger</w:t>
      </w:r>
    </w:p>
    <w:p>
      <w:pPr/>
      <w:r>
        <w:t xml:space="preserve">Die Reihenfolge ist nicht beliebig. Die Bibliothek setzt für diese Namen eigene Standardwerte, allerdings nur, wenn sie noch nicht definiert sind (#ifndef). Stehen die eigenen Werte vorher, gewinnen sie. Stehen sie danach, meldet der Compiler „macro redefined“.</w:t>
      </w:r>
    </w:p>
    <w:p>
      <w:pPr>
        <w:pStyle w:val="Quelle"/>
      </w:pPr>
      <w:r>
        <w:rPr>
          <w:b/>
        </w:rPr>
        <w:t xml:space="preserve">Wie man darauf kommt: </w:t>
      </w:r>
      <w:r>
        <w:t xml:space="preserve">Man erhält die Warnung, öffnet die Header-Datei der Bibliothek und sieht dort die #ifndef-Blöcke. Daraus folgt die richtige Reihenfolge unmittelbar. Der Blick in die Header-Datei einer Bibliothek ist fast immer schneller als die Suche in einem Forum.</w:t>
      </w:r>
    </w:p>
    <w:p>
      <w:pPr>
        <w:pStyle w:val="Quelle"/>
      </w:pPr>
      <w:r>
        <w:rPr>
          <w:b/>
        </w:rPr>
        <w:t xml:space="preserve">Quelle: </w:t>
      </w:r>
      <w:hyperlink r:id="rIdL109">
        <w:r>
          <w:rPr>
            <w:color w:val="0563C1"/>
            <w:u w:val="single"/>
          </w:rPr>
          <w:t xml:space="preserve">Pinbelegung des WT32-ETH01</w:t>
        </w:r>
      </w:hyperlink>
    </w:p>
    <w:p>
      <w:pPr>
        <w:pStyle w:val="Heading3"/>
      </w:pPr>
      <w:r>
        <w:rPr>
          <w:rFonts w:ascii="Consolas" w:hAnsi="Consolas"/>
          <w:sz w:val="20"/>
        </w:rPr>
        <w:t xml:space="preserve">Kein Setzen einer eigenen MAC-Adresse</w:t>
      </w:r>
      <w:r>
        <w:t xml:space="preserve">   –   </w:t>
      </w:r>
      <w:r>
        <w:t xml:space="preserve">Projekt_Logger</w:t>
      </w:r>
    </w:p>
    <w:p>
      <w:pPr/>
      <w:r>
        <w:t xml:space="preserve">Eine frühere Fassung rief ETH.macAddress(mac) auf, in der Annahme, damit eine eigene MAC-Adresse festzulegen. Im Quelltext der Bibliothek steht dahinter jedoch ein Lesebefehl (ETH_CMD_G_MAC_ADDR, G wie Get). Die Funktion schreibt die vorhandene Adresse in das übergebene Feld, statt eine neue zu setzen – der Aufruf war wirkungslos und wurde entfernt. Genutzt wird die ab Werk im Chip hinterlegte Adresse.</w:t>
      </w:r>
    </w:p>
    <w:p>
      <w:pPr>
        <w:pStyle w:val="Quelle"/>
      </w:pPr>
      <w:r>
        <w:rPr>
          <w:b/>
        </w:rPr>
        <w:t xml:space="preserve">Wie man darauf kommt: </w:t>
      </w:r>
      <w:r>
        <w:t xml:space="preserve">Bei einer Bibliotheksfunktion, deren Wirkung man nicht messen kann, hilft nur der Blick in den Quelltext. Bei Arduino-Bibliotheken liegt der auf der eigenen Festplatte und ist offen einsehbar.</w:t>
      </w:r>
    </w:p>
    <w:p>
      <w:pPr>
        <w:pStyle w:val="Quelle"/>
      </w:pPr>
      <w:r>
        <w:rPr>
          <w:b/>
        </w:rPr>
        <w:t xml:space="preserve">Quelle: </w:t>
      </w:r>
      <w:hyperlink r:id="rIdL110">
        <w:r>
          <w:rPr>
            <w:color w:val="0563C1"/>
            <w:u w:val="single"/>
          </w:rPr>
          <w:t xml:space="preserve">Quelltext der ETH-Bibliothek</w:t>
        </w:r>
      </w:hyperlink>
    </w:p>
    <w:p>
      <w:pPr>
        <w:pStyle w:val="Heading1"/>
      </w:pPr>
      <w:r>
        <w:t xml:space="preserve">5. Uhrzeit</w:t>
      </w:r>
    </w:p>
    <w:p>
      <w:pPr>
        <w:pStyle w:val="Heading3"/>
      </w:pPr>
      <w:r>
        <w:rPr>
          <w:rFonts w:ascii="Consolas" w:hAnsi="Consolas"/>
          <w:sz w:val="20"/>
        </w:rPr>
        <w:t xml:space="preserve">setenv("TZ", "CET-1CEST,M3.5.0,M10.5.0/3", 1)</w:t>
      </w:r>
      <w:r>
        <w:t xml:space="preserve">   –   </w:t>
      </w:r>
      <w:r>
        <w:t xml:space="preserve">Projekt_Logger</w:t>
      </w:r>
    </w:p>
    <w:p>
      <w:pPr/>
      <w:r>
        <w:t xml:space="preserve">Die beiden Nullen in configTime bedeuten: keine feste Zeitverschiebung und keine Sommerzeitregel – beides wird stattdessen über die Zeichenkette TZ gesetzt. Sie liest sich wie folgt: CET ist die Normalzeit, −1 die Verschiebung gegenüber UTC, CEST die Sommerzeit. M3.5.0 heißt dritter Monat, fünfte (also letzte) Woche, Tag 0 (Sonntag); M10.5.0/3 entsprechend letzter Sonntag im Oktober um 3 Uhr. Der ESP32 rechnet die Umstellung damit selbst aus und braucht dafür keine Netzwerkabfrage.</w:t>
      </w:r>
    </w:p>
    <w:p>
      <w:pPr>
        <w:pStyle w:val="Quelle"/>
      </w:pPr>
      <w:r>
        <w:rPr>
          <w:b/>
        </w:rPr>
        <w:t xml:space="preserve">Quelle: </w:t>
      </w:r>
      <w:hyperlink r:id="rIdL111">
        <w:r>
          <w:rPr>
            <w:color w:val="0563C1"/>
            <w:u w:val="single"/>
          </w:rPr>
          <w:t xml:space="preserve">Random Nerd Tutorials: NTP, Zeitzonen und Sommerzeit</w:t>
        </w:r>
      </w:hyperlink>
      <w:r>
        <w:t xml:space="preserve">   |   </w:t>
      </w:r>
      <w:hyperlink r:id="rIdL112">
        <w:r>
          <w:rPr>
            <w:color w:val="0563C1"/>
            <w:u w:val="single"/>
          </w:rPr>
          <w:t xml:space="preserve">Aufbau der TZ-Zeichenkette</w:t>
        </w:r>
      </w:hyperlink>
    </w:p>
    <w:p>
      <w:pPr>
        <w:pStyle w:val="Heading3"/>
      </w:pPr>
      <w:r>
        <w:rPr>
          <w:rFonts w:ascii="Consolas" w:hAnsi="Consolas"/>
          <w:sz w:val="20"/>
        </w:rPr>
        <w:t xml:space="preserve">TIME_VALID_FROM = 1788213600</w:t>
      </w:r>
      <w:r>
        <w:t xml:space="preserve">   –   </w:t>
      </w:r>
      <w:r>
        <w:t xml:space="preserve">Projekt_Logger</w:t>
      </w:r>
    </w:p>
    <w:p>
      <w:pPr/>
      <w:r>
        <w:t xml:space="preserve">Ohne Netzwerk beginnt die interne Uhr bei null, also 1970. Der Vergleich gegen einen festen Zeitpunkt erkennt daran zuverlässig, ob die Uhr schon gestellt wurde. Der Wert entspricht dem 01.09.2026.</w:t>
      </w:r>
    </w:p>
    <w:p>
      <w:pPr>
        <w:pStyle w:val="Quelle"/>
      </w:pPr>
      <w:r>
        <w:rPr>
          <w:b/>
        </w:rPr>
        <w:t xml:space="preserve">Wie man darauf kommt: </w:t>
      </w:r>
      <w:r>
        <w:t xml:space="preserve">Man braucht ein Kriterium für „Uhr noch nicht gestellt“. Da die Uhr bei null startet und NTP einen aktuellen Wert liefert, genügt eine feste Grenze irgendwo dazwischen. Sinnvoll ist ein Datum kurz vor Inbetriebnahme – dann gilt jeder Wert davor als ungestellt, und der Vergleich bleibt gültig, solange die Anlage läuft.</w:t>
      </w:r>
    </w:p>
    <w:p>
      <w:pPr>
        <w:pStyle w:val="Heading3"/>
      </w:pPr>
      <w:r>
        <w:rPr>
          <w:rFonts w:ascii="Consolas" w:hAnsi="Consolas"/>
          <w:sz w:val="20"/>
        </w:rPr>
        <w:t xml:space="preserve">strftime(...) und der UNIX-Zeitstempel</w:t>
      </w:r>
      <w:r>
        <w:t xml:space="preserve">   –   </w:t>
      </w:r>
      <w:r>
        <w:t xml:space="preserve">Projekt_Logger</w:t>
      </w:r>
    </w:p>
    <w:p>
      <w:pPr/>
      <w:r>
        <w:t xml:space="preserve">Gespeichert wird die Zeit als Sekundenzahl seit dem 01.01.1970. Das passt in vier Byte, während eine lesbare Zeichenkette 19 Byte bräuchte. Erst beim Download entsteht daraus mit strftime das Format „JJJJ-MM-TT HH:MM:SS“.</w:t>
      </w:r>
    </w:p>
    <w:p>
      <w:pPr>
        <w:pStyle w:val="Quelle"/>
      </w:pPr>
      <w:r>
        <w:rPr>
          <w:b/>
        </w:rPr>
        <w:t xml:space="preserve">Quelle: </w:t>
      </w:r>
      <w:hyperlink r:id="rIdL113">
        <w:r>
          <w:rPr>
            <w:color w:val="0563C1"/>
            <w:u w:val="single"/>
          </w:rPr>
          <w:t xml:space="preserve">Unixzeit</w:t>
        </w:r>
      </w:hyperlink>
      <w:r>
        <w:t xml:space="preserve">   |   </w:t>
      </w:r>
      <w:hyperlink r:id="rIdL114">
        <w:r>
          <w:rPr>
            <w:color w:val="0563C1"/>
            <w:u w:val="single"/>
          </w:rPr>
          <w:t xml:space="preserve">cppreference: strftime</w:t>
        </w:r>
      </w:hyperlink>
    </w:p>
    <w:p>
      <w:pPr>
        <w:pStyle w:val="Heading1"/>
      </w:pPr>
      <w:r>
        <w:t xml:space="preserve">6. Webserver und CSV-Download</w:t>
      </w:r>
    </w:p>
    <w:p>
      <w:pPr>
        <w:pStyle w:val="Heading3"/>
      </w:pPr>
      <w:r>
        <w:rPr>
          <w:rFonts w:ascii="Consolas" w:hAnsi="Consolas"/>
          <w:sz w:val="20"/>
        </w:rPr>
        <w:t xml:space="preserve">server.setContentLength(CONTENT_LENGTH_UNKNOWN)</w:t>
      </w:r>
      <w:r>
        <w:t xml:space="preserve">   –   </w:t>
      </w:r>
      <w:r>
        <w:t xml:space="preserve">Projekt_Logger</w:t>
      </w:r>
    </w:p>
    <w:p>
      <w:pPr/>
      <w:r>
        <w:t xml:space="preserve">Normalerweise teilt ein Server dem Browser vorab die Größe der Antwort mit. Beim CSV-Download steht die aber erst fest, wenn alle Datensätze umgewandelt sind. Mit dieser Konstante schaltet der Server auf „chunked transfer encoding“ um und sendet die Daten in Stücken. Das leere Stück am Ende (sendContent("")) signalisiert den Abschluss – ohne das wartet der Browser weiter.</w:t>
      </w:r>
    </w:p>
    <w:p>
      <w:pPr>
        <w:pStyle w:val="Quelle"/>
      </w:pPr>
      <w:r>
        <w:rPr>
          <w:b/>
        </w:rPr>
        <w:t xml:space="preserve">Quelle: </w:t>
      </w:r>
      <w:hyperlink r:id="rIdL115">
        <w:r>
          <w:rPr>
            <w:color w:val="0563C1"/>
            <w:u w:val="single"/>
          </w:rPr>
          <w:t xml:space="preserve">MDN: Transfer-Encoding und chunked</w:t>
        </w:r>
      </w:hyperlink>
    </w:p>
    <w:p>
      <w:pPr>
        <w:pStyle w:val="Heading3"/>
      </w:pPr>
      <w:r>
        <w:rPr>
          <w:rFonts w:ascii="Consolas" w:hAnsi="Consolas"/>
          <w:sz w:val="20"/>
        </w:rPr>
        <w:t xml:space="preserve">sendHeader("Content-Disposition", "attachment; …")</w:t>
      </w:r>
      <w:r>
        <w:t xml:space="preserve">   –   </w:t>
      </w:r>
      <w:r>
        <w:t xml:space="preserve">Projekt_Logger</w:t>
      </w:r>
    </w:p>
    <w:p>
      <w:pPr/>
      <w:r>
        <w:t xml:space="preserve">Ohne diesen Eintrag zeigt der Browser die CSV-Datei als Text im Fenster an. Mit ihm wird sie unter dem angegebenen Namen gespeichert.</w:t>
      </w:r>
    </w:p>
    <w:p>
      <w:pPr>
        <w:pStyle w:val="Quelle"/>
      </w:pPr>
      <w:r>
        <w:rPr>
          <w:b/>
        </w:rPr>
        <w:t xml:space="preserve">Quelle: </w:t>
      </w:r>
      <w:hyperlink r:id="rIdL116">
        <w:r>
          <w:rPr>
            <w:color w:val="0563C1"/>
            <w:u w:val="single"/>
          </w:rPr>
          <w:t xml:space="preserve">MDN: Content-Disposition</w:t>
        </w:r>
      </w:hyperlink>
    </w:p>
    <w:p>
      <w:pPr>
        <w:pStyle w:val="Heading3"/>
      </w:pPr>
      <w:r>
        <w:rPr>
          <w:rFonts w:ascii="Consolas" w:hAnsi="Consolas"/>
          <w:sz w:val="20"/>
        </w:rPr>
        <w:t xml:space="preserve">SEND_BUFFER_SIZE und bufferFill</w:t>
      </w:r>
      <w:r>
        <w:t xml:space="preserve">   –   </w:t>
      </w:r>
      <w:r>
        <w:t xml:space="preserve">Projekt_Logger</w:t>
      </w:r>
    </w:p>
    <w:p>
      <w:pPr/>
      <w:r>
        <w:t xml:space="preserve">Die fertigen Textzeilen werden in einem 2-kB-Puffer gesammelt und erst am Stück verschickt. Jedes einzeln gesendete Stück erzeugt sonst einen eigenen Netzwerk-Kopf; bei mehreren tausend Datensätzen überwiegt dieser Verwaltungsaufwand die Nutzdaten deutlich und der Download wird sehr langsam.</w:t>
      </w:r>
    </w:p>
    <w:p>
      <w:pPr>
        <w:pStyle w:val="Quelle"/>
      </w:pPr>
      <w:r>
        <w:rPr>
          <w:b/>
        </w:rPr>
        <w:t xml:space="preserve">Wie man darauf kommt: </w:t>
      </w:r>
      <w:r>
        <w:t xml:space="preserve">Das Muster kennt man aus dem Alltag: Ein voller Karton ist schneller verschickt als hundert Einzelbriefe. In der Programmierung heißt es Buffering und lohnt sich überall dort, wo jeder einzelne Vorgang einen festen Grundaufwand hat – bei Netzwerkpaketen ebenso wie bei Schreibzugriffen.</w:t>
      </w:r>
    </w:p>
    <w:p>
      <w:pPr>
        <w:pStyle w:val="Heading3"/>
      </w:pPr>
      <w:r>
        <w:rPr>
          <w:rFonts w:ascii="Consolas" w:hAnsi="Consolas"/>
          <w:sz w:val="20"/>
        </w:rPr>
        <w:t xml:space="preserve">html.reserve(2500)</w:t>
      </w:r>
      <w:r>
        <w:t xml:space="preserve">   –   </w:t>
      </w:r>
      <w:r>
        <w:t xml:space="preserve">Projekt_Logger</w:t>
      </w:r>
    </w:p>
    <w:p>
      <w:pPr/>
      <w:r>
        <w:t xml:space="preserve">Jedes += bei einem String fordert neuen Speicher an und kopiert den bisherigen Inhalt um; der freigegebene Bereich hinterlässt eine Lücke. Auf einem Mikrocontroller führt das mit der Zeit zu einem löchrigen Speicher und irgendwann zu Abstürzen, obwohl rechnerisch genug frei wäre. reserve() fordert den Platz einmal am Stück an.</w:t>
      </w:r>
    </w:p>
    <w:p>
      <w:pPr>
        <w:pStyle w:val="Quelle"/>
      </w:pPr>
      <w:r>
        <w:rPr>
          <w:b/>
        </w:rPr>
        <w:t xml:space="preserve">Quelle: </w:t>
      </w:r>
      <w:hyperlink r:id="rIdL117">
        <w:r>
          <w:rPr>
            <w:color w:val="0563C1"/>
            <w:u w:val="single"/>
          </w:rPr>
          <w:t xml:space="preserve">Was ist Heap-Fragmentierung?</w:t>
        </w:r>
      </w:hyperlink>
      <w:r>
        <w:t xml:space="preserve">   |   </w:t>
      </w:r>
      <w:hyperlink r:id="rIdL118">
        <w:r>
          <w:rPr>
            <w:color w:val="0563C1"/>
            <w:u w:val="single"/>
          </w:rPr>
          <w:t xml:space="preserve">Adafruit: SRAM optimieren</w:t>
        </w:r>
      </w:hyperlink>
    </w:p>
    <w:p>
      <w:pPr>
        <w:pStyle w:val="Heading3"/>
      </w:pPr>
      <w:r>
        <w:rPr>
          <w:rFonts w:ascii="Consolas" w:hAnsi="Consolas"/>
          <w:sz w:val="20"/>
        </w:rPr>
        <w:t xml:space="preserve">snprintf statt sprintf</w:t>
      </w:r>
      <w:r>
        <w:t xml:space="preserve">   –   </w:t>
      </w:r>
      <w:r>
        <w:t xml:space="preserve">Projekt_Logger</w:t>
      </w:r>
    </w:p>
    <w:p>
      <w:pPr/>
      <w:r>
        <w:t xml:space="preserve">snprintf bekommt zusätzlich die Größe des Zielpuffers und schreibt niemals darüber hinaus. sprintf hat diese Grenze nicht und überschreibt im Fehlerfall benachbarten Speicher – ein Fehler, der sich als scheinbar zufälliger Absturz an ganz anderer Stelle zeigt und entsprechend schwer zu finden ist.</w:t>
      </w:r>
    </w:p>
    <w:p>
      <w:pPr>
        <w:pStyle w:val="Quelle"/>
      </w:pPr>
      <w:r>
        <w:rPr>
          <w:b/>
        </w:rPr>
        <w:t xml:space="preserve">Quelle: </w:t>
      </w:r>
      <w:hyperlink r:id="rIdL119">
        <w:r>
          <w:rPr>
            <w:color w:val="0563C1"/>
            <w:u w:val="single"/>
          </w:rPr>
          <w:t xml:space="preserve">cppreference: printf-Familie</w:t>
        </w:r>
      </w:hyperlink>
    </w:p>
    <w:p>
      <w:pPr>
        <w:pStyle w:val="Heading3"/>
      </w:pPr>
      <w:r>
        <w:rPr>
          <w:rFonts w:ascii="Consolas" w:hAnsi="Consolas"/>
          <w:sz w:val="20"/>
        </w:rPr>
        <w:t xml:space="preserve">&lt;meta http-equiv='refresh' content='5'&gt;</w:t>
      </w:r>
      <w:r>
        <w:t xml:space="preserve">   –   </w:t>
      </w:r>
      <w:r>
        <w:t xml:space="preserve">Projekt_Logger</w:t>
      </w:r>
    </w:p>
    <w:p>
      <w:pPr/>
      <w:r>
        <w:t xml:space="preserve">Lässt den Browser die Seite alle fünf Sekunden neu laden. Ohne diese Zeile stehen auf einer Seite mit der Überschrift „Live-Werte“ dauerhaft die Werte vom Zeitpunkt des Aufrufs.</w:t>
      </w:r>
    </w:p>
    <w:p>
      <w:pPr>
        <w:pStyle w:val="Quelle"/>
      </w:pPr>
      <w:r>
        <w:rPr>
          <w:b/>
        </w:rPr>
        <w:t xml:space="preserve">Wie man darauf kommt: </w:t>
      </w:r>
      <w:r>
        <w:t xml:space="preserve">Der Bedarf fällt beim ersten Test sofort auf. Die saubere Lösung wäre, nur die Werte im Hintergrund nachzuladen; für eine Statusseite auf einem Mikrocontroller genügt die einfache Variante und kommt ohne zusätzlichen Code aus.</w:t>
      </w:r>
    </w:p>
    <w:p>
      <w:pPr>
        <w:pStyle w:val="Heading1"/>
      </w:pPr>
      <w:r>
        <w:t xml:space="preserve">7. Modbus</w:t>
      </w:r>
    </w:p>
    <w:p>
      <w:pPr>
        <w:pStyle w:val="Heading3"/>
      </w:pPr>
      <w:r>
        <w:rPr>
          <w:rFonts w:ascii="Consolas" w:hAnsi="Consolas"/>
          <w:sz w:val="20"/>
        </w:rPr>
        <w:t xml:space="preserve">node.readHoldingRegisters(MODBUS_START_REG, MODBUS_REG_COUNT)</w:t>
      </w:r>
      <w:r>
        <w:t xml:space="preserve">   –   </w:t>
      </w:r>
      <w:r>
        <w:t xml:space="preserve">Projekt_Logger</w:t>
      </w:r>
    </w:p>
    <w:p>
      <w:pPr/>
      <w:r>
        <w:t xml:space="preserve">Entspricht dem Modbus-Funktionscode 3. Holding-Register sind 16 Bit breit und les- wie schreibbar; sie sind der übliche Ort für Messwerte. Auf der Gegenseite muss jedes Register zuvor mit addHreg angelegt worden sein, sonst antwortet der Slave mit dem Fehler „Illegal Data Address“ – ein Zusammenhang, der beim ersten Aufbau regelmäßig Zeit kostet.</w:t>
      </w:r>
    </w:p>
    <w:p>
      <w:pPr>
        <w:pStyle w:val="Quelle"/>
      </w:pPr>
      <w:r>
        <w:rPr>
          <w:b/>
        </w:rPr>
        <w:t xml:space="preserve">Quelle: </w:t>
      </w:r>
      <w:hyperlink r:id="rIdL120">
        <w:r>
          <w:rPr>
            <w:color w:val="0563C1"/>
            <w:u w:val="single"/>
          </w:rPr>
          <w:t xml:space="preserve">Einführung in Modbus und die Funktionscodes</w:t>
        </w:r>
      </w:hyperlink>
      <w:r>
        <w:t xml:space="preserve">   |   </w:t>
      </w:r>
      <w:hyperlink r:id="rIdL121">
        <w:r>
          <w:rPr>
            <w:color w:val="0563C1"/>
            <w:u w:val="single"/>
          </w:rPr>
          <w:t xml:space="preserve">Spezifikation</w:t>
        </w:r>
      </w:hyperlink>
    </w:p>
    <w:p>
      <w:pPr>
        <w:pStyle w:val="Quelle"/>
      </w:pPr>
      <w:r>
        <w:rPr>
          <w:b/>
        </w:rPr>
        <w:t xml:space="preserve">Quelle: </w:t>
      </w:r>
      <w:hyperlink r:id="rIdL122">
        <w:r>
          <w:rPr>
            <w:color w:val="0563C1"/>
            <w:u w:val="single"/>
          </w:rPr>
          <w:t xml:space="preserve">ModbusMaster (Logger)</w:t>
        </w:r>
      </w:hyperlink>
      <w:r>
        <w:t xml:space="preserve">   |   </w:t>
      </w:r>
      <w:hyperlink r:id="rIdL123">
        <w:r>
          <w:rPr>
            <w:color w:val="0563C1"/>
            <w:u w:val="single"/>
          </w:rPr>
          <w:t xml:space="preserve">modbus-esp8266 (Sensor)</w:t>
        </w:r>
      </w:hyperlink>
    </w:p>
    <w:p>
      <w:pPr>
        <w:pStyle w:val="Heading3"/>
      </w:pPr>
      <w:r>
        <w:rPr>
          <w:rFonts w:ascii="Consolas" w:hAnsi="Consolas"/>
          <w:sz w:val="20"/>
        </w:rPr>
        <w:t xml:space="preserve">(uint16_t)milliampere  /  (int16_t)node.getResponseBuffer(...)</w:t>
      </w:r>
      <w:r>
        <w:t xml:space="preserve">   –   </w:t>
      </w:r>
      <w:r>
        <w:t xml:space="preserve">beide Programme</w:t>
      </w:r>
    </w:p>
    <w:p>
      <w:pPr/>
      <w:r>
        <w:t xml:space="preserve">Modbus überträgt Register grundsätzlich ohne Vorzeichen. Der Sensor wandelt seinen vorzeichenbehafteten Messwert deshalb in eine vorzeichenlose Zahl um, der Logger wandelt ihn zurück. Das Bitmuster bleibt dabei unverändert: Aus −1 wird 65535 und beim Logger wieder −1.</w:t>
      </w:r>
    </w:p>
    <w:p>
      <w:pPr>
        <w:pStyle w:val="Quelle"/>
      </w:pPr>
      <w:r>
        <w:rPr>
          <w:b/>
        </w:rPr>
        <w:t xml:space="preserve">Wie man darauf kommt: </w:t>
      </w:r>
      <w:r>
        <w:t xml:space="preserve">Man bemerkt es, sobald ein Messwert negativ werden kann und plötzlich rund 65000 in der Tabelle steht. Der Zusammenhang wird klar, wenn man sich ansieht, wie negative Zahlen im Zweierkomplement abgelegt sind – dieselben 16 Bit, nur anders gelesen.</w:t>
      </w:r>
    </w:p>
    <w:p>
      <w:pPr>
        <w:pStyle w:val="Quelle"/>
      </w:pPr>
      <w:r>
        <w:rPr>
          <w:b/>
        </w:rPr>
        <w:t xml:space="preserve">Quelle: </w:t>
      </w:r>
      <w:hyperlink r:id="rIdL124">
        <w:r>
          <w:rPr>
            <w:color w:val="0563C1"/>
            <w:u w:val="single"/>
          </w:rPr>
          <w:t xml:space="preserve">Zweierkomplement</w:t>
        </w:r>
      </w:hyperlink>
    </w:p>
    <w:p>
      <w:pPr>
        <w:pStyle w:val="Heading3"/>
      </w:pPr>
      <w:r>
        <w:rPr>
          <w:rFonts w:ascii="Consolas" w:hAnsi="Consolas"/>
          <w:sz w:val="20"/>
        </w:rPr>
        <w:t xml:space="preserve">node.idle(modbusIdle)</w:t>
      </w:r>
      <w:r>
        <w:t xml:space="preserve">   –   </w:t>
      </w:r>
      <w:r>
        <w:t xml:space="preserve">Projekt_Logger</w:t>
      </w:r>
    </w:p>
    <w:p>
      <w:pPr/>
      <w:r>
        <w:t xml:space="preserve">Antwortet der Sensor nicht, wartet die Bibliothek bis zu zwei Sekunden. Vorher stand in dieser Zeit das ganze Programm still, und die Weboberfläche war ausgerechnet dann nicht erreichbar, wenn man wegen der Störung nachschauen wollte. Der übergebene Rückruf wird während des Wartens wiederholt aufgerufen; dort werden weiterhin Browser-Anfragen bedient.</w:t>
      </w:r>
    </w:p>
    <w:p>
      <w:pPr>
        <w:pStyle w:val="Quelle"/>
      </w:pPr>
      <w:r>
        <w:rPr>
          <w:b/>
        </w:rPr>
        <w:t xml:space="preserve">Wie man darauf kommt: </w:t>
      </w:r>
      <w:r>
        <w:t xml:space="preserve">Zuerst sucht man nach einer Möglichkeit, die Wartezeit zu verkürzen, und stellt fest, dass sie in der Bibliothek fest eingetragen ist. Beim Durchsehen der öffentlichen Funktionen in der Header-Datei fällt idle() auf; ein Blick in den Quelltext bestätigt, dass der Rückruf genau in der Warteschleife aufgerufen wird.</w:t>
      </w:r>
    </w:p>
    <w:p>
      <w:pPr>
        <w:pStyle w:val="Quelle"/>
      </w:pPr>
      <w:r>
        <w:rPr>
          <w:b/>
        </w:rPr>
        <w:t xml:space="preserve">Quelle: </w:t>
      </w:r>
      <w:hyperlink r:id="rIdL125">
        <w:r>
          <w:rPr>
            <w:color w:val="0563C1"/>
            <w:u w:val="single"/>
          </w:rPr>
          <w:t xml:space="preserve">Quelltext und API von ModbusMaster</w:t>
        </w:r>
      </w:hyperlink>
    </w:p>
    <w:p>
      <w:pPr>
        <w:pStyle w:val="Heading3"/>
      </w:pPr>
      <w:r>
        <w:rPr>
          <w:rFonts w:ascii="Consolas" w:hAnsi="Consolas"/>
          <w:sz w:val="20"/>
        </w:rPr>
        <w:t xml:space="preserve">if (firstReading || newRecord.packetNr != lastPacketNr)</w:t>
      </w:r>
      <w:r>
        <w:t xml:space="preserve">   –   </w:t>
      </w:r>
      <w:r>
        <w:t xml:space="preserve">Projekt_Logger</w:t>
      </w:r>
    </w:p>
    <w:p>
      <w:pPr/>
      <w:r>
        <w:t xml:space="preserve">Gespeichert wird nur, wenn sich die Paketnummer geändert hat. Der Sensor liefert alle 30 s einen neuen Mittelwert, der Logger fragt aber alle 5 s ab – ohne diese Prüfung stünde jeder Messwert sechsmal in der Datei. Die Live-Anzeige wird davon unabhängig weiterhin alle 5 s aktualisiert, damit ein Verbindungsausfall schnell sichtbar wird. Hängt der Sensor, entsteht bewusst eine Lücke im Log statt scheinbar gültiger Wiederholungen.</w:t>
      </w:r>
    </w:p>
    <w:p>
      <w:pPr>
        <w:pStyle w:val="Quelle"/>
      </w:pPr>
      <w:r>
        <w:rPr>
          <w:b/>
        </w:rPr>
        <w:t xml:space="preserve">Wie man darauf kommt: </w:t>
      </w:r>
      <w:r>
        <w:t xml:space="preserve">Beim Nebeneinanderlegen der beiden Intervalle fällt das Verhältnis 30 zu 5 sofort auf. Das Mittel dagegen liegt bereits im Protokoll: Die Paketnummer ist genau dafür da, ein Datenpaket eindeutig zu kennzeichnen. Sie ist verlässlicher als ein Vergleich der Messwerte selbst, denn zwei aufeinanderfolgende Mittelwerte dürfen durchaus identisch sein.</w:t>
      </w:r>
    </w:p>
    <w:p>
      <w:pPr>
        <w:pStyle w:val="Heading3"/>
      </w:pPr>
      <w:r>
        <w:rPr>
          <w:rFonts w:ascii="Consolas" w:hAnsi="Consolas"/>
          <w:sz w:val="20"/>
        </w:rPr>
        <w:t xml:space="preserve">mb.task()</w:t>
      </w:r>
      <w:r>
        <w:t xml:space="preserve">   –   </w:t>
      </w:r>
      <w:r>
        <w:t xml:space="preserve">Projekt_Sensor</w:t>
      </w:r>
    </w:p>
    <w:p>
      <w:pPr/>
      <w:r>
        <w:t xml:space="preserve">Die Modbus-Bibliothek des Sensors arbeitet nicht im Hintergrund. Nur innerhalb von task() prüft sie, ob eine Anfrage eingetroffen ist, und schickt die Antwort ab. Ein delay() an dieser Stelle führt dazu, dass der Logger keine Antwort erhält und einen Verbindungsfehler meldet.</w:t>
      </w:r>
    </w:p>
    <w:p>
      <w:pPr>
        <w:pStyle w:val="Quelle"/>
      </w:pPr>
      <w:r>
        <w:rPr>
          <w:b/>
        </w:rPr>
        <w:t xml:space="preserve">Wie man darauf kommt: </w:t>
      </w:r>
      <w:r>
        <w:t xml:space="preserve">Das Muster begegnet einem bei vielen Arduino-Bibliotheken: Eine Funktion namens task, loop, handle oder update muss regelmäßig aufgerufen werden, weil der Mikrocontroller die Arbeit sonst nirgends erledigen kann. Erkennbar ist es daran, dass die Beispiele der Bibliothek diesen Aufruf stets als erste Zeile in loop() haben.</w:t>
      </w:r>
    </w:p>
    <w:p>
      <w:pPr>
        <w:pStyle w:val="Heading1"/>
      </w:pPr>
      <w:r>
        <w:t xml:space="preserve">8. Analogmessung</w:t>
      </w:r>
    </w:p>
    <w:p>
      <w:pPr>
        <w:pStyle w:val="Heading3"/>
      </w:pPr>
      <w:r>
        <w:rPr>
          <w:rFonts w:ascii="Consolas" w:hAnsi="Consolas"/>
          <w:sz w:val="20"/>
        </w:rPr>
        <w:t xml:space="preserve">SENSOR_PINS = { 4, 25, 36, 39, 34, 35, 32, 33 }</w:t>
      </w:r>
      <w:r>
        <w:t xml:space="preserve">   –   </w:t>
      </w:r>
      <w:r>
        <w:t xml:space="preserve">Projekt_Sensor</w:t>
      </w:r>
    </w:p>
    <w:p>
      <w:pPr/>
      <w:r>
        <w:t xml:space="preserve">Die Pinauswahl ist nicht beliebig. Der ESP32 besitzt zwei Analog-Digital-Wandler; ADC2 wird vom Funkteil mitbenutzt und liefert keine Werte mehr, sobald WLAN gestartet ist. GPIO 4 und 25 liegen auf ADC2. Hier ist das unkritisch, weil der Sensorknoten ausschließlich über RS485 kommuniziert – bei einer späteren Erweiterung um WLAN müssten diese beiden Kanäle jedoch auf ADC1-Pins umziehen. Das ist eine der häufigsten Stolperfallen beim ESP32, weil der Fehler erst auftritt, wenn man WLAN einschaltet.</w:t>
      </w:r>
    </w:p>
    <w:p>
      <w:pPr>
        <w:pStyle w:val="Quelle"/>
      </w:pPr>
      <w:r>
        <w:rPr>
          <w:b/>
        </w:rPr>
        <w:t xml:space="preserve">Quelle: </w:t>
      </w:r>
      <w:hyperlink r:id="rIdL126">
        <w:r>
          <w:rPr>
            <w:color w:val="0563C1"/>
            <w:u w:val="single"/>
          </w:rPr>
          <w:t xml:space="preserve">Espressif: ADC2 und der WLAN-Treiber</w:t>
        </w:r>
      </w:hyperlink>
    </w:p>
    <w:p>
      <w:pPr>
        <w:pStyle w:val="Heading3"/>
      </w:pPr>
      <w:r>
        <w:rPr>
          <w:rFonts w:ascii="Consolas" w:hAnsi="Consolas"/>
          <w:sz w:val="20"/>
        </w:rPr>
        <w:t xml:space="preserve">EFFECTIVE_SENSITIVITY = SENSOR_SENSITIVITY * DIVIDER_RATIO</w:t>
      </w:r>
      <w:r>
        <w:t xml:space="preserve">   –   </w:t>
      </w:r>
      <w:r>
        <w:t xml:space="preserve">Projekt_Sensor</w:t>
      </w:r>
    </w:p>
    <w:p>
      <w:pPr/>
      <w:r>
        <w:t xml:space="preserve">Dass der Spannungsteiler die Sensorspannung auf zwei Drittel verringert, ist offensichtlich. Nicht offensichtlich ist, dass derselbe Faktor auch auf die Empfindlichkeit angewendet werden muss: Sinkt die Spannung auf zwei Drittel, sinkt auch die Änderung je Ampere auf zwei Drittel. Wird diese Zeile vergessen, zeigt die Anlage um 50 Prozent zu hohe Ströme an – und zwar völlig widerspruchsfrei, weshalb der Fehler schwer auffällt.</w:t>
      </w:r>
    </w:p>
    <w:p>
      <w:pPr>
        <w:pStyle w:val="Quelle"/>
      </w:pPr>
      <w:r>
        <w:rPr>
          <w:b/>
        </w:rPr>
        <w:t xml:space="preserve">Wie man darauf kommt: </w:t>
      </w:r>
      <w:r>
        <w:t xml:space="preserve">Der Fehler wird sichtbar, wenn man den Rechenweg mit Einheiten aufschreibt: Der Sensor liefert Volt je Ampere, der Teiler multipliziert Volt mit einem Faktor – also wirkt der Faktor auch auf Volt je Ampere. Ein Rechenweg mit mitgeführten Einheiten deckt solche Auslassungen zuverlässig auf.</w:t>
      </w:r>
    </w:p>
    <w:p>
      <w:pPr>
        <w:pStyle w:val="Heading3"/>
      </w:pPr>
      <w:r>
        <w:rPr>
          <w:rFonts w:ascii="Consolas" w:hAnsi="Consolas"/>
          <w:sz w:val="20"/>
        </w:rPr>
        <w:t xml:space="preserve">std::sort(...) mit IGNORE_SAMPLES</w:t>
      </w:r>
      <w:r>
        <w:t xml:space="preserve">   –   </w:t>
      </w:r>
      <w:r>
        <w:t xml:space="preserve">Projekt_Sensor</w:t>
      </w:r>
    </w:p>
    <w:p>
      <w:pPr/>
      <w:r>
        <w:t xml:space="preserve">128 Rohwerte werden sortiert, die 32 kleinsten und 32 größten verworfen und aus den verbleibenden 64 der Mittelwert gebildet. Ein einzelner Störimpuls landet beim Sortieren zwangsläufig am Rand und fällt heraus. Beim einfachen Mittelwert würde er das Ergebnis verfälschen, beim reinen Medianwert ginge dafür Auflösung verloren. Das gestutzte Mittel verbindet beide Vorteile.</w:t>
      </w:r>
    </w:p>
    <w:p>
      <w:pPr>
        <w:pStyle w:val="Quelle"/>
      </w:pPr>
      <w:r>
        <w:rPr>
          <w:b/>
        </w:rPr>
        <w:t xml:space="preserve">Quelle: </w:t>
      </w:r>
      <w:hyperlink r:id="rIdL127">
        <w:r>
          <w:rPr>
            <w:color w:val="0563C1"/>
            <w:u w:val="single"/>
          </w:rPr>
          <w:t xml:space="preserve">Microchip AN4515: digitale Filterung von Sensordaten (PDF)</w:t>
        </w:r>
      </w:hyperlink>
      <w:r>
        <w:t xml:space="preserve">   |   </w:t>
      </w:r>
      <w:hyperlink r:id="rIdL128">
        <w:r>
          <w:rPr>
            <w:color w:val="0563C1"/>
            <w:u w:val="single"/>
          </w:rPr>
          <w:t xml:space="preserve">Gestutztes Mittel</w:t>
        </w:r>
      </w:hyperlink>
    </w:p>
    <w:p>
      <w:pPr>
        <w:pStyle w:val="Heading3"/>
      </w:pPr>
      <w:r>
        <w:rPr>
          <w:rFonts w:ascii="Consolas" w:hAnsi="Consolas"/>
          <w:sz w:val="20"/>
        </w:rPr>
        <w:t xml:space="preserve">DEADBAND_AMPERE = 0.5</w:t>
      </w:r>
      <w:r>
        <w:t xml:space="preserve">   –   </w:t>
      </w:r>
      <w:r>
        <w:t xml:space="preserve">Projekt_Sensor</w:t>
      </w:r>
    </w:p>
    <w:p>
      <w:pPr/>
      <w:r>
        <w:t xml:space="preserve">Messwerte zwischen −0,5 A und +0,5 A werden auf glatt null gesetzt. Echte Ströme unterhalb dieser Grenze gehen dabei ebenfalls verloren – ein bewusster Kompromiss.</w:t>
      </w:r>
    </w:p>
    <w:p>
      <w:pPr>
        <w:pStyle w:val="Quelle"/>
      </w:pPr>
      <w:r>
        <w:rPr>
          <w:b/>
        </w:rPr>
        <w:t xml:space="preserve">Wie man darauf kommt: </w:t>
      </w:r>
      <w:r>
        <w:t xml:space="preserve">Der Bedarf zeigt sich beim ersten Nachtbetrieb: Die Anlage meldet Ströme, obwohl keine fließen. Die Rechnung erklärt es – bei rund 53 mV je Ampere am ESP32-Pin ergeben schon 25 mV Rauschen etwa ein halbes Ampere. Die Schwelle wählt man knapp über dem beobachteten Rauschen und deutlich unter dem kleinsten Strom, der im Betrieb wirklich vorkommt.</w:t>
      </w:r>
    </w:p>
    <w:p>
      <w:pPr>
        <w:pStyle w:val="Heading3"/>
      </w:pPr>
      <w:r>
        <w:rPr>
          <w:rFonts w:ascii="Consolas" w:hAnsi="Consolas"/>
          <w:sz w:val="20"/>
        </w:rPr>
        <w:t xml:space="preserve">V_OFFSET[CHANNELS] – acht einzelne Werte</w:t>
      </w:r>
      <w:r>
        <w:t xml:space="preserve">   –   </w:t>
      </w:r>
      <w:r>
        <w:t xml:space="preserve">Projekt_Sensor</w:t>
      </w:r>
    </w:p>
    <w:p>
      <w:pPr/>
      <w:r>
        <w:t xml:space="preserve">Jeder Sensor hat fertigungsbedingt einen anderen Ruhewert. Rechnerisch wären es 2,5 V × 0,667 = 1,667 V, gemessen wurden Werte um 1,56 V.</w:t>
      </w:r>
    </w:p>
    <w:p>
      <w:pPr>
        <w:pStyle w:val="Quelle"/>
      </w:pPr>
      <w:r>
        <w:rPr>
          <w:b/>
        </w:rPr>
        <w:t xml:space="preserve">Wie man darauf kommt: </w:t>
      </w:r>
      <w:r>
        <w:t xml:space="preserve">Wenn alle acht Kanäle bei stromlosen Strängen unterschiedliche und von der Theorie abweichende Werte zeigen, ist klar, dass ein gemeinsamer Rechenwert nicht genügt. Bauteiltoleranzen lassen sich nicht berechnen, nur messen – also wird der Ruhewert je Kanal einmal aufgenommen und fest eingetragen. Nach einem Sensortausch muss das wiederholt werden.</w:t>
      </w:r>
    </w:p>
    <w:p>
      <w:pPr>
        <w:pStyle w:val="Heading3"/>
      </w:pPr>
      <w:r>
        <w:rPr>
          <w:rFonts w:ascii="Consolas" w:hAnsi="Consolas"/>
          <w:sz w:val="20"/>
        </w:rPr>
        <w:t xml:space="preserve">#if SENSOR_TYPE == … / #elif / #error</w:t>
      </w:r>
      <w:r>
        <w:t xml:space="preserve">   –   </w:t>
      </w:r>
      <w:r>
        <w:t xml:space="preserve">Projekt_Sensor</w:t>
      </w:r>
    </w:p>
    <w:p>
      <w:pPr/>
      <w:r>
        <w:t xml:space="preserve">Diese Anweisungen werden vor dem eigentlichen Übersetzen ausgewertet. Je nach eingestelltem Typ landet nur der passende Parametersatz im Programm, der andere wird verworfen und kostet keinen Speicher. #error fängt einen Tippfehler bereits beim Übersetzen ab, statt ihn zu einem falschen Messwert werden zu lassen.</w:t>
      </w:r>
    </w:p>
    <w:p>
      <w:pPr>
        <w:pStyle w:val="Quelle"/>
      </w:pPr>
      <w:r>
        <w:rPr>
          <w:b/>
        </w:rPr>
        <w:t xml:space="preserve">Wie man darauf kommt: </w:t>
      </w:r>
      <w:r>
        <w:t xml:space="preserve">Empfindlichkeit und Nullpunkte gehören zusammen – wer nur eines von beiden ändert, erhält stillschweigend falsche Werte. Deshalb werden sie zu einem Block zusammengefasst, der über eine einzige Zeile ausgewählt wird. Da die Entscheidung zur Laufzeit nie wechselt, ist der Präprozessor dafür das richtige Werkzeug.</w:t>
      </w:r>
    </w:p>
    <w:p>
      <w:pPr>
        <w:pStyle w:val="Quelle"/>
      </w:pPr>
      <w:r>
        <w:rPr>
          <w:b/>
        </w:rPr>
        <w:t xml:space="preserve">Quelle: </w:t>
      </w:r>
      <w:hyperlink r:id="rIdL129">
        <w:r>
          <w:rPr>
            <w:color w:val="0563C1"/>
            <w:u w:val="single"/>
          </w:rPr>
          <w:t xml:space="preserve">cppreference: bedingte Übersetzung</w:t>
        </w:r>
      </w:hyperlink>
    </w:p>
    <w:p>
      <w:pPr>
        <w:pStyle w:val="Heading1"/>
      </w:pPr>
      <w:r>
        <w:t xml:space="preserve">9. Aufbau des Programms</w:t>
      </w:r>
    </w:p>
    <w:p>
      <w:pPr>
        <w:pStyle w:val="Heading3"/>
      </w:pPr>
      <w:r>
        <w:rPr>
          <w:rFonts w:ascii="Consolas" w:hAnsi="Consolas"/>
          <w:sz w:val="20"/>
        </w:rPr>
        <w:t xml:space="preserve">tryInitSD() / tryInitETH() und der Fehler-Manager in loop()</w:t>
      </w:r>
      <w:r>
        <w:t xml:space="preserve">   –   </w:t>
      </w:r>
      <w:r>
        <w:t xml:space="preserve">Projekt_Logger</w:t>
      </w:r>
    </w:p>
    <w:p>
      <w:pPr/>
      <w:r>
        <w:t xml:space="preserve">Beide Funktionen sind so gebaut, dass sie jederzeit erneut aufgerufen werden können, und prüfen als Erstes ihren eigenen Statusmerker. Der Fehler-Manager ruft sie alle zehn Sekunden auf, solange die jeweilige Baugruppe nicht bereit ist. Ein Schreibfehler setzt sdInitialized zurück und erzwingt damit eine Neuinitialisierung.</w:t>
      </w:r>
    </w:p>
    <w:p>
      <w:pPr>
        <w:pStyle w:val="Quelle"/>
      </w:pPr>
      <w:r>
        <w:rPr>
          <w:b/>
        </w:rPr>
        <w:t xml:space="preserve">Wie man darauf kommt: </w:t>
      </w:r>
      <w:r>
        <w:t xml:space="preserve">Aus der Anforderung „läuft unbeaufsichtigt“ folgt, dass ein Ausfall nicht zum Stillstand führen darf. Statt an jeder Fehlerstelle eine eigene Behandlung zu schreiben, genügt ein Merker je Baugruppe und eine Stelle, die es erneut versucht. Dass dieselbe Funktion auch beim Start verwendet wird, spart einen zweiten Codepfad – und stellt sicher, dass der Wiederanlauf genauso getestet ist wie der Kaltstart.</w:t>
      </w:r>
    </w:p>
    <w:p>
      <w:pPr>
        <w:pStyle w:val="Heading3"/>
      </w:pPr>
      <w:r>
        <w:rPr>
          <w:rFonts w:ascii="Consolas" w:hAnsi="Consolas"/>
          <w:sz w:val="20"/>
        </w:rPr>
        <w:t xml:space="preserve">#include "network_config.h"</w:t>
      </w:r>
      <w:r>
        <w:t xml:space="preserve">   –   </w:t>
      </w:r>
      <w:r>
        <w:t xml:space="preserve">Projekt_Logger</w:t>
      </w:r>
    </w:p>
    <w:p>
      <w:pPr/>
      <w:r>
        <w:t xml:space="preserve">Die tatsächlichen Adressen stehen in einer eigenen Datei, die von der Versionsverwaltung ausgeschlossen ist. Eingecheckt ist nur eine Vorlage mit Platzhaltern. Dadurch lässt sich der Quellcode veröffentlichen, ohne die Netzstruktur des Betreibers offenzulegen, während der Build lokal unverändert funktioniert.</w:t>
      </w:r>
    </w:p>
    <w:p>
      <w:pPr>
        <w:pStyle w:val="Quelle"/>
      </w:pPr>
      <w:r>
        <w:rPr>
          <w:b/>
        </w:rPr>
        <w:t xml:space="preserve">Wie man darauf kommt: </w:t>
      </w:r>
      <w:r>
        <w:t xml:space="preserve">Sobald Quellcode das eigene Netz verlässt, stellt sich die Frage, was darin nicht für Dritte bestimmt ist. Adressen und Zugangsdaten gehören in eine getrennte Datei – das ist gängige Praxis und der Grund, warum viele Projekte eine Datei mit der Endung .example mitliefern.</w:t>
      </w:r>
    </w:p>
    <w:p>
      <w:pPr>
        <w:pStyle w:val="Heading1"/>
      </w:pPr>
      <w:r>
        <w:t xml:space="preserve">10. Was bewusst offen geblieben ist</w:t>
      </w:r>
    </w:p>
    <w:p>
      <w:pPr/>
      <w:r>
        <w:t xml:space="preserve">Die Logdatei wächst unbegrenzt. Bei einem neuen Datensatz alle 30 Sekunden sind das rund 70 kB pro Tag und 25 MB im Jahr – für eine SD-Karte unkritisch, eine Rotation in Tagesdateien wäre dennoch eine sinnvolle Erweiterung.</w:t>
      </w:r>
    </w:p>
    <w:p>
      <w:pPr/>
      <w:r>
        <w:t xml:space="preserve">Die Weboberfläche ist nicht durch ein Passwort geschützt. Im abgeschlossenen Anlagennetz ist das vertretbar, bei einer Erreichbarkeit aus dem Internet nicht.</w:t>
      </w:r>
    </w:p>
    <w:p>
      <w:pPr/>
      <w:r>
        <w:t xml:space="preserve">Die Kennlinie des ESP32-Analogeingangs ist nicht vollständig linear. Da der Nullpunkt je Kanal gemessen und abgezogen wird, wirkt sich das im genutzten Bereich nur gering aus; eine Kalibrierung über mehrere Stützstellen würde die Genauigkeit weiter verbessern.</w:t>
      </w:r>
    </w:p>
    <w:p>
      <w:pPr>
        <w:pStyle w:val="Heading1"/>
      </w:pPr>
      <w:r>
        <w:t xml:space="preserve">11. Hinweis zu den Quellenangaben</w:t>
      </w:r>
    </w:p>
    <w:p>
      <w:pPr/>
      <w:r>
        <w:t xml:space="preserve">Alle Adressen wurden im September 2026 geprüft. Bei einzelnen Anbietern – unter anderem arduino.cc – verhindern nachgeladene Inhalte oder ein Zugriffsschutz die automatische Prüfung; diese Adressen stammen aus der Suche und sollten vor der Abgabe einmal im Browser geöffnet werden. Bei den mit „Wie man darauf kommt“ gekennzeichneten Punkten existiert bewusst keine Quelle: Sie ergeben sich aus dieser konkreten Aufgabe, weshalb dort der Gedankengang dokumentiert ist.</w:t>
      </w:r>
    </w:p>
    <w:sectPr>
      <w:pgSz w:w="11906" w:h="16838"/>
      <w:pgMar w:top="1134" w:right="1134" w:bottom="1134" w:left="1418" w:header="709" w:footer="709" w:gutter="0"/>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outlineLvl w:val="0"/>
      <w:spacing w:before="360" w:after="140"/>
      <w:keepNext/>
    </w:pPr>
    <w:rPr>
      <w:b/>
      <w:color w:val="1F3864"/>
      <w:sz w:val="32"/>
    </w:rPr>
  </w:style>
  <w:style w:type="paragraph" w:styleId="Heading2">
    <w:name w:val="heading 2"/>
    <w:basedOn w:val="Normal"/>
    <w:pPr>
      <w:outlineLvl w:val="1"/>
      <w:spacing w:before="240" w:after="100"/>
      <w:keepNext/>
    </w:pPr>
    <w:rPr>
      <w:b/>
      <w:color w:val="2E5496"/>
      <w:sz w:val="26"/>
    </w:rPr>
  </w:style>
  <w:style w:type="paragraph" w:styleId="Heading3">
    <w:name w:val="heading 3"/>
    <w:basedOn w:val="Normal"/>
    <w:pPr>
      <w:outlineLvl w:val="2"/>
      <w:spacing w:before="220" w:after="60"/>
      <w:keepNext/>
      <w:pBdr>
        <w:left w:val="single" w:sz="18" w:space="6" w:color="2E5496"/>
      </w:pBdr>
      <w:ind w:left="113"/>
    </w:pPr>
    <w:rPr>
      <w:b/>
      <w:color w:val="333333"/>
      <w:sz w:val="22"/>
    </w:rPr>
  </w:style>
  <w:style w:type="paragraph" w:styleId="ListPara">
    <w:name w:val="List Paragraph"/>
    <w:basedOn w:val="Normal"/>
    <w:pPr>
      <w:ind w:left="454" w:hanging="284"/>
      <w:spacing w:after="80"/>
    </w:pPr>
  </w:style>
  <w:style w:type="paragraph" w:styleId="Quelle">
    <w:name w:val="Quelle"/>
    <w:basedOn w:val="Normal"/>
    <w:pPr>
      <w:ind w:left="227"/>
      <w:spacing w:after="80"/>
    </w:pPr>
    <w:rPr>
      <w:sz w:val="19"/>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L100" Type="http://schemas.openxmlformats.org/officeDocument/2006/relationships/hyperlink" Target="https://www.arduino.cc/en/Tutorial/BlinkWithoutDelay" TargetMode="External"/><Relationship Id="rIdL101" Type="http://schemas.openxmlformats.org/officeDocument/2006/relationships/hyperlink" Target="http://playground.arduino.cc/Learning/BlinkWithoutDelay_de" TargetMode="External"/><Relationship Id="rIdL102" Type="http://schemas.openxmlformats.org/officeDocument/2006/relationships/hyperlink" Target="https://learn.adafruit.com/multi-tasking-the-arduino-part-1/using-millis-for-timing" TargetMode="External"/><Relationship Id="rIdL103" Type="http://schemas.openxmlformats.org/officeDocument/2006/relationships/hyperlink" Target="https://www.norwegiancreations.com/2018/10/arduino-tutorial-avoiding-the-overflow-issue-when-using-millis-and-micros/" TargetMode="External"/><Relationship Id="rIdL104" Type="http://schemas.openxmlformats.org/officeDocument/2006/relationships/hyperlink" Target="https://www.geeksforgeeks.org/c/structure-member-alignment-padding-and-data-packing/" TargetMode="External"/><Relationship Id="rIdL105" Type="http://schemas.openxmlformats.org/officeDocument/2006/relationships/hyperlink" Target="https://learn.microsoft.com/en-us/cpp/preprocessor/pack" TargetMode="External"/><Relationship Id="rIdL106" Type="http://schemas.openxmlformats.org/officeDocument/2006/relationships/hyperlink" Target="https://en.cppreference.com/w/cpp/language/static_assert" TargetMode="External"/><Relationship Id="rIdL107" Type="http://schemas.openxmlformats.org/officeDocument/2006/relationships/hyperlink" Target="https://randomnerdtutorials.com/esp32-microsd-card-arduino/" TargetMode="External"/><Relationship Id="rIdL108" Type="http://schemas.openxmlformats.org/officeDocument/2006/relationships/hyperlink" Target="https://randomnerdtutorials.com/esp32-spi-communication-arduino/" TargetMode="External"/><Relationship Id="rIdL109" Type="http://schemas.openxmlformats.org/officeDocument/2006/relationships/hyperlink" Target="https://github.com/egnor/wt32-eth01" TargetMode="External"/><Relationship Id="rIdL110" Type="http://schemas.openxmlformats.org/officeDocument/2006/relationships/hyperlink" Target="https://github.com/espressif/arduino-esp32/blob/master/libraries/Ethernet/src/ETH.cpp" TargetMode="External"/><Relationship Id="rIdL111" Type="http://schemas.openxmlformats.org/officeDocument/2006/relationships/hyperlink" Target="https://randomnerdtutorials.com/esp32-ntp-timezones-daylight-saving/" TargetMode="External"/><Relationship Id="rIdL112" Type="http://schemas.openxmlformats.org/officeDocument/2006/relationships/hyperlink" Target="https://di-mgt.com.au/wclock/help/wclo_tzexplain.html" TargetMode="External"/><Relationship Id="rIdL113" Type="http://schemas.openxmlformats.org/officeDocument/2006/relationships/hyperlink" Target="https://de.wikipedia.org/wiki/Unixzeit" TargetMode="External"/><Relationship Id="rIdL114" Type="http://schemas.openxmlformats.org/officeDocument/2006/relationships/hyperlink" Target="https://en.cppreference.com/w/c/chrono/strftime" TargetMode="External"/><Relationship Id="rIdL115" Type="http://schemas.openxmlformats.org/officeDocument/2006/relationships/hyperlink" Target="https://developer.mozilla.org/de/docs/Web/HTTP/Reference/Headers/Transfer-Encoding" TargetMode="External"/><Relationship Id="rIdL116" Type="http://schemas.openxmlformats.org/officeDocument/2006/relationships/hyperlink" Target="https://developer.mozilla.org/de/docs/Web/HTTP/Reference/Headers/Content-Disposition" TargetMode="External"/><Relationship Id="rIdL117" Type="http://schemas.openxmlformats.org/officeDocument/2006/relationships/hyperlink" Target="https://cpp4arduino.com/2018/11/06/what-is-heap-fragmentation.html" TargetMode="External"/><Relationship Id="rIdL118" Type="http://schemas.openxmlformats.org/officeDocument/2006/relationships/hyperlink" Target="https://learn.adafruit.com/memories-of-an-arduino/optimizing-sram" TargetMode="External"/><Relationship Id="rIdL119" Type="http://schemas.openxmlformats.org/officeDocument/2006/relationships/hyperlink" Target="https://en.cppreference.com/w/c/io/fprintf" TargetMode="External"/><Relationship Id="rIdL120" Type="http://schemas.openxmlformats.org/officeDocument/2006/relationships/hyperlink" Target="https://control.com/technical-articles/introduction-to-modbus-and-modbus-function-codes/" TargetMode="External"/><Relationship Id="rIdL121" Type="http://schemas.openxmlformats.org/officeDocument/2006/relationships/hyperlink" Target="https://modbus.org/docs/Modbus_Application_Protocol_V1_1b3.pdf" TargetMode="External"/><Relationship Id="rIdL122" Type="http://schemas.openxmlformats.org/officeDocument/2006/relationships/hyperlink" Target="https://4-20ma.io/ModbusMaster/group__register.html" TargetMode="External"/><Relationship Id="rIdL123" Type="http://schemas.openxmlformats.org/officeDocument/2006/relationships/hyperlink" Target="https://github.com/emelianov/modbus-esp8266" TargetMode="External"/><Relationship Id="rIdL124" Type="http://schemas.openxmlformats.org/officeDocument/2006/relationships/hyperlink" Target="https://de.wikipedia.org/wiki/Zweierkomplement" TargetMode="External"/><Relationship Id="rIdL125" Type="http://schemas.openxmlformats.org/officeDocument/2006/relationships/hyperlink" Target="https://github.com/4-20ma/ModbusMaster" TargetMode="External"/><Relationship Id="rIdL126" Type="http://schemas.openxmlformats.org/officeDocument/2006/relationships/hyperlink" Target="https://docs.espressif.com/projects/esp-idf/en/latest/esp32/api-reference/peripherals/adc.html" TargetMode="External"/><Relationship Id="rIdL127" Type="http://schemas.openxmlformats.org/officeDocument/2006/relationships/hyperlink" Target="https://ww1.microchip.com/downloads/aemDocuments/documents/MCU08/ApplicationNotes/ApplicationNotes/ProcessAnalogSensorDataDigitalFiltering-DS00004515.pdf" TargetMode="External"/><Relationship Id="rIdL128" Type="http://schemas.openxmlformats.org/officeDocument/2006/relationships/hyperlink" Target="https://de.wikipedia.org/wiki/Gestutztes_Mittel" TargetMode="External"/><Relationship Id="rIdL129" Type="http://schemas.openxmlformats.org/officeDocument/2006/relationships/hyperlink" Target="https://en.cppreference.com/w/cpp/preprocessor/conditional" TargetMode="External"/></Relationships>
</file>

<file path=docProps/core.xml><?xml version="1.0" encoding="utf-8"?>
<cp:coreProperties xmlns:cp="http://schemas.openxmlformats.org/package/2006/metadata/core-properties" xmlns:dc="http://purl.org/dc/elements/1.1/">
  <dc:title>Technikerprojekt 2026 - Erlaeuterungen zum Quellcode</dc:title>
  <dc:creator>Yannik Schmidt</dc:creator>
</cp:coreProperties>
</file>