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Studium Frontend and Interaction — Build Report</w:t>
      </w:r>
    </w:p>
    <w:p>
      <w:r>
        <w:t>Subsystem 4 of 7  •  Specification v1.0  •  21 August 2026</w:t>
      </w:r>
    </w:p>
    <w:p>
      <w:pPr>
        <w:pStyle w:val="IntenseQuote"/>
      </w:pPr>
      <w:r>
        <w:t>The frontend is built and runs. Five surfaces, the streaming and interruption architecture, eight tutorial primitives with three access paths, citation rendering, the aesthetic system, and WCAG 2.2 AA throughout. 194 offline tests and 28 real-browser tests pass. Three things do not work, all for the same reason: the frontend consumes a contract that subsystem 2 partly does not implement. Those are named in §6 rather than buried.</w:t>
      </w:r>
    </w:p>
    <w:p>
      <w:pPr>
        <w:pStyle w:val="Heading1"/>
      </w:pPr>
      <w:r>
        <w:t>1. What “verified” means in this report</w:t>
      </w:r>
    </w:p>
    <w:p>
      <w:r>
        <w:t>Two tiers were run and a third was written and not run. They establish different things, and which is which matters more than the totals.</w:t>
      </w:r>
    </w:p>
    <w:p>
      <w:pPr>
        <w:pStyle w:val="ListBullet"/>
      </w:pPr>
      <w:r>
        <w:t>Tier 1 (194 tests, offline) establishes that the pure logic is correct in isolation — SSE frame parsing including frames and multi-byte characters split across network reads, the sentence-boundary port, citation marker parsing, the Zustand stores driven through a complete interrupted lecture, Zod validation at the API boundary, and axe-core over every component. No browser, no backend, no API key.</w:t>
      </w:r>
    </w:p>
    <w:p>
      <w:pPr>
        <w:pStyle w:val="ListBullet"/>
      </w:pPr>
      <w:r>
        <w:t>Tier 2 (28 tests, real Chromium against a Next production build) establishes that the surfaces work when the bytes are real — a genuine SSE stream over a genuine socket, arriving in genuine chunks with genuine timing, from a mocked-LLM backend that speaks the runtime’s wire contract. It also covers the two accessibility properties jsdom cannot evaluate: colour contrast, in both themes, and whether a focused control is geometrically obscured.</w:t>
      </w:r>
    </w:p>
    <w:p>
      <w:pPr>
        <w:pStyle w:val="ListBullet"/>
      </w:pPr>
      <w:r>
        <w:t>Tier 3 (4 tests, real FastAPI + Anthropic + Voyage) is written and has not been run: it needs a running backend with a seeded learner and spends money. Nothing in this report rests on it.</w:t>
      </w:r>
    </w:p>
    <w:p>
      <w:r>
        <w:t>Verified in this report therefore means: exercised in a real browser against a real HTTP stream whose framing matches the runtime’s, with deterministic content. It does not mean exercised against the runtime itself. That distinction is load-bearing here in a way it was not for the backend subsystems, because a mock and a client can agree with each other indefinitely while both have drifted from the server. Where that risk is concentrated, §6 says so.</w:t>
      </w:r>
    </w:p>
    <w:p>
      <w:pPr>
        <w:pStyle w:val="Heading1"/>
      </w:pPr>
      <w:r>
        <w:t>2. What was built</w:t>
      </w:r>
    </w:p>
    <w:p>
      <w:r>
        <w:t>About 6,950 lines across 65 source files, with 2,235 lines of offline tests and 959 of end-to-end tests. One CI workflow, one divergences record, one spec-debt entry raised against subsystem 2.</w:t>
      </w:r>
    </w:p>
    <w:p>
      <w:pPr>
        <w:pStyle w:val="Heading2"/>
      </w:pPr>
      <w:r>
        <w:t>2.1 The modules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Module</w:t>
            </w:r>
          </w:p>
        </w:tc>
        <w:tc>
          <w:tcPr>
            <w:tcW w:type="dxa" w:w="2880"/>
          </w:tcPr>
          <w:p>
            <w:r>
              <w:t>Spec</w:t>
            </w:r>
          </w:p>
        </w:tc>
        <w:tc>
          <w:tcPr>
            <w:tcW w:type="dxa" w:w="2880"/>
          </w:tcPr>
          <w:p>
            <w:r>
              <w:t>What it owns</w:t>
            </w:r>
          </w:p>
        </w:tc>
      </w:tr>
      <w:tr>
        <w:tc>
          <w:tcPr>
            <w:tcW w:type="dxa" w:w="2880"/>
          </w:tcPr>
          <w:p>
            <w:r>
              <w:t>lib/stream/transport.ts</w:t>
            </w:r>
          </w:p>
        </w:tc>
        <w:tc>
          <w:tcPr>
            <w:tcW w:type="dxa" w:w="2880"/>
          </w:tcPr>
          <w:p>
            <w:r>
              <w:t>§4, §8.1</w:t>
            </w:r>
          </w:p>
        </w:tc>
        <w:tc>
          <w:tcPr>
            <w:tcW w:type="dxa" w:w="2880"/>
          </w:tcPr>
          <w:p>
            <w:r>
              <w:t>The SSE reader. fetch + ReadableStream, not EventSource — see §6.</w:t>
            </w:r>
          </w:p>
        </w:tc>
      </w:tr>
      <w:tr>
        <w:tc>
          <w:tcPr>
            <w:tcW w:type="dxa" w:w="2880"/>
          </w:tcPr>
          <w:p>
            <w:r>
              <w:t>lib/stream/parse.ts</w:t>
            </w:r>
          </w:p>
        </w:tc>
        <w:tc>
          <w:tcPr>
            <w:tcW w:type="dxa" w:w="2880"/>
          </w:tcPr>
          <w:p>
            <w:r>
              <w:t>§8.1</w:t>
            </w:r>
          </w:p>
        </w:tc>
        <w:tc>
          <w:tcPr>
            <w:tcW w:type="dxa" w:w="2880"/>
          </w:tcPr>
          <w:p>
            <w:r>
              <w:t>The SSE grammar, as an incremental push-parser. Handles split frames.</w:t>
            </w:r>
          </w:p>
        </w:tc>
      </w:tr>
      <w:tr>
        <w:tc>
          <w:tcPr>
            <w:tcW w:type="dxa" w:w="2880"/>
          </w:tcPr>
          <w:p>
            <w:r>
              <w:t>lib/stream/sentences.ts</w:t>
            </w:r>
          </w:p>
        </w:tc>
        <w:tc>
          <w:tcPr>
            <w:tcW w:type="dxa" w:w="2880"/>
          </w:tcPr>
          <w:p>
            <w:r>
              <w:t>§8.2, §19 Q1</w:t>
            </w:r>
          </w:p>
        </w:tc>
        <w:tc>
          <w:tcPr>
            <w:tcW w:type="dxa" w:w="2880"/>
          </w:tcPr>
          <w:p>
            <w:r>
              <w:t>A port of the runtime’s find_boundary, for the “still generating” split.</w:t>
            </w:r>
          </w:p>
        </w:tc>
      </w:tr>
      <w:tr>
        <w:tc>
          <w:tcPr>
            <w:tcW w:type="dxa" w:w="2880"/>
          </w:tcPr>
          <w:p>
            <w:r>
              <w:t>lib/stream/rehype-citations.ts</w:t>
            </w:r>
          </w:p>
        </w:tc>
        <w:tc>
          <w:tcPr>
            <w:tcW w:type="dxa" w:w="2880"/>
          </w:tcPr>
          <w:p>
            <w:r>
              <w:t>§10.1</w:t>
            </w:r>
          </w:p>
        </w:tc>
        <w:tc>
          <w:tcPr>
            <w:tcW w:type="dxa" w:w="2880"/>
          </w:tcPr>
          <w:p>
            <w:r>
              <w:t>[Pn] → citation nodes, in the AST so code and math stay literal.</w:t>
            </w:r>
          </w:p>
        </w:tc>
      </w:tr>
      <w:tr>
        <w:tc>
          <w:tcPr>
            <w:tcW w:type="dxa" w:w="2880"/>
          </w:tcPr>
          <w:p>
            <w:r>
              <w:t>lib/stream/buffer.ts</w:t>
            </w:r>
          </w:p>
        </w:tc>
        <w:tc>
          <w:tcPr>
            <w:tcW w:type="dxa" w:w="2880"/>
          </w:tcPr>
          <w:p>
            <w:r>
              <w:t>§8.1</w:t>
            </w:r>
          </w:p>
        </w:tc>
        <w:tc>
          <w:tcPr>
            <w:tcW w:type="dxa" w:w="2880"/>
          </w:tcPr>
          <w:p>
            <w:r>
              <w:t>The ~50ms coalescing window. First delta flushes at once.</w:t>
            </w:r>
          </w:p>
        </w:tc>
      </w:tr>
      <w:tr>
        <w:tc>
          <w:tcPr>
            <w:tcW w:type="dxa" w:w="2880"/>
          </w:tcPr>
          <w:p>
            <w:r>
              <w:t>lib/stream/useSessionStream.ts</w:t>
            </w:r>
          </w:p>
        </w:tc>
        <w:tc>
          <w:tcPr>
            <w:tcW w:type="dxa" w:w="2880"/>
          </w:tcPr>
          <w:p>
            <w:r>
              <w:t>§8.1, §8.3, §15.3</w:t>
            </w:r>
          </w:p>
        </w:tc>
        <w:tc>
          <w:tcPr>
            <w:tcW w:type="dxa" w:w="2880"/>
          </w:tcPr>
          <w:p>
            <w:r>
              <w:t>One owner of the streaming interaction: send, interrupt, resume, reconnect.</w:t>
            </w:r>
          </w:p>
        </w:tc>
      </w:tr>
      <w:tr>
        <w:tc>
          <w:tcPr>
            <w:tcW w:type="dxa" w:w="2880"/>
          </w:tcPr>
          <w:p>
            <w:r>
              <w:t>lib/state/session.ts</w:t>
            </w:r>
          </w:p>
        </w:tc>
        <w:tc>
          <w:tcPr>
            <w:tcW w:type="dxa" w:w="2880"/>
          </w:tcPr>
          <w:p>
            <w:r>
              <w:t>§14.2</w:t>
            </w:r>
          </w:p>
        </w:tc>
        <w:tc>
          <w:tcPr>
            <w:tcW w:type="dxa" w:w="2880"/>
          </w:tcPr>
          <w:p>
            <w:r>
              <w:t>Stream buffer, turns, interrupt state, runtime state. Chunk handlers as actions.</w:t>
            </w:r>
          </w:p>
        </w:tc>
      </w:tr>
      <w:tr>
        <w:tc>
          <w:tcPr>
            <w:tcW w:type="dxa" w:w="2880"/>
          </w:tcPr>
          <w:p>
            <w:r>
              <w:t>lib/api/schemas.ts</w:t>
            </w:r>
          </w:p>
        </w:tc>
        <w:tc>
          <w:tcPr>
            <w:tcW w:type="dxa" w:w="2880"/>
          </w:tcPr>
          <w:p>
            <w:r>
              <w:t>§4, §5.3</w:t>
            </w:r>
          </w:p>
        </w:tc>
        <w:tc>
          <w:tcPr>
            <w:tcW w:type="dxa" w:w="2880"/>
          </w:tcPr>
          <w:p>
            <w:r>
              <w:t>Zod at the boundary, written against app.py rather than against the spec.</w:t>
            </w:r>
          </w:p>
        </w:tc>
      </w:tr>
      <w:tr>
        <w:tc>
          <w:tcPr>
            <w:tcW w:type="dxa" w:w="2880"/>
          </w:tcPr>
          <w:p>
            <w:r>
              <w:t>lib/api/surfaces.ts</w:t>
            </w:r>
          </w:p>
        </w:tc>
        <w:tc>
          <w:tcPr>
            <w:tcW w:type="dxa" w:w="2880"/>
          </w:tcPr>
          <w:p>
            <w:r>
              <w:t>§6.1, §6.4</w:t>
            </w:r>
          </w:p>
        </w:tc>
        <w:tc>
          <w:tcPr>
            <w:tcW w:type="dxa" w:w="2880"/>
          </w:tcPr>
          <w:p>
            <w:r>
              <w:t>The endpoints the desk and journal need, and which of them exist.</w:t>
            </w:r>
          </w:p>
        </w:tc>
      </w:tr>
      <w:tr>
        <w:tc>
          <w:tcPr>
            <w:tcW w:type="dxa" w:w="2880"/>
          </w:tcPr>
          <w:p>
            <w:r>
              <w:t>lib/auth.ts</w:t>
            </w:r>
          </w:p>
        </w:tc>
        <w:tc>
          <w:tcPr>
            <w:tcW w:type="dxa" w:w="2880"/>
          </w:tcPr>
          <w:p>
            <w:r>
              <w:t>§5.1</w:t>
            </w:r>
          </w:p>
        </w:tc>
        <w:tc>
          <w:tcPr>
            <w:tcW w:type="dxa" w:w="2880"/>
          </w:tcPr>
          <w:p>
            <w:r>
              <w:t>A seam, not authentication. Server-only; refuses to run in production.</w:t>
            </w:r>
          </w:p>
        </w:tc>
      </w:tr>
      <w:tr>
        <w:tc>
          <w:tcPr>
            <w:tcW w:type="dxa" w:w="2880"/>
          </w:tcPr>
          <w:p>
            <w:r>
              <w:t>components/session/</w:t>
            </w:r>
          </w:p>
        </w:tc>
        <w:tc>
          <w:tcPr>
            <w:tcW w:type="dxa" w:w="2880"/>
          </w:tcPr>
          <w:p>
            <w:r>
              <w:t>§8, §9, §10, §11</w:t>
            </w:r>
          </w:p>
        </w:tc>
        <w:tc>
          <w:tcPr>
            <w:tcW w:type="dxa" w:w="2880"/>
          </w:tcPr>
          <w:p>
            <w:r>
              <w:t>Citations, streamed Markdown, interrupt control, palette, checks, transcript.</w:t>
            </w:r>
          </w:p>
        </w:tc>
      </w:tr>
      <w:tr>
        <w:tc>
          <w:tcPr>
            <w:tcW w:type="dxa" w:w="2880"/>
          </w:tcPr>
          <w:p>
            <w:r>
              <w:t>components/surfaces/</w:t>
            </w:r>
          </w:p>
        </w:tc>
        <w:tc>
          <w:tcPr>
            <w:tcW w:type="dxa" w:w="2880"/>
          </w:tcPr>
          <w:p>
            <w:r>
              <w:t>§6</w:t>
            </w:r>
          </w:p>
        </w:tc>
        <w:tc>
          <w:tcPr>
            <w:tcW w:type="dxa" w:w="2880"/>
          </w:tcPr>
          <w:p>
            <w:r>
              <w:t>The desk, classroom, bench, journal, session start, session close.</w:t>
            </w:r>
          </w:p>
        </w:tc>
      </w:tr>
      <w:tr>
        <w:tc>
          <w:tcPr>
            <w:tcW w:type="dxa" w:w="2880"/>
          </w:tcPr>
          <w:p>
            <w:r>
              <w:t>app/api/backend/[...path]</w:t>
            </w:r>
          </w:p>
        </w:tc>
        <w:tc>
          <w:tcPr>
            <w:tcW w:type="dxa" w:w="2880"/>
          </w:tcPr>
          <w:p>
            <w:r>
              <w:t>§5.1</w:t>
            </w:r>
          </w:p>
        </w:tc>
        <w:tc>
          <w:tcPr>
            <w:tcW w:type="dxa" w:w="2880"/>
          </w:tcPr>
          <w:p>
            <w:r>
              <w:t>The FastAPI proxy. Keeps SSE a stream across the hop.</w:t>
            </w:r>
          </w:p>
        </w:tc>
      </w:tr>
      <w:tr>
        <w:tc>
          <w:tcPr>
            <w:tcW w:type="dxa" w:w="2880"/>
          </w:tcPr>
          <w:p>
            <w:r>
              <w:t>styles/globals.css</w:t>
            </w:r>
          </w:p>
        </w:tc>
        <w:tc>
          <w:tcPr>
            <w:tcW w:type="dxa" w:w="2880"/>
          </w:tcPr>
          <w:p>
            <w:r>
              <w:t>§16</w:t>
            </w:r>
          </w:p>
        </w:tc>
        <w:tc>
          <w:tcPr>
            <w:tcW w:type="dxa" w:w="2880"/>
          </w:tcPr>
          <w:p>
            <w:r>
              <w:t>Type scale, palette, spacing, motion, and the reading column.</w:t>
            </w:r>
          </w:p>
        </w:tc>
      </w:tr>
    </w:tbl>
    <w:p>
      <w:pPr>
        <w:pStyle w:val="Heading2"/>
      </w:pPr>
      <w:r>
        <w:t>2.2 Everything else the spec names</w:t>
      </w:r>
    </w:p>
    <w:p>
      <w:pPr>
        <w:pStyle w:val="ListBullet"/>
      </w:pPr>
      <w:r>
        <w:t>All five MVP surfaces, at the routes §5.1 specifies, with the (auth) and (app) route groups and the session layout’s reduced chrome.</w:t>
      </w:r>
    </w:p>
    <w:p>
      <w:pPr>
        <w:pStyle w:val="ListBullet"/>
      </w:pPr>
      <w:r>
        <w:t>The eight primitives from §9, wired to the runtime’s PRIMITIVE_NAMES and pinned by a test that fails if the two lists diverge — a button that reads correctly and posts a name the runtime 422s looks to a learner like the tutor refusing to answer.</w:t>
      </w:r>
    </w:p>
    <w:p>
      <w:pPr>
        <w:pStyle w:val="ListBullet"/>
      </w:pPr>
      <w:r>
        <w:t>§9.1’s command palette on / and Cmd/Ctrl+K, as a combobox over a listbox with aria-activedescendant, so the arrow keys move the selection without moving focus out of the input.</w:t>
      </w:r>
    </w:p>
    <w:p>
      <w:pPr>
        <w:pStyle w:val="ListBullet"/>
      </w:pPr>
      <w:r>
        <w:t>§13’s WCAG 2.2 AA work throughout, including the two 2.2 additions: 2.4.11 (focus not obscured) via scroll-margin plus a pointer-events arrangement on the floating group, and 3.2.6 (consistent help) via a ? overlay present on every surface.</w:t>
      </w:r>
    </w:p>
    <w:p>
      <w:pPr>
        <w:pStyle w:val="ListBullet"/>
      </w:pPr>
      <w:r>
        <w:t>§16’s aesthetic system as Tailwind 4 theme variables, with dark-mode values chosen against the stated contrast ratio rather than derived by inverting lightness — which does not preserve it.</w:t>
      </w:r>
    </w:p>
    <w:p>
      <w:pPr>
        <w:pStyle w:val="ListBullet"/>
      </w:pPr>
      <w:r>
        <w:t>A separate CI workflow with its own Tier 1 / Tier 2 split, a coverage guard on the accessibility suite, and a job that regenerates the sentence-boundary fixture from the Python original and fails on a diff.</w:t>
      </w:r>
    </w:p>
    <w:p>
      <w:pPr>
        <w:pStyle w:val="Heading1"/>
      </w:pPr>
      <w:r>
        <w:t>3. Verification results</w:t>
      </w:r>
    </w:p>
    <w:p>
      <w:pPr>
        <w:pStyle w:val="Heading2"/>
      </w:pPr>
      <w:r>
        <w:t>3.1 Test tiers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Tier</w:t>
            </w:r>
          </w:p>
        </w:tc>
        <w:tc>
          <w:tcPr>
            <w:tcW w:type="dxa" w:w="2160"/>
          </w:tcPr>
          <w:p>
            <w:r>
              <w:t>Requires</w:t>
            </w:r>
          </w:p>
        </w:tc>
        <w:tc>
          <w:tcPr>
            <w:tcW w:type="dxa" w:w="2160"/>
          </w:tcPr>
          <w:p>
            <w:r>
              <w:t>Tests</w:t>
            </w:r>
          </w:p>
        </w:tc>
        <w:tc>
          <w:tcPr>
            <w:tcW w:type="dxa" w:w="2160"/>
          </w:tcPr>
          <w:p>
            <w:r>
              <w:t>Result</w:t>
            </w:r>
          </w:p>
        </w:tc>
      </w:tr>
      <w:tr>
        <w:tc>
          <w:tcPr>
            <w:tcW w:type="dxa" w:w="2160"/>
          </w:tcPr>
          <w:p>
            <w:r>
              <w:t>Tier 1 — offline</w:t>
            </w:r>
          </w:p>
        </w:tc>
        <w:tc>
          <w:tcPr>
            <w:tcW w:type="dxa" w:w="2160"/>
          </w:tcPr>
          <w:p>
            <w:r>
              <w:t>Node 22 only</w:t>
            </w:r>
          </w:p>
        </w:tc>
        <w:tc>
          <w:tcPr>
            <w:tcW w:type="dxa" w:w="2160"/>
          </w:tcPr>
          <w:p>
            <w:r>
              <w:t>194</w:t>
            </w:r>
          </w:p>
        </w:tc>
        <w:tc>
          <w:tcPr>
            <w:tcW w:type="dxa" w:w="2160"/>
          </w:tcPr>
          <w:p>
            <w:r>
              <w:t>All pass, 6.3s</w:t>
            </w:r>
          </w:p>
        </w:tc>
      </w:tr>
      <w:tr>
        <w:tc>
          <w:tcPr>
            <w:tcW w:type="dxa" w:w="2160"/>
          </w:tcPr>
          <w:p>
            <w:r>
              <w:t>Tier 2 — online</w:t>
            </w:r>
          </w:p>
        </w:tc>
        <w:tc>
          <w:tcPr>
            <w:tcW w:type="dxa" w:w="2160"/>
          </w:tcPr>
          <w:p>
            <w:r>
              <w:t>Chromium + a production build</w:t>
            </w:r>
          </w:p>
        </w:tc>
        <w:tc>
          <w:tcPr>
            <w:tcW w:type="dxa" w:w="2160"/>
          </w:tcPr>
          <w:p>
            <w:r>
              <w:t>28</w:t>
            </w:r>
          </w:p>
        </w:tc>
        <w:tc>
          <w:tcPr>
            <w:tcW w:type="dxa" w:w="2160"/>
          </w:tcPr>
          <w:p>
            <w:r>
              <w:t>All pass, 27.5s</w:t>
            </w:r>
          </w:p>
        </w:tc>
      </w:tr>
      <w:tr>
        <w:tc>
          <w:tcPr>
            <w:tcW w:type="dxa" w:w="2160"/>
          </w:tcPr>
          <w:p>
            <w:r>
              <w:t>Tier 3 — paid</w:t>
            </w:r>
          </w:p>
        </w:tc>
        <w:tc>
          <w:tcPr>
            <w:tcW w:type="dxa" w:w="2160"/>
          </w:tcPr>
          <w:p>
            <w:r>
              <w:t>FastAPI + Postgres + Anthropic + Voyage</w:t>
            </w:r>
          </w:p>
        </w:tc>
        <w:tc>
          <w:tcPr>
            <w:tcW w:type="dxa" w:w="2160"/>
          </w:tcPr>
          <w:p>
            <w:r>
              <w:t>4</w:t>
            </w:r>
          </w:p>
        </w:tc>
        <w:tc>
          <w:tcPr>
            <w:tcW w:type="dxa" w:w="2160"/>
          </w:tcPr>
          <w:p>
            <w:r>
              <w:t>Written, not run</w:t>
            </w:r>
          </w:p>
        </w:tc>
      </w:tr>
      <w:tr>
        <w:tc>
          <w:tcPr>
            <w:tcW w:type="dxa" w:w="2160"/>
          </w:tcPr>
          <w:p>
            <w:r>
              <w:t>Typecheck</w:t>
            </w:r>
          </w:p>
        </w:tc>
        <w:tc>
          <w:tcPr>
            <w:tcW w:type="dxa" w:w="2160"/>
          </w:tcPr>
          <w:p>
            <w:r>
              <w:t>strict + noUncheckedIndexedAccess</w:t>
            </w:r>
          </w:p>
        </w:tc>
        <w:tc>
          <w:tcPr>
            <w:tcW w:type="dxa" w:w="2160"/>
          </w:tcPr>
          <w:p>
            <w:r>
              <w:t>—</w:t>
            </w:r>
          </w:p>
        </w:tc>
        <w:tc>
          <w:tcPr>
            <w:tcW w:type="dxa" w:w="2160"/>
          </w:tcPr>
          <w:p>
            <w:r>
              <w:t>Clean</w:t>
            </w:r>
          </w:p>
        </w:tc>
      </w:tr>
      <w:tr>
        <w:tc>
          <w:tcPr>
            <w:tcW w:type="dxa" w:w="2160"/>
          </w:tcPr>
          <w:p>
            <w:r>
              <w:t>Lint</w:t>
            </w:r>
          </w:p>
        </w:tc>
        <w:tc>
          <w:tcPr>
            <w:tcW w:type="dxa" w:w="2160"/>
          </w:tcPr>
          <w:p>
            <w:r>
              <w:t>next/core-web-vitals + typescript</w:t>
            </w:r>
          </w:p>
        </w:tc>
        <w:tc>
          <w:tcPr>
            <w:tcW w:type="dxa" w:w="2160"/>
          </w:tcPr>
          <w:p>
            <w:r>
              <w:t>—</w:t>
            </w:r>
          </w:p>
        </w:tc>
        <w:tc>
          <w:tcPr>
            <w:tcW w:type="dxa" w:w="2160"/>
          </w:tcPr>
          <w:p>
            <w:r>
              <w:t>Clean, 0 warnings</w:t>
            </w:r>
          </w:p>
        </w:tc>
      </w:tr>
      <w:tr>
        <w:tc>
          <w:tcPr>
            <w:tcW w:type="dxa" w:w="2160"/>
          </w:tcPr>
          <w:p>
            <w:r>
              <w:t>Production build</w:t>
            </w:r>
          </w:p>
        </w:tc>
        <w:tc>
          <w:tcPr>
            <w:tcW w:type="dxa" w:w="2160"/>
          </w:tcPr>
          <w:p>
            <w:r>
              <w:t>Node 22</w:t>
            </w:r>
          </w:p>
        </w:tc>
        <w:tc>
          <w:tcPr>
            <w:tcW w:type="dxa" w:w="2160"/>
          </w:tcPr>
          <w:p>
            <w:r>
              <w:t>—</w:t>
            </w:r>
          </w:p>
        </w:tc>
        <w:tc>
          <w:tcPr>
            <w:tcW w:type="dxa" w:w="2160"/>
          </w:tcPr>
          <w:p>
            <w:r>
              <w:t>Compiles; 10 routes</w:t>
            </w:r>
          </w:p>
        </w:tc>
      </w:tr>
    </w:tbl>
    <w:p>
      <w:r>
        <w:t>The Tier 1 breakdown, because the totals hide which claims are actually supported: interaction 35, sentence-boundary parity 32, accessibility 25, schemas 21, citations 18, sentences 17, transport 16, session store 14, SSE parsing 9, accessibility-harness 7.</w:t>
      </w:r>
    </w:p>
    <w:p>
      <w:pPr>
        <w:pStyle w:val="Heading2"/>
      </w:pPr>
      <w:r>
        <w:t>3.2 The §17 Tier 1 requirements, and how they were met</w:t>
      </w:r>
    </w:p>
    <w:tbl>
      <w:tblPr>
        <w:tblStyle w:val="LightGrid-Accent1"/>
        <w:tblW w:type="auto" w:w="0"/>
        <w:tblLook w:firstColumn="1" w:firstRow="1" w:lastColumn="0" w:lastRow="0" w:noHBand="0" w:noVBand="1" w:val="04A0"/>
      </w:tblPr>
      <w:tblGrid>
        <w:gridCol w:w="4320"/>
        <w:gridCol w:w="4320"/>
      </w:tblGrid>
      <w:tr>
        <w:tc>
          <w:tcPr>
            <w:tcW w:type="dxa" w:w="4320"/>
          </w:tcPr>
          <w:p>
            <w:r>
              <w:t>§17 requirement</w:t>
            </w:r>
          </w:p>
        </w:tc>
        <w:tc>
          <w:tcPr>
            <w:tcW w:type="dxa" w:w="4320"/>
          </w:tcPr>
          <w:p>
            <w:r>
              <w:t>How it is tested</w:t>
            </w:r>
          </w:p>
        </w:tc>
      </w:tr>
      <w:tr>
        <w:tc>
          <w:tcPr>
            <w:tcW w:type="dxa" w:w="4320"/>
          </w:tcPr>
          <w:p>
            <w:r>
              <w:t>Component rendering with a minimal fixture</w:t>
            </w:r>
          </w:p>
        </w:tc>
        <w:tc>
          <w:tcPr>
            <w:tcW w:type="dxa" w:w="4320"/>
          </w:tcPr>
          <w:p>
            <w:r>
              <w:t>Every surface and session component renders in tests/a11y.test.tsx.</w:t>
            </w:r>
          </w:p>
        </w:tc>
      </w:tr>
      <w:tr>
        <w:tc>
          <w:tcPr>
            <w:tcW w:type="dxa" w:w="4320"/>
          </w:tcPr>
          <w:p>
            <w:r>
              <w:t>axe-core on every component, zero AA violations</w:t>
            </w:r>
          </w:p>
        </w:tc>
        <w:tc>
          <w:tcPr>
            <w:tcW w:type="dxa" w:w="4320"/>
          </w:tcPr>
          <w:p>
            <w:r>
              <w:t>25 audits under an explicit WCAG 2.2 AA tag set. Contrast is deferred to Tier 2, where it can actually be measured.</w:t>
            </w:r>
          </w:p>
        </w:tc>
      </w:tr>
      <w:tr>
        <w:tc>
          <w:tcPr>
            <w:tcW w:type="dxa" w:w="4320"/>
          </w:tcPr>
          <w:p>
            <w:r>
              <w:t>Zustand stores under a sequence of actions</w:t>
            </w:r>
          </w:p>
        </w:tc>
        <w:tc>
          <w:tcPr>
            <w:tcW w:type="dxa" w:w="4320"/>
          </w:tcPr>
          <w:p>
            <w:r>
              <w:t>A complete interrupted lecture driven as function calls: open, stream, interrupt, cut, question, answer. Plus unknown-state and orphan-chunk cases.</w:t>
            </w:r>
          </w:p>
        </w:tc>
      </w:tr>
      <w:tr>
        <w:tc>
          <w:tcPr>
            <w:tcW w:type="dxa" w:w="4320"/>
          </w:tcPr>
          <w:p>
            <w:r>
              <w:t>Zod validation, clean and malformed</w:t>
            </w:r>
          </w:p>
        </w:tc>
        <w:tc>
          <w:tcPr>
            <w:tcW w:type="dxa" w:w="4320"/>
          </w:tcPr>
          <w:p>
            <w:r>
              <w:t>21 cases against shapes copied from app.py, including the 402 body and a retired source with its excerpt withheld.</w:t>
            </w:r>
          </w:p>
        </w:tc>
      </w:tr>
      <w:tr>
        <w:tc>
          <w:tcPr>
            <w:tcW w:type="dxa" w:w="4320"/>
          </w:tcPr>
          <w:p>
            <w:r>
              <w:t>Streaming parser dispatches correctly</w:t>
            </w:r>
          </w:p>
        </w:tc>
        <w:tc>
          <w:tcPr>
            <w:tcW w:type="dxa" w:w="4320"/>
          </w:tcPr>
          <w:p>
            <w:r>
              <w:t>9 cases including a frame split across reads, CRLF, comments, and a stream that dies without its terminator.</w:t>
            </w:r>
          </w:p>
        </w:tc>
      </w:tr>
      <w:tr>
        <w:tc>
          <w:tcPr>
            <w:tcW w:type="dxa" w:w="4320"/>
          </w:tcPr>
          <w:p>
            <w:r>
              <w:t>Client sentence-boundary detection</w:t>
            </w:r>
          </w:p>
        </w:tc>
        <w:tc>
          <w:tcPr>
            <w:tcW w:type="dxa" w:w="4320"/>
          </w:tcPr>
          <w:p>
            <w:r>
              <w:t>17 unit cases plus 32 parity cases generated from the runtime’s own find_boundary. CI regenerates and diffs the fixture.</w:t>
            </w:r>
          </w:p>
        </w:tc>
      </w:tr>
      <w:tr>
        <w:tc>
          <w:tcPr>
            <w:tcW w:type="dxa" w:w="4320"/>
          </w:tcPr>
          <w:p>
            <w:r>
              <w:t>Citation marker parser produces the right tree</w:t>
            </w:r>
          </w:p>
        </w:tc>
        <w:tc>
          <w:tcPr>
            <w:tcW w:type="dxa" w:w="4320"/>
          </w:tcPr>
          <w:p>
            <w:r>
              <w:t>18 cases: ranges, several markers per paragraph, near-misses, and AST cases proving code fences and KaTeX output stay literal.</w:t>
            </w:r>
          </w:p>
        </w:tc>
      </w:tr>
      <w:tr>
        <w:tc>
          <w:tcPr>
            <w:tcW w:type="dxa" w:w="4320"/>
          </w:tcPr>
          <w:p>
            <w:r>
              <w:t>Coverage guard so the a11y suite cannot pass vacuously</w:t>
            </w:r>
          </w:p>
        </w:tc>
        <w:tc>
          <w:tcPr>
            <w:tcW w:type="dxa" w:w="4320"/>
          </w:tcPr>
          <w:p>
            <w:r>
              <w:t>The suite asserts a floor on its own audit count, and a second file proves the detector still fails on a real violation.</w:t>
            </w:r>
          </w:p>
        </w:tc>
      </w:tr>
    </w:tbl>
    <w:p>
      <w:pPr>
        <w:pStyle w:val="Heading2"/>
      </w:pPr>
      <w:r>
        <w:t>3.3 What Tier 2 establishes that Tier 1 cannot</w:t>
      </w:r>
    </w:p>
    <w:p>
      <w:pPr>
        <w:pStyle w:val="ListBullet"/>
      </w:pPr>
      <w:r>
        <w:t>Colour contrast, in light and dark, across four surfaces plus the streaming classroom and the open palette. axe needs computed styles and real layout, so the Tier 1 run disables the rule. This pass found a real conflict between §16.2 and §13.1 — see 4.1.</w:t>
      </w:r>
    </w:p>
    <w:p>
      <w:pPr>
        <w:pStyle w:val="ListBullet"/>
      </w:pPr>
      <w:r>
        <w:t>The interrupt round trip against a real socket: the POST lands on its own channel, the stream stops, the pause is marked, focus moves, and the learner’s question starts a new turn carrying their words.</w:t>
      </w:r>
    </w:p>
    <w:p>
      <w:pPr>
        <w:pStyle w:val="ListBullet"/>
      </w:pPr>
      <w:r>
        <w:t>§13.5’s keyboard-only pass through desk → session start → classroom → palette → journal.</w:t>
      </w:r>
    </w:p>
    <w:p>
      <w:pPr>
        <w:pStyle w:val="ListBullet"/>
      </w:pPr>
      <w:r>
        <w:t>WCAG 2.4.11, checked geometrically: the element at the focused input’s own coordinates is the input, not the floating action group sitting over it.</w:t>
      </w:r>
    </w:p>
    <w:p>
      <w:pPr>
        <w:pStyle w:val="ListBullet"/>
      </w:pPr>
      <w:r>
        <w:t>That the theme applies before first paint, so a learner who chose dark mode does not get a white flash on every navigation.</w:t>
      </w:r>
    </w:p>
    <w:p>
      <w:pPr>
        <w:pStyle w:val="Heading1"/>
      </w:pPr>
      <w:r>
        <w:t>4. Defects found during the build</w:t>
      </w:r>
    </w:p>
    <w:p>
      <w:r>
        <w:t>Each was found by a test rather than by inspection, and each is listed with what would have happened had it shipped.</w:t>
      </w:r>
    </w:p>
    <w:p>
      <w:pPr>
        <w:pStyle w:val="Heading2"/>
      </w:pPr>
      <w:r>
        <w:t>4.1 The accent colour failed the contrast requirement on every primary button</w:t>
      </w:r>
    </w:p>
    <w:p>
      <w:r>
        <w:t>§16.2 locks the accent at hsl(200 45% 40%). §13.1 requires 4.5:1 for text. As ink — links, focus rings, borders — the accent measures 4.8:1 and is fine. As a filled button carrying the near-white on-accent colour it measures 3.22:1. Both sentences are in the spec and they cannot both hold for the primary button, the armed interrupt button, or the skip link.</w:t>
      </w:r>
    </w:p>
    <w:p>
      <w:r>
        <w:t>Resolved by deriving one darker step of the same hue and saturation (hsl(200 45% 30%), 7.1:1) for filled surfaces and leaving §16.2’s value exactly where §16.2 is talking about it. Darkening the accent globally would have changed every link and focus ring in the product to fix a button.</w:t>
      </w:r>
    </w:p>
    <w:p>
      <w:r>
        <w:t>Had it shipped: the most prominent control on every surface — including the interrupt button, the one §3 calls “a preserved control” — would have failed AA, and the product’s central accessibility claim with it. Reading would not have caught this. The Tier 2 contrast pass did, which is the argument for that pass existing.</w:t>
      </w:r>
    </w:p>
    <w:p>
      <w:pPr>
        <w:pStyle w:val="Heading2"/>
      </w:pPr>
      <w:r>
        <w:t>4.2 The render batcher delayed the first token of every session</w:t>
      </w:r>
    </w:p>
    <w:p>
      <w:r>
        <w:t>The §8.1 coalescing window is meant to be a coalescing window and not a delay: the first delta after a quiet period should flush immediately. The implementation tracked “last flushed at” as 0, so the elapsed calculation read now() - 0 and only appeared large because wall-clock epoch millis are large.</w:t>
      </w:r>
    </w:p>
    <w:p>
      <w:r>
        <w:t>Against any clock starting near zero — a monotonic one, or an injected one in a test — the first delta was held for the full window. Found by three buffer tests using an injected clock; fixed by initialising to negative infinity so “never flushed” is unambiguous. The symptom in production would have been every session starting 50ms slower than intended, which is not something anyone would ever have noticed or attributed.</w:t>
      </w:r>
    </w:p>
    <w:p>
      <w:pPr>
        <w:pStyle w:val="Heading2"/>
      </w:pPr>
      <w:r>
        <w:t>4.3 The contextual primitive buttons never appeared</w:t>
      </w:r>
    </w:p>
    <w:p>
      <w:r>
        <w:t>§9.2 keys the contextual buttons off the session state. The stream does not carry it: only the Orchestrator’s own transitions put next_state on an end chunk, and an ordinary lecture segment’s end chunk carries turn_id, segment_index and anchor. Left as the spec implies, the state stays null for a whole lecture and §9.2’s buttons never render at all.</w:t>
      </w:r>
    </w:p>
    <w:p>
      <w:r>
        <w:t>The store now seeds the state from the session mode, mirroring the runtime’s own MODE_ENTRY_STATE table, and reconciles against GET /state after each turn. Found by a Tier 2 test that asserted the LECTURING row and got an empty toolbar. Recorded as F9.</w:t>
      </w:r>
    </w:p>
    <w:p>
      <w:pPr>
        <w:pStyle w:val="Heading2"/>
      </w:pPr>
      <w:r>
        <w:t>4.4 Cancelling an interrupt parked the learner instead of resuming</w:t>
      </w:r>
    </w:p>
    <w:p>
      <w:r>
        <w:t>§8.3’s cancellation is specific: Escape before typing means “no new stream from the Tutor, the interrupted lecture resumes with a two-sentence recap”. The first build showed the resumption card instead, which is a different interaction — the learner raised their hand, changed their mind, and would have had a second decision to make to get back to where they already were. Found by a Tier 2 test; recorded as F10.</w:t>
      </w:r>
    </w:p>
    <w:p>
      <w:pPr>
        <w:pStyle w:val="Heading2"/>
      </w:pPr>
      <w:r>
        <w:t>4.5 Two smaller ones</w:t>
      </w:r>
    </w:p>
    <w:p>
      <w:pPr>
        <w:pStyle w:val="ListBullet"/>
      </w:pPr>
      <w:r>
        <w:t>isTypingContext returned false for a detached contenteditable node, because isContentEditable is computed from the rendered tree. Harmless for real keyboard events, which always come from attached elements, but a predicate that answers differently depending on whether a node is in the document is one nobody can reason about. It now checks the attribute as well.</w:t>
      </w:r>
    </w:p>
    <w:p>
      <w:pPr>
        <w:pStyle w:val="ListBullet"/>
      </w:pPr>
      <w:r>
        <w:t>The auth guard fired during static prerendering and failed the production build — the guard working correctly at the one moment it is not talking about. Fixed by reading cookies() first, which is what tells Next the render depends on the request, and by marking the whole (app) group force-dynamic. Every authenticated route now renders per learner, which is the honest statement anyway.</w:t>
      </w:r>
    </w:p>
    <w:p>
      <w:pPr>
        <w:pStyle w:val="Heading1"/>
      </w:pPr>
      <w:r>
        <w:t>5. Divergences from the specification</w:t>
      </w:r>
    </w:p>
    <w:p>
      <w:r>
        <w:t>Fifteen, recorded in full in studium-web/DIVERGENCES-FRONTEND.md as F1–F15 and cited by ID from the code. Four are load-bearing, and three of those four share one cause: §4 and §8.1 describe an SSE contract that subsystem 2 does not implement. §18’s assurance that the frontend “consumes agent output through the SSE contract established in subsystem 2 §20, which is unchanged” is true of §20’s design and not of the endpoint that shipped.</w:t>
      </w:r>
    </w:p>
    <w:p>
      <w:pPr>
        <w:pStyle w:val="Heading2"/>
      </w:pPr>
      <w:r>
        <w:t>5.1 Load-bearing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The spec says</w:t>
            </w:r>
          </w:p>
        </w:tc>
        <w:tc>
          <w:tcPr>
            <w:tcW w:type="dxa" w:w="2880"/>
          </w:tcPr>
          <w:p>
            <w:r>
              <w:t>What would go wrong</w:t>
            </w:r>
          </w:p>
        </w:tc>
      </w:tr>
      <w:tr>
        <w:tc>
          <w:tcPr>
            <w:tcW w:type="dxa" w:w="2880"/>
          </w:tcPr>
          <w:p>
            <w:r>
              <w:t>F1</w:t>
            </w:r>
          </w:p>
        </w:tc>
        <w:tc>
          <w:tcPr>
            <w:tcW w:type="dxa" w:w="2880"/>
          </w:tcPr>
          <w:p>
            <w:r>
              <w:t>§4 and §8.1: consume the stream with native EventSource, from GET /api/session/{id}/stream.</w:t>
            </w:r>
          </w:p>
        </w:tc>
        <w:tc>
          <w:tcPr>
            <w:tcW w:type="dxa" w:w="2880"/>
          </w:tcPr>
          <w:p>
            <w:r>
              <w:t>There is no such endpoint. The runtime streams from POST .../turn with the learner’s utterance in the body, and EventSource issues a GET, cannot carry a body, and cannot set headers. Nothing would stream at all, and it would present as a 405 or a hang rather than as anything naming the cause.</w:t>
            </w:r>
          </w:p>
        </w:tc>
      </w:tr>
      <w:tr>
        <w:tc>
          <w:tcPr>
            <w:tcW w:type="dxa" w:w="2880"/>
          </w:tcPr>
          <w:p>
            <w:r>
              <w:t>F2</w:t>
            </w:r>
          </w:p>
        </w:tc>
        <w:tc>
          <w:tcPr>
            <w:tcW w:type="dxa" w:w="2880"/>
          </w:tcPr>
          <w:p>
            <w:r>
              <w:t>§8.1: the chunk kinds are text, tool_effect, trace, end.</w:t>
            </w:r>
          </w:p>
        </w:tc>
        <w:tc>
          <w:tcPr>
            <w:tcW w:type="dxa" w:w="2880"/>
          </w:tcPr>
          <w:p>
            <w:r>
              <w:t>There are five. The fifth, degraded, carries the learner-visible copy when a call has failed past its retries — and on a budget stop it is the runtime’s entire output. A consumer built to §8.1’s list renders a turn that produced nothing, with no error: the exact silent failure §3 forbids.</w:t>
            </w:r>
          </w:p>
        </w:tc>
      </w:tr>
      <w:tr>
        <w:tc>
          <w:tcPr>
            <w:tcW w:type="dxa" w:w="2880"/>
          </w:tcPr>
          <w:p>
            <w:r>
              <w:t>F3</w:t>
            </w:r>
          </w:p>
        </w:tc>
        <w:tc>
          <w:tcPr>
            <w:tcW w:type="dxa" w:w="2880"/>
          </w:tcPr>
          <w:p>
            <w:r>
              <w:t>§10: resolve [Pn] markers via the artifact citations endpoint.</w:t>
            </w:r>
          </w:p>
        </w:tc>
        <w:tc>
          <w:tcPr>
            <w:tcW w:type="dxa" w:w="2880"/>
          </w:tcPr>
          <w:p>
            <w:r>
              <w:t>The endpoint works; the client can never learn the artifact_id. Effects are applied after the call completes, so the tool_effect chunk predates the row and the end chunk omits it. Every hover card in the product would spin forever. Raised against subsystem 2 as SPEC_DEBT SD5.</w:t>
            </w:r>
          </w:p>
        </w:tc>
      </w:tr>
      <w:tr>
        <w:tc>
          <w:tcPr>
            <w:tcW w:type="dxa" w:w="2880"/>
          </w:tcPr>
          <w:p>
            <w:r>
              <w:t>F4</w:t>
            </w:r>
          </w:p>
        </w:tc>
        <w:tc>
          <w:tcPr>
            <w:tcW w:type="dxa" w:w="2880"/>
          </w:tcPr>
          <w:p>
            <w:r>
              <w:t>§6.1, §6.4, §6.5: the desk, journal and session summary.</w:t>
            </w:r>
          </w:p>
        </w:tc>
        <w:tc>
          <w:tcPr>
            <w:tcW w:type="dxa" w:w="2880"/>
          </w:tcPr>
          <w:p>
            <w:r>
              <w:t>The tables exist and are written to; no HTTP endpoint reads them. Three of the five MVP surfaces would 404 and blame the learner for it. They now say what is missing instead.</w:t>
            </w:r>
          </w:p>
        </w:tc>
      </w:tr>
    </w:tbl>
    <w:p>
      <w:pPr>
        <w:pStyle w:val="Heading2"/>
      </w:pPr>
      <w:r>
        <w:t>5.2 The rest, in brief</w:t>
      </w:r>
    </w:p>
    <w:p>
      <w:pPr>
        <w:pStyle w:val="ListBullet"/>
      </w:pPr>
      <w:r>
        <w:t>F5 — the interrupt answers 200 with an accepted flag, not 202. That is the better contract: “nothing was streaming” is a state the button must render, not an error.</w:t>
      </w:r>
    </w:p>
    <w:p>
      <w:pPr>
        <w:pStyle w:val="ListBullet"/>
      </w:pPr>
      <w:r>
        <w:t>F6 — a dropped stream is replayed, not resumed; §8.1’s resume request has no endpoint. This costs a second generation of the same content, so the classroom marks the retry rather than pretending it was seamless.</w:t>
      </w:r>
    </w:p>
    <w:p>
      <w:pPr>
        <w:pStyle w:val="ListBullet"/>
      </w:pPr>
      <w:r>
        <w:t>F7 — there is no authentication anywhere in the backend, and the sign-in page says so rather than implying a check nothing performs.</w:t>
      </w:r>
    </w:p>
    <w:p>
      <w:pPr>
        <w:pStyle w:val="ListBullet"/>
      </w:pPr>
      <w:r>
        <w:t>F8 — a second, darker accent for filled surfaces. See 4.1.</w:t>
      </w:r>
    </w:p>
    <w:p>
      <w:pPr>
        <w:pStyle w:val="ListBullet"/>
      </w:pPr>
      <w:r>
        <w:t>F9 — the runtime state is seeded from the mode and reconciled against GET /state, because the stream does not carry it. See 4.3.</w:t>
      </w:r>
    </w:p>
    <w:p>
      <w:pPr>
        <w:pStyle w:val="ListBullet"/>
      </w:pPr>
      <w:r>
        <w:t>F10 — cancelling an interrupt resumes the lecture. See 4.4.</w:t>
      </w:r>
    </w:p>
    <w:p>
      <w:pPr>
        <w:pStyle w:val="ListBullet"/>
      </w:pPr>
      <w:r>
        <w:t>F11 — the sentence detector is a port that deliberately omits the server’s two escapes, so it may be behind the server and never ahead. CI regenerates the fixture from the Python original and fails on a diff.</w:t>
      </w:r>
    </w:p>
    <w:p>
      <w:pPr>
        <w:pStyle w:val="ListBullet"/>
      </w:pPr>
      <w:r>
        <w:t>F12 — every backend call goes through a Next proxy, so the browser never learns the backend origin and SSE survives the hop unbuffered.</w:t>
      </w:r>
    </w:p>
    <w:p>
      <w:pPr>
        <w:pStyle w:val="ListBullet"/>
      </w:pPr>
      <w:r>
        <w:t>F13 — two live regions, not one: an element cannot be both politenesses. The rule §13.4 protects — nothing component-level, nothing competing — holds exactly.</w:t>
      </w:r>
    </w:p>
    <w:p>
      <w:pPr>
        <w:pStyle w:val="ListBullet"/>
      </w:pPr>
      <w:r>
        <w:t>F14 — citation substitution happens in the AST, not over rendered text, so a [P3] inside a code fence about citation formats stays literal.</w:t>
      </w:r>
    </w:p>
    <w:p>
      <w:pPr>
        <w:pStyle w:val="ListBullet"/>
      </w:pPr>
      <w:r>
        <w:t>F15 — let_me_try_one does not yet route its problem to the bench. An incomplete implementation rather than a contract problem, named so it is not discovered.</w:t>
      </w:r>
    </w:p>
    <w:p>
      <w:pPr>
        <w:pStyle w:val="Heading2"/>
      </w:pPr>
      <w:r>
        <w:t>5.3 Followed despite a reservation</w:t>
      </w:r>
    </w:p>
    <w:p>
      <w:r>
        <w:t>§8.2’s no-auto-scroll rule is the opposite of what every chat interface does, and it is right: scrolling the page under someone reading paragraph two because paragraph four arrived is hostile. Implemented as written, with the chat behaviour available as an opt-in preference.</w:t>
      </w:r>
    </w:p>
    <w:p>
      <w:r>
        <w:t>§4 asks for KaTeX and Shiki “server-side where possible”. KaTeX runs client-side because streamed math must re-render when its closing delimiter arrives and there is no server round trip in that loop. Shiki is not wired at all: code blocks render monospace with correct layout and no syntax colour. §13.1 is satisfied either way, since colour carries no information there, so this is a visual gap rather than a compliance one.</w:t>
      </w:r>
    </w:p>
    <w:p>
      <w:pPr>
        <w:pStyle w:val="Heading1"/>
      </w:pPr>
      <w:r>
        <w:t>6. What is not verified</w:t>
      </w:r>
    </w:p>
    <w:p>
      <w:r>
        <w:t>This is the section to read before treating anything above as a guarantee.</w:t>
      </w:r>
    </w:p>
    <w:p>
      <w:pPr>
        <w:pStyle w:val="ListBullet"/>
      </w:pPr>
      <w:r>
        <w:t>The real backend. No test in the passing set has ever talked to FastAPI. Tier 2’s mock speaks the runtime’s wire contract, and a mock and a client can agree with each other indefinitely while both have drifted from the server. Tier 3 exists to check exactly that, and has not been run.</w:t>
      </w:r>
    </w:p>
    <w:p>
      <w:pPr>
        <w:pStyle w:val="ListBullet"/>
      </w:pPr>
      <w:r>
        <w:t>Citation resolution. Every marker renders and no card has ever populated with real provenance, because nothing can supply the artifact id (F3). The hover card, the range expansion, the retired-source treatment and the full-passage modal are exercised only against fixtures.</w:t>
      </w:r>
    </w:p>
    <w:p>
      <w:pPr>
        <w:pStyle w:val="ListBullet"/>
      </w:pPr>
      <w:r>
        <w:t>The desk and journal read paths, and the optimistic-update machinery with them. §17’s “Journal CRUD … verify optimistic updates and rollback” could not run (F4). That code is unit tested and has never met a server.</w:t>
      </w:r>
    </w:p>
    <w:p>
      <w:pPr>
        <w:pStyle w:val="ListBullet"/>
      </w:pPr>
      <w:r>
        <w:t>Real model output. Every rendering assertion is against scripted text with sentence-shaped pieces. Real Lecturer prose has different Markdown, different math density, and different failure modes for the partial-block renderer — §8.2’s hardest case, an open code fence at the moment of render, has only been seen in fixtures.</w:t>
      </w:r>
    </w:p>
    <w:p>
      <w:pPr>
        <w:pStyle w:val="ListBullet"/>
      </w:pPr>
      <w:r>
        <w:t>Screen readers. §13.5 asks for a monthly VoiceOver pass and NVDA as time permits. Neither has happened. axe catches structural violations; it cannot tell you whether the interruption flow is comprehensible when heard, which is the thing §8.3 is actually trying to achieve.</w:t>
      </w:r>
    </w:p>
    <w:p>
      <w:pPr>
        <w:pStyle w:val="ListBullet"/>
      </w:pPr>
      <w:r>
        <w:t>Cross-browser anything. Chromium only. §13.5 puts Firefox and Safari in the manual pass.</w:t>
      </w:r>
    </w:p>
    <w:p>
      <w:pPr>
        <w:pStyle w:val="ListBullet"/>
      </w:pPr>
      <w:r>
        <w:t>Mobile and tablet. §2 puts phones out of scope and calls tablet support a happy accident. Nothing has checked whether the accident occurred.</w:t>
      </w:r>
    </w:p>
    <w:p>
      <w:pPr>
        <w:pStyle w:val="ListBullet"/>
      </w:pPr>
      <w:r>
        <w:t>Performance under a long session. The transcript accumulates turns without virtualisation. A 90-minute session at 40–60 turns has never been rendered, and §3’s “no visible reflow beyond adding new characters” is unmeasured past a handful of segments.</w:t>
      </w:r>
    </w:p>
    <w:p>
      <w:pPr>
        <w:pStyle w:val="Heading1"/>
      </w:pPr>
      <w:r>
        <w:t>7. What to do next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Priority</w:t>
            </w:r>
          </w:p>
        </w:tc>
        <w:tc>
          <w:tcPr>
            <w:tcW w:type="dxa" w:w="2880"/>
          </w:tcPr>
          <w:p>
            <w:r>
              <w:t>Item</w:t>
            </w:r>
          </w:p>
        </w:tc>
        <w:tc>
          <w:tcPr>
            <w:tcW w:type="dxa" w:w="2880"/>
          </w:tcPr>
          <w:p>
            <w:r>
              <w:t>Why</w:t>
            </w:r>
          </w:p>
        </w:tc>
      </w:tr>
      <w:tr>
        <w:tc>
          <w:tcPr>
            <w:tcW w:type="dxa" w:w="2880"/>
          </w:tcPr>
          <w:p>
            <w:r>
              <w:t>1</w:t>
            </w:r>
          </w:p>
        </w:tc>
        <w:tc>
          <w:tcPr>
            <w:tcW w:type="dxa" w:w="2880"/>
          </w:tcPr>
          <w:p>
            <w:r>
              <w:t>Put artifact_id on the runtime’s end chunk (SD5).</w:t>
            </w:r>
          </w:p>
        </w:tc>
        <w:tc>
          <w:tcPr>
            <w:tcW w:type="dxa" w:w="2880"/>
          </w:tcPr>
          <w:p>
            <w:r>
              <w:t>One field. It unblocks the whole of §10, which is currently built and inert, and it is the product’s claim to be grounded.</w:t>
            </w:r>
          </w:p>
        </w:tc>
      </w:tr>
      <w:tr>
        <w:tc>
          <w:tcPr>
            <w:tcW w:type="dxa" w:w="2880"/>
          </w:tcPr>
          <w:p>
            <w:r>
              <w:t>2</w:t>
            </w:r>
          </w:p>
        </w:tc>
        <w:tc>
          <w:tcPr>
            <w:tcW w:type="dxa" w:w="2880"/>
          </w:tcPr>
          <w:p>
            <w:r>
              <w:t>Run Tier 3 against the real stack.</w:t>
            </w:r>
          </w:p>
        </w:tc>
        <w:tc>
          <w:tcPr>
            <w:tcW w:type="dxa" w:w="2880"/>
          </w:tcPr>
          <w:p>
            <w:r>
              <w:t>It is the only thing that can tell you the mock has not drifted. Everything in §3 is conditional on the contract being what Tier 2 assumes.</w:t>
            </w:r>
          </w:p>
        </w:tc>
      </w:tr>
      <w:tr>
        <w:tc>
          <w:tcPr>
            <w:tcW w:type="dxa" w:w="2880"/>
          </w:tcPr>
          <w:p>
            <w:r>
              <w:t>3</w:t>
            </w:r>
          </w:p>
        </w:tc>
        <w:tc>
          <w:tcPr>
            <w:tcW w:type="dxa" w:w="2880"/>
          </w:tcPr>
          <w:p>
            <w:r>
              <w:t>Serve the desk, journal and summary read paths (F4).</w:t>
            </w:r>
          </w:p>
        </w:tc>
        <w:tc>
          <w:tcPr>
            <w:tcW w:type="dxa" w:w="2880"/>
          </w:tcPr>
          <w:p>
            <w:r>
              <w:t>Three of five MVP surfaces are display-only placeholders, and the optimistic-update code has never run against a server.</w:t>
            </w:r>
          </w:p>
        </w:tc>
      </w:tr>
      <w:tr>
        <w:tc>
          <w:tcPr>
            <w:tcW w:type="dxa" w:w="2880"/>
          </w:tcPr>
          <w:p>
            <w:r>
              <w:t>4</w:t>
            </w:r>
          </w:p>
        </w:tc>
        <w:tc>
          <w:tcPr>
            <w:tcW w:type="dxa" w:w="2880"/>
          </w:tcPr>
          <w:p>
            <w:r>
              <w:t>Route let_me_try_one to the bench (F15).</w:t>
            </w:r>
          </w:p>
        </w:tc>
        <w:tc>
          <w:tcPr>
            <w:tcW w:type="dxa" w:w="2880"/>
          </w:tcPr>
          <w:p>
            <w:r>
              <w:t>The bench is built, accessible and unreachable from the flow that is supposed to reach it.</w:t>
            </w:r>
          </w:p>
        </w:tc>
      </w:tr>
      <w:tr>
        <w:tc>
          <w:tcPr>
            <w:tcW w:type="dxa" w:w="2880"/>
          </w:tcPr>
          <w:p>
            <w:r>
              <w:t>5</w:t>
            </w:r>
          </w:p>
        </w:tc>
        <w:tc>
          <w:tcPr>
            <w:tcW w:type="dxa" w:w="2880"/>
          </w:tcPr>
          <w:p>
            <w:r>
              <w:t>Do the first screen-reader pass.</w:t>
            </w:r>
          </w:p>
        </w:tc>
        <w:tc>
          <w:tcPr>
            <w:tcW w:type="dxa" w:w="2880"/>
          </w:tcPr>
          <w:p>
            <w:r>
              <w:t>§8.3’s announcements are implemented and their wording has never been heard by anyone. This is the cheapest way to find out whether the interruption model works for the learner it most matters to.</w:t>
            </w:r>
          </w:p>
        </w:tc>
      </w:tr>
      <w:tr>
        <w:tc>
          <w:tcPr>
            <w:tcW w:type="dxa" w:w="2880"/>
          </w:tcPr>
          <w:p>
            <w:r>
              <w:t>6</w:t>
            </w:r>
          </w:p>
        </w:tc>
        <w:tc>
          <w:tcPr>
            <w:tcW w:type="dxa" w:w="2880"/>
          </w:tcPr>
          <w:p>
            <w:r>
              <w:t>Add a resume endpoint (F6), or accept replay.</w:t>
            </w:r>
          </w:p>
        </w:tc>
        <w:tc>
          <w:tcPr>
            <w:tcW w:type="dxa" w:w="2880"/>
          </w:tcPr>
          <w:p>
            <w:r>
              <w:t>Replaying a dropped turn regenerates content that was already paid for. At three learners this is noise; it is the kind of noise that stops being noise quietly.</w:t>
            </w:r>
          </w:p>
        </w:tc>
      </w:tr>
    </w:tbl>
    <w:p/>
    <w:p>
      <w:r>
        <w:t>Next in sequence: Subsystem 5 — Content Authoring and Ingestion. It inherits SD1, which now has a fourth instance in all but name: the provenance gap SD5 describes is the same shape — a row that exists, a consumer that needs to name it, and no path between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