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46536A"/>
          <w:sz w:val="17"/>
        </w:rPr>
        <w:t>STUDIUM  ·  SUBSYSTEM 1 OF 7</w:t>
      </w:r>
    </w:p>
    <w:p>
      <w:pPr>
        <w:pStyle w:val="Title"/>
      </w:pPr>
      <w:r>
        <w:rPr>
          <w:color w:val="151C26"/>
        </w:rPr>
        <w:t>Data Layer Build Report</w:t>
      </w:r>
    </w:p>
    <w:p>
      <w:r>
        <w:rPr>
          <w:i/>
          <w:color w:val="46536A"/>
          <w:sz w:val="23"/>
        </w:rPr>
        <w:t>The persistence layer specified in Studium — Data Layer Specification v1.0 has been reviewed and built. It is complete and internally consistent. It has not yet run against a Postgres server, and that is the one material gap in this report.</w:t>
      </w:r>
    </w:p>
    <w:p>
      <w:r>
        <w:rPr>
          <w:color w:val="46536A"/>
          <w:sz w:val="18"/>
        </w:rPr>
        <w:t>Prepared 14 August 2026   |   Against spec v1.0 (build-ready)   |   Status: built, database verification outstanding</w:t>
      </w:r>
    </w:p>
    <w:tbl>
      <w:tblPr>
        <w:tblStyle w:val="LightGrid-Accent1"/>
        <w:tblW w:type="auto" w:w="0"/>
        <w:tblLayout w:type="autofit"/>
        <w:tblLook w:firstColumn="1" w:firstRow="1" w:lastColumn="0" w:lastRow="0" w:noHBand="0" w:noVBand="1" w:val="04A0"/>
      </w:tblPr>
      <w:tblGrid>
        <w:gridCol w:w="1728"/>
        <w:gridCol w:w="1728"/>
        <w:gridCol w:w="1728"/>
        <w:gridCol w:w="1728"/>
        <w:gridCol w:w="1728"/>
      </w:tblGrid>
      <w:tr>
        <w:tc>
          <w:tcPr>
            <w:tcW w:type="dxa" w:w="1728"/>
          </w:tcPr>
          <w:p>
            <w:r/>
            <w:r>
              <w:rPr>
                <w:b/>
                <w:sz w:val="18"/>
              </w:rPr>
              <w:t>Tables built</w:t>
            </w:r>
          </w:p>
        </w:tc>
        <w:tc>
          <w:tcPr>
            <w:tcW w:type="dxa" w:w="1728"/>
          </w:tcPr>
          <w:p>
            <w:r/>
            <w:r>
              <w:rPr>
                <w:b/>
                <w:sz w:val="18"/>
              </w:rPr>
              <w:t>Lines of Python</w:t>
            </w:r>
          </w:p>
        </w:tc>
        <w:tc>
          <w:tcPr>
            <w:tcW w:type="dxa" w:w="1728"/>
          </w:tcPr>
          <w:p>
            <w:r/>
            <w:r>
              <w:rPr>
                <w:b/>
                <w:sz w:val="18"/>
              </w:rPr>
              <w:t>Spec defects found</w:t>
            </w:r>
          </w:p>
        </w:tc>
        <w:tc>
          <w:tcPr>
            <w:tcW w:type="dxa" w:w="1728"/>
          </w:tcPr>
          <w:p>
            <w:r/>
            <w:r>
              <w:rPr>
                <w:b/>
                <w:sz w:val="18"/>
              </w:rPr>
              <w:t>Tests passing</w:t>
            </w:r>
          </w:p>
        </w:tc>
        <w:tc>
          <w:tcPr>
            <w:tcW w:type="dxa" w:w="1728"/>
          </w:tcPr>
          <w:p>
            <w:r/>
            <w:r>
              <w:rPr>
                <w:b/>
                <w:sz w:val="18"/>
              </w:rPr>
              <w:t>Tests never run</w:t>
            </w:r>
          </w:p>
        </w:tc>
      </w:tr>
      <w:tr>
        <w:tc>
          <w:tcPr>
            <w:tcW w:type="dxa" w:w="1728"/>
          </w:tcPr>
          <w:p>
            <w:r/>
            <w:r>
              <w:rPr>
                <w:b w:val="0"/>
                <w:sz w:val="19"/>
              </w:rPr>
              <w:t>34</w:t>
            </w:r>
          </w:p>
        </w:tc>
        <w:tc>
          <w:tcPr>
            <w:tcW w:type="dxa" w:w="1728"/>
          </w:tcPr>
          <w:p>
            <w:r/>
            <w:r>
              <w:rPr>
                <w:b w:val="0"/>
                <w:sz w:val="19"/>
              </w:rPr>
              <w:t>8,411</w:t>
            </w:r>
          </w:p>
        </w:tc>
        <w:tc>
          <w:tcPr>
            <w:tcW w:type="dxa" w:w="1728"/>
          </w:tcPr>
          <w:p>
            <w:r/>
            <w:r>
              <w:rPr>
                <w:b w:val="0"/>
                <w:sz w:val="19"/>
              </w:rPr>
              <w:t>29</w:t>
            </w:r>
          </w:p>
        </w:tc>
        <w:tc>
          <w:tcPr>
            <w:tcW w:type="dxa" w:w="1728"/>
          </w:tcPr>
          <w:p>
            <w:r/>
            <w:r>
              <w:rPr>
                <w:b w:val="0"/>
                <w:sz w:val="19"/>
              </w:rPr>
              <w:t>340</w:t>
            </w:r>
          </w:p>
        </w:tc>
        <w:tc>
          <w:tcPr>
            <w:tcW w:type="dxa" w:w="1728"/>
          </w:tcPr>
          <w:p>
            <w:r/>
            <w:r>
              <w:rPr>
                <w:b w:val="0"/>
                <w:sz w:val="19"/>
              </w:rPr>
              <w:t>34</w:t>
            </w:r>
          </w:p>
        </w:tc>
      </w:tr>
    </w:tbl>
    <w:p/>
    <w:p>
      <w:pPr>
        <w:pStyle w:val="Heading1"/>
      </w:pPr>
      <w:r>
        <w:t>Contents</w:t>
      </w:r>
    </w:p>
    <w:p>
      <w:r>
        <w:fldChar w:fldCharType="begin"/>
        <w:instrText xml:space="preserve">TOC \o "1-2" \h \z \u</w:instrText>
        <w:fldChar w:fldCharType="separate">
          <w:t>Right-click here and choose Update Field to build the table of contents.</w:t>
        </w:fldChar>
        <w:fldChar w:fldCharType="end"/>
      </w:r>
    </w:p>
    <w:p>
      <w:r>
        <w:br w:type="page"/>
      </w:r>
    </w:p>
    <w:p>
      <w:pPr>
        <w:pStyle w:val="Heading1"/>
      </w:pPr>
      <w:r>
        <w:t>1.  Executive summary</w:t>
      </w:r>
    </w:p>
    <w:p>
      <w:r>
        <w:rPr>
          <w:b w:val="0"/>
        </w:rPr>
        <w:t>The work divided into two phases. The first was a review of the specification, which found 29 defects — five of them serious enough that the schema could not have been created at all as written. The second was the implementation, which applied those fixes and recorded every departure from the spec text in a document intended to be folded back into it.</w:t>
      </w:r>
    </w:p>
    <w:p>
      <w:r>
        <w:rPr>
          <w:b w:val="0"/>
        </w:rPr>
        <w:t>The deliverable is the complete persistence layer: 34 tables, 79 indexes, three Alembic migrations, the deterministic rules the schema's invariants depend on, the data-lifecycle jobs, and a 374-test suite. Static verification is clean — the DDL compiles against the real Postgres dialect, the migration chain resolves, the linter passes, and 340 tests run green.</w:t>
      </w:r>
    </w:p>
    <w:p>
      <w:pPr>
        <w:pStyle w:val="IntenseQuote"/>
      </w:pPr>
      <w:r>
        <w:rPr>
          <w:b/>
          <w:color w:val="9C2F28"/>
          <w:sz w:val="18"/>
        </w:rPr>
        <w:t xml:space="preserve">THE ONE MATERIAL GAP  </w:t>
      </w:r>
      <w:r>
        <w:rPr>
          <w:b w:val="0"/>
        </w:rPr>
        <w:t xml:space="preserve">This machine has no Postgres, no Docker and no </w:t>
      </w:r>
      <w:r>
        <w:rPr>
          <w:rFonts w:ascii="Consolas" w:hAnsi="Consolas"/>
          <w:b w:val="0"/>
          <w:sz w:val="20"/>
        </w:rPr>
        <w:t>psql</w:t>
      </w:r>
      <w:r>
        <w:rPr>
          <w:b w:val="0"/>
        </w:rPr>
        <w:t>. The 34 tests that require a live server have never executed. That includes the test proving the corrected UUID generator actually works — the fix is reasoned and statically guarded, not demonstrated. Section 5 sets out exactly what is and is not proven.</w:t>
      </w:r>
    </w:p>
    <w:p>
      <w:r>
        <w:rPr>
          <w:b w:val="0"/>
        </w:rPr>
        <w:t>Nothing here is blocked on a decision from you. Several things are improved by one, and section 8 lists the nine I would like answered — most urgently, whether the schema changes I made to the spec are ratified, because six further subsystem specs will be written against whichever version wins.</w:t>
      </w:r>
    </w:p>
    <w:p>
      <w:pPr>
        <w:pStyle w:val="Heading1"/>
      </w:pPr>
      <w:r>
        <w:t>2.  Scope</w:t>
      </w:r>
    </w:p>
    <w:p>
      <w:r>
        <w:rPr>
          <w:b w:val="0"/>
        </w:rPr>
        <w:t>Only subsystem 1 has a specification. “Build the app according to the spec” therefore has one available reading: build the persistence layer that document describes, and nothing beyond it.</w:t>
      </w:r>
    </w:p>
    <w:tbl>
      <w:tblPr>
        <w:tblStyle w:val="LightGrid-Accent1"/>
        <w:tblW w:type="auto" w:w="0"/>
        <w:tblLayout w:type="autofit"/>
        <w:tblLook w:firstColumn="1" w:firstRow="1" w:lastColumn="0" w:lastRow="0" w:noHBand="0" w:noVBand="1" w:val="04A0"/>
      </w:tblPr>
      <w:tblGrid>
        <w:gridCol w:w="2880"/>
        <w:gridCol w:w="2880"/>
        <w:gridCol w:w="2880"/>
      </w:tblGrid>
      <w:tr>
        <w:tc>
          <w:tcPr>
            <w:tcW w:type="dxa" w:w="3024"/>
          </w:tcPr>
          <w:p>
            <w:r/>
            <w:r>
              <w:rPr>
                <w:b/>
                <w:sz w:val="18"/>
              </w:rPr>
              <w:t>Area</w:t>
            </w:r>
          </w:p>
        </w:tc>
        <w:tc>
          <w:tcPr>
            <w:tcW w:type="dxa" w:w="1440"/>
          </w:tcPr>
          <w:p>
            <w:r/>
            <w:r>
              <w:rPr>
                <w:b/>
                <w:sz w:val="18"/>
              </w:rPr>
              <w:t>Status</w:t>
            </w:r>
          </w:p>
        </w:tc>
        <w:tc>
          <w:tcPr>
            <w:tcW w:type="dxa" w:w="4752"/>
          </w:tcPr>
          <w:p>
            <w:r/>
            <w:r>
              <w:rPr>
                <w:b/>
                <w:sz w:val="18"/>
              </w:rPr>
              <w:t>Reasoning</w:t>
            </w:r>
          </w:p>
        </w:tc>
      </w:tr>
      <w:tr>
        <w:tc>
          <w:tcPr>
            <w:tcW w:type="dxa" w:w="3024"/>
          </w:tcPr>
          <w:p>
            <w:r/>
            <w:r>
              <w:rPr>
                <w:b w:val="0"/>
                <w:sz w:val="19"/>
              </w:rPr>
              <w:t>Schema, indexes, constraints (§6–7)</w:t>
            </w:r>
          </w:p>
        </w:tc>
        <w:tc>
          <w:tcPr>
            <w:tcW w:type="dxa" w:w="1440"/>
          </w:tcPr>
          <w:p>
            <w:r/>
            <w:r>
              <w:rPr>
                <w:b/>
                <w:color w:val="1F6B45"/>
                <w:sz w:val="18"/>
              </w:rPr>
              <w:t>BUILT</w:t>
            </w:r>
          </w:p>
        </w:tc>
        <w:tc>
          <w:tcPr>
            <w:tcW w:type="dxa" w:w="4752"/>
          </w:tcPr>
          <w:p>
            <w:r/>
            <w:r>
              <w:rPr>
                <w:b w:val="0"/>
                <w:sz w:val="19"/>
              </w:rPr>
              <w:t>The core of the specification.</w:t>
            </w:r>
          </w:p>
        </w:tc>
      </w:tr>
      <w:tr>
        <w:tc>
          <w:tcPr>
            <w:tcW w:type="dxa" w:w="3024"/>
          </w:tcPr>
          <w:p>
            <w:r/>
            <w:r>
              <w:rPr>
                <w:b w:val="0"/>
                <w:sz w:val="19"/>
              </w:rPr>
              <w:t>Migrations and tooling (§13)</w:t>
            </w:r>
          </w:p>
        </w:tc>
        <w:tc>
          <w:tcPr>
            <w:tcW w:type="dxa" w:w="1440"/>
          </w:tcPr>
          <w:p>
            <w:r/>
            <w:r>
              <w:rPr>
                <w:b/>
                <w:color w:val="1F6B45"/>
                <w:sz w:val="18"/>
              </w:rPr>
              <w:t>BUILT</w:t>
            </w:r>
          </w:p>
        </w:tc>
        <w:tc>
          <w:tcPr>
            <w:tcW w:type="dxa" w:w="4752"/>
          </w:tcPr>
          <w:p>
            <w:r/>
            <w:r>
              <w:rPr>
                <w:b w:val="0"/>
                <w:sz w:val="19"/>
              </w:rPr>
              <w:t>Alembic, explicitly in scope.</w:t>
            </w:r>
          </w:p>
        </w:tc>
      </w:tr>
      <w:tr>
        <w:tc>
          <w:tcPr>
            <w:tcW w:type="dxa" w:w="3024"/>
          </w:tcPr>
          <w:p>
            <w:r/>
            <w:r>
              <w:rPr>
                <w:b w:val="0"/>
                <w:sz w:val="19"/>
              </w:rPr>
              <w:t>Query patterns (§8)</w:t>
            </w:r>
          </w:p>
        </w:tc>
        <w:tc>
          <w:tcPr>
            <w:tcW w:type="dxa" w:w="1440"/>
          </w:tcPr>
          <w:p>
            <w:r/>
            <w:r>
              <w:rPr>
                <w:b/>
                <w:color w:val="1F6B45"/>
                <w:sz w:val="18"/>
              </w:rPr>
              <w:t>BUILT</w:t>
            </w:r>
          </w:p>
        </w:tc>
        <w:tc>
          <w:tcPr>
            <w:tcW w:type="dxa" w:w="4752"/>
          </w:tcPr>
          <w:p>
            <w:r/>
            <w:r>
              <w:rPr>
                <w:b w:val="0"/>
                <w:sz w:val="19"/>
              </w:rPr>
              <w:t>The spec calls these “informal correctness tests for the schema”.</w:t>
            </w:r>
          </w:p>
        </w:tc>
      </w:tr>
      <w:tr>
        <w:tc>
          <w:tcPr>
            <w:tcW w:type="dxa" w:w="3024"/>
          </w:tcPr>
          <w:p>
            <w:r/>
            <w:r>
              <w:rPr>
                <w:b w:val="0"/>
                <w:sz w:val="19"/>
              </w:rPr>
              <w:t>Concurrency model (§9)</w:t>
            </w:r>
          </w:p>
        </w:tc>
        <w:tc>
          <w:tcPr>
            <w:tcW w:type="dxa" w:w="1440"/>
          </w:tcPr>
          <w:p>
            <w:r/>
            <w:r>
              <w:rPr>
                <w:b/>
                <w:color w:val="1F6B45"/>
                <w:sz w:val="18"/>
              </w:rPr>
              <w:t>BUILT</w:t>
            </w:r>
          </w:p>
        </w:tc>
        <w:tc>
          <w:tcPr>
            <w:tcW w:type="dxa" w:w="4752"/>
          </w:tcPr>
          <w:p>
            <w:r/>
            <w:r>
              <w:rPr>
                <w:b w:val="0"/>
                <w:sz w:val="19"/>
              </w:rPr>
              <w:t>Isolation levels and retry policy.</w:t>
            </w:r>
          </w:p>
        </w:tc>
      </w:tr>
      <w:tr>
        <w:tc>
          <w:tcPr>
            <w:tcW w:type="dxa" w:w="3024"/>
          </w:tcPr>
          <w:p>
            <w:r/>
            <w:r>
              <w:rPr>
                <w:b w:val="0"/>
                <w:sz w:val="19"/>
              </w:rPr>
              <w:t>Lifecycle and erasure (§10)</w:t>
            </w:r>
          </w:p>
        </w:tc>
        <w:tc>
          <w:tcPr>
            <w:tcW w:type="dxa" w:w="1440"/>
          </w:tcPr>
          <w:p>
            <w:r/>
            <w:r>
              <w:rPr>
                <w:b/>
                <w:color w:val="1F6B45"/>
                <w:sz w:val="18"/>
              </w:rPr>
              <w:t>BUILT</w:t>
            </w:r>
          </w:p>
        </w:tc>
        <w:tc>
          <w:tcPr>
            <w:tcW w:type="dxa" w:w="4752"/>
          </w:tcPr>
          <w:p>
            <w:r/>
            <w:r>
              <w:rPr>
                <w:b w:val="0"/>
                <w:sz w:val="19"/>
              </w:rPr>
              <w:t>Retention, PIPEDA erasure, cost roll-up.</w:t>
            </w:r>
          </w:p>
        </w:tc>
      </w:tr>
      <w:tr>
        <w:tc>
          <w:tcPr>
            <w:tcW w:type="dxa" w:w="3024"/>
          </w:tcPr>
          <w:p>
            <w:r/>
            <w:r>
              <w:rPr>
                <w:b w:val="0"/>
                <w:sz w:val="19"/>
              </w:rPr>
              <w:t>Access control (§11)</w:t>
            </w:r>
          </w:p>
        </w:tc>
        <w:tc>
          <w:tcPr>
            <w:tcW w:type="dxa" w:w="1440"/>
          </w:tcPr>
          <w:p>
            <w:r/>
            <w:r>
              <w:rPr>
                <w:b/>
                <w:color w:val="1F6B45"/>
                <w:sz w:val="18"/>
              </w:rPr>
              <w:t>BUILT</w:t>
            </w:r>
          </w:p>
        </w:tc>
        <w:tc>
          <w:tcPr>
            <w:tcW w:type="dxa" w:w="4752"/>
          </w:tcPr>
          <w:p>
            <w:r/>
            <w:r>
              <w:rPr>
                <w:b w:val="0"/>
                <w:sz w:val="19"/>
              </w:rPr>
              <w:t>Roles and column projections, in application code as specified.</w:t>
            </w:r>
          </w:p>
        </w:tc>
      </w:tr>
      <w:tr>
        <w:tc>
          <w:tcPr>
            <w:tcW w:type="dxa" w:w="3024"/>
          </w:tcPr>
          <w:p>
            <w:r/>
            <w:r>
              <w:rPr>
                <w:b w:val="0"/>
                <w:sz w:val="19"/>
              </w:rPr>
              <w:t>Draft migration (§12)</w:t>
            </w:r>
          </w:p>
        </w:tc>
        <w:tc>
          <w:tcPr>
            <w:tcW w:type="dxa" w:w="1440"/>
          </w:tcPr>
          <w:p>
            <w:r/>
            <w:r>
              <w:rPr>
                <w:b/>
                <w:color w:val="1F6B45"/>
                <w:sz w:val="18"/>
              </w:rPr>
              <w:t>BUILT</w:t>
            </w:r>
          </w:p>
        </w:tc>
        <w:tc>
          <w:tcPr>
            <w:tcW w:type="dxa" w:w="4752"/>
          </w:tcPr>
          <w:p>
            <w:r/>
            <w:r>
              <w:rPr>
                <w:b w:val="0"/>
                <w:sz w:val="19"/>
              </w:rPr>
              <w:t>Script written; not yet run against real data.</w:t>
            </w:r>
          </w:p>
        </w:tc>
      </w:tr>
      <w:tr>
        <w:tc>
          <w:tcPr>
            <w:tcW w:type="dxa" w:w="3024"/>
          </w:tcPr>
          <w:p>
            <w:r/>
            <w:r>
              <w:rPr>
                <w:b w:val="0"/>
                <w:sz w:val="19"/>
              </w:rPr>
              <w:t>Test suite (§14)</w:t>
            </w:r>
          </w:p>
        </w:tc>
        <w:tc>
          <w:tcPr>
            <w:tcW w:type="dxa" w:w="1440"/>
          </w:tcPr>
          <w:p>
            <w:r/>
            <w:r>
              <w:rPr>
                <w:b/>
                <w:color w:val="1F6B45"/>
                <w:sz w:val="18"/>
              </w:rPr>
              <w:t>BUILT</w:t>
            </w:r>
          </w:p>
        </w:tc>
        <w:tc>
          <w:tcPr>
            <w:tcW w:type="dxa" w:w="4752"/>
          </w:tcPr>
          <w:p>
            <w:r/>
            <w:r>
              <w:rPr>
                <w:b w:val="0"/>
                <w:sz w:val="19"/>
              </w:rPr>
              <w:t>All four CI checks implemented.</w:t>
            </w:r>
          </w:p>
        </w:tc>
      </w:tr>
      <w:tr>
        <w:tc>
          <w:tcPr>
            <w:tcW w:type="dxa" w:w="3024"/>
          </w:tcPr>
          <w:p>
            <w:r/>
            <w:r>
              <w:rPr>
                <w:b w:val="0"/>
                <w:sz w:val="19"/>
              </w:rPr>
              <w:t>Mastery, grading, scheduling rules</w:t>
            </w:r>
          </w:p>
        </w:tc>
        <w:tc>
          <w:tcPr>
            <w:tcW w:type="dxa" w:w="1440"/>
          </w:tcPr>
          <w:p>
            <w:r/>
            <w:r>
              <w:rPr>
                <w:b/>
                <w:color w:val="1F6B45"/>
                <w:sz w:val="18"/>
              </w:rPr>
              <w:t>BUILT</w:t>
            </w:r>
          </w:p>
        </w:tc>
        <w:tc>
          <w:tcPr>
            <w:tcW w:type="dxa" w:w="4752"/>
          </w:tcPr>
          <w:p>
            <w:r/>
            <w:r>
              <w:rPr>
                <w:b w:val="0"/>
                <w:sz w:val="19"/>
              </w:rPr>
              <w:t>§3 makes deterministic gating a schema invariant and names these modules as its home.</w:t>
            </w:r>
          </w:p>
        </w:tc>
      </w:tr>
      <w:tr>
        <w:tc>
          <w:tcPr>
            <w:tcW w:type="dxa" w:w="3024"/>
          </w:tcPr>
          <w:p>
            <w:r/>
            <w:r>
              <w:rPr>
                <w:b w:val="0"/>
                <w:sz w:val="19"/>
              </w:rPr>
              <w:t>Agents, retrieval, API, frontend</w:t>
            </w:r>
          </w:p>
        </w:tc>
        <w:tc>
          <w:tcPr>
            <w:tcW w:type="dxa" w:w="1440"/>
          </w:tcPr>
          <w:p>
            <w:r/>
            <w:r>
              <w:rPr>
                <w:b/>
                <w:color w:val="9C2F28"/>
                <w:sz w:val="18"/>
              </w:rPr>
              <w:t>EXCLUDED</w:t>
            </w:r>
          </w:p>
        </w:tc>
        <w:tc>
          <w:tcPr>
            <w:tcW w:type="dxa" w:w="4752"/>
          </w:tcPr>
          <w:p>
            <w:r/>
            <w:r>
              <w:rPr>
                <w:b w:val="0"/>
                <w:sz w:val="19"/>
              </w:rPr>
              <w:t>Subsystems 2–7. Not specified, so not built.</w:t>
            </w:r>
          </w:p>
        </w:tc>
      </w:tr>
    </w:tbl>
    <w:p/>
    <w:p>
      <w:pPr>
        <w:pStyle w:val="Heading1"/>
      </w:pPr>
      <w:r>
        <w:t>3.  Specification review</w:t>
      </w:r>
    </w:p>
    <w:p>
      <w:r>
        <w:rPr>
          <w:b w:val="0"/>
        </w:rPr>
        <w:t xml:space="preserve">Before building I read the specification against itself and against the existing draft in </w:t>
      </w:r>
      <w:r>
        <w:rPr>
          <w:rFonts w:ascii="Consolas" w:hAnsi="Consolas"/>
          <w:b w:val="0"/>
          <w:sz w:val="20"/>
        </w:rPr>
        <w:t>tutor/</w:t>
      </w:r>
      <w:r>
        <w:rPr>
          <w:b w:val="0"/>
        </w:rPr>
        <w:t xml:space="preserve">. Twenty-nine findings, in three bands: five that stop the build, ten internal contradictions or dangling references, and fourteen design risks. The full review is in the repository at </w:t>
      </w:r>
      <w:r>
        <w:rPr>
          <w:rFonts w:ascii="Consolas" w:hAnsi="Consolas"/>
          <w:b w:val="0"/>
          <w:sz w:val="20"/>
        </w:rPr>
        <w:t>spec/01-data-layer-review.md</w:t>
      </w:r>
      <w:r>
        <w:rPr>
          <w:b w:val="0"/>
        </w:rPr>
        <w:t>.</w:t>
      </w:r>
    </w:p>
    <w:p>
      <w:r>
        <w:rPr>
          <w:b w:val="0"/>
        </w:rPr>
        <w:t>The five blocking findings matter most, because each fails on first contact:</w:t>
      </w:r>
    </w:p>
    <w:tbl>
      <w:tblPr>
        <w:tblStyle w:val="LightGrid-Accent1"/>
        <w:tblW w:type="auto" w:w="0"/>
        <w:tblLayout w:type="autofit"/>
        <w:tblLook w:firstColumn="1" w:firstRow="1" w:lastColumn="0" w:lastRow="0" w:noHBand="0" w:noVBand="1" w:val="04A0"/>
      </w:tblPr>
      <w:tblGrid>
        <w:gridCol w:w="2880"/>
        <w:gridCol w:w="2880"/>
        <w:gridCol w:w="2880"/>
      </w:tblGrid>
      <w:tr>
        <w:tc>
          <w:tcPr>
            <w:tcW w:type="dxa" w:w="720"/>
          </w:tcPr>
          <w:p>
            <w:r/>
            <w:r>
              <w:rPr>
                <w:b/>
                <w:sz w:val="18"/>
              </w:rPr>
              <w:t>Ref</w:t>
            </w:r>
          </w:p>
        </w:tc>
        <w:tc>
          <w:tcPr>
            <w:tcW w:type="dxa" w:w="3168"/>
          </w:tcPr>
          <w:p>
            <w:r/>
            <w:r>
              <w:rPr>
                <w:b/>
                <w:sz w:val="18"/>
              </w:rPr>
              <w:t>Defect</w:t>
            </w:r>
          </w:p>
        </w:tc>
        <w:tc>
          <w:tcPr>
            <w:tcW w:type="dxa" w:w="5328"/>
          </w:tcPr>
          <w:p>
            <w:r/>
            <w:r>
              <w:rPr>
                <w:b/>
                <w:sz w:val="18"/>
              </w:rPr>
              <w:t>Consequence if shipped</w:t>
            </w:r>
          </w:p>
        </w:tc>
      </w:tr>
      <w:tr>
        <w:tc>
          <w:tcPr>
            <w:tcW w:type="dxa" w:w="720"/>
          </w:tcPr>
          <w:p>
            <w:r/>
            <w:r>
              <w:rPr>
                <w:b w:val="0"/>
                <w:sz w:val="19"/>
              </w:rPr>
              <w:t>A1</w:t>
            </w:r>
          </w:p>
        </w:tc>
        <w:tc>
          <w:tcPr>
            <w:tcW w:type="dxa" w:w="3168"/>
          </w:tcPr>
          <w:p>
            <w:r/>
            <w:r>
              <w:rPr>
                <w:b w:val="0"/>
                <w:sz w:val="19"/>
              </w:rPr>
              <w:t xml:space="preserve">The </w:t>
            </w:r>
            <w:r>
              <w:rPr>
                <w:rFonts w:ascii="Consolas" w:hAnsi="Consolas"/>
                <w:b w:val="0"/>
                <w:sz w:val="18"/>
              </w:rPr>
              <w:t>uuid_generate_v7()</w:t>
            </w:r>
            <w:r>
              <w:rPr>
                <w:b w:val="0"/>
                <w:sz w:val="19"/>
              </w:rPr>
              <w:t xml:space="preserve"> fallback concatenates to 33 hex characters</w:t>
            </w:r>
          </w:p>
        </w:tc>
        <w:tc>
          <w:tcPr>
            <w:tcW w:type="dxa" w:w="5328"/>
          </w:tcPr>
          <w:p>
            <w:r/>
            <w:r>
              <w:rPr>
                <w:b w:val="0"/>
                <w:sz w:val="19"/>
              </w:rPr>
              <w:t xml:space="preserve">A UUID needs 32. Every insert into every table fails. Separately, §4 credits </w:t>
            </w:r>
            <w:r>
              <w:rPr>
                <w:rFonts w:ascii="Consolas" w:hAnsi="Consolas"/>
                <w:b w:val="0"/>
                <w:sz w:val="18"/>
              </w:rPr>
              <w:t>uuid-ossp</w:t>
            </w:r>
            <w:r>
              <w:rPr>
                <w:b w:val="0"/>
                <w:sz w:val="19"/>
              </w:rPr>
              <w:t xml:space="preserve"> with a v7 generator it does not have.</w:t>
            </w:r>
          </w:p>
        </w:tc>
      </w:tr>
      <w:tr>
        <w:tc>
          <w:tcPr>
            <w:tcW w:type="dxa" w:w="720"/>
          </w:tcPr>
          <w:p>
            <w:r/>
            <w:r>
              <w:rPr>
                <w:b w:val="0"/>
                <w:sz w:val="19"/>
              </w:rPr>
              <w:t>A2</w:t>
            </w:r>
          </w:p>
        </w:tc>
        <w:tc>
          <w:tcPr>
            <w:tcW w:type="dxa" w:w="3168"/>
          </w:tcPr>
          <w:p>
            <w:r/>
            <w:r>
              <w:rPr>
                <w:b w:val="0"/>
                <w:sz w:val="19"/>
              </w:rPr>
              <w:t>The right-to-erasure procedure contradicts the foreign-key topology</w:t>
            </w:r>
          </w:p>
        </w:tc>
        <w:tc>
          <w:tcPr>
            <w:tcW w:type="dxa" w:w="5328"/>
          </w:tcPr>
          <w:p>
            <w:r/>
            <w:r>
              <w:rPr>
                <w:b w:val="0"/>
                <w:sz w:val="19"/>
              </w:rPr>
              <w:t>Step 2 deletes the enrollment, whose cascade removes the very rows step 2 then redacts and step 3 retains. Of four things §10 says to keep, only the audit log survives.</w:t>
            </w:r>
          </w:p>
        </w:tc>
      </w:tr>
      <w:tr>
        <w:tc>
          <w:tcPr>
            <w:tcW w:type="dxa" w:w="720"/>
          </w:tcPr>
          <w:p>
            <w:r/>
            <w:r>
              <w:rPr>
                <w:b w:val="0"/>
                <w:sz w:val="19"/>
              </w:rPr>
              <w:t>A3</w:t>
            </w:r>
          </w:p>
        </w:tc>
        <w:tc>
          <w:tcPr>
            <w:tcW w:type="dxa" w:w="3168"/>
          </w:tcPr>
          <w:p>
            <w:r/>
            <w:r>
              <w:rPr>
                <w:b w:val="0"/>
                <w:sz w:val="19"/>
              </w:rPr>
              <w:t>Two mutable tables have no timestamps and no trigger</w:t>
            </w:r>
          </w:p>
        </w:tc>
        <w:tc>
          <w:tcPr>
            <w:tcW w:type="dxa" w:w="5328"/>
          </w:tcPr>
          <w:p>
            <w:r/>
            <w:r>
              <w:rPr>
                <w:b w:val="0"/>
                <w:sz w:val="19"/>
              </w:rPr>
              <w:t>Breaks the spec's own §5 rule, fails its own §14 test, and leaves the §9 optimistic-concurrency scheme reading a column that does not exist.</w:t>
            </w:r>
          </w:p>
        </w:tc>
      </w:tr>
      <w:tr>
        <w:tc>
          <w:tcPr>
            <w:tcW w:type="dxa" w:w="720"/>
          </w:tcPr>
          <w:p>
            <w:r/>
            <w:r>
              <w:rPr>
                <w:b w:val="0"/>
                <w:sz w:val="19"/>
              </w:rPr>
              <w:t>A4</w:t>
            </w:r>
          </w:p>
        </w:tc>
        <w:tc>
          <w:tcPr>
            <w:tcW w:type="dxa" w:w="3168"/>
          </w:tcPr>
          <w:p>
            <w:r/>
            <w:r>
              <w:rPr>
                <w:b w:val="0"/>
                <w:sz w:val="19"/>
              </w:rPr>
              <w:t>The session-cost trigger is specified on a table with no cost column</w:t>
            </w:r>
          </w:p>
        </w:tc>
        <w:tc>
          <w:tcPr>
            <w:tcW w:type="dxa" w:w="5328"/>
          </w:tcPr>
          <w:p>
            <w:r/>
            <w:r>
              <w:rPr>
                <w:b w:val="0"/>
                <w:sz w:val="19"/>
              </w:rPr>
              <w:t>Cannot be written as described. Session cost silently stays zero.</w:t>
            </w:r>
          </w:p>
        </w:tc>
      </w:tr>
      <w:tr>
        <w:tc>
          <w:tcPr>
            <w:tcW w:type="dxa" w:w="720"/>
          </w:tcPr>
          <w:p>
            <w:r/>
            <w:r>
              <w:rPr>
                <w:b w:val="0"/>
                <w:sz w:val="19"/>
              </w:rPr>
              <w:t>A5</w:t>
            </w:r>
          </w:p>
        </w:tc>
        <w:tc>
          <w:tcPr>
            <w:tcW w:type="dxa" w:w="3168"/>
          </w:tcPr>
          <w:p>
            <w:r/>
            <w:r>
              <w:rPr>
                <w:b w:val="0"/>
                <w:sz w:val="19"/>
              </w:rPr>
              <w:t>§7 claims every foreign key is indexed; twenty are not</w:t>
            </w:r>
          </w:p>
        </w:tc>
        <w:tc>
          <w:tcPr>
            <w:tcW w:type="dxa" w:w="5328"/>
          </w:tcPr>
          <w:p>
            <w:r/>
            <w:r>
              <w:rPr>
                <w:b w:val="0"/>
                <w:sz w:val="19"/>
              </w:rPr>
              <w:t>The spec's own auto-generated CI test fails on day one, and cascade deletes sequential-scan.</w:t>
            </w:r>
          </w:p>
        </w:tc>
      </w:tr>
    </w:tbl>
    <w:p/>
    <w:p>
      <w:r>
        <w:rPr>
          <w:b w:val="0"/>
        </w:rPr>
        <w:t>Worth noting as a signal about the document: two of the spec's four stated CI checks would have failed against the spec's own schema. That is not a criticism of the design — the architecture is sound and I kept nearly all of it — but it does mean the DDL had not been executed before being marked build-ready.</w:t>
      </w:r>
    </w:p>
    <w:p>
      <w:pPr>
        <w:pStyle w:val="Heading1"/>
      </w:pPr>
      <w:r>
        <w:t>4.  What was built</w:t>
      </w:r>
    </w:p>
    <w:p>
      <w:r>
        <w:rPr>
          <w:b w:val="0"/>
        </w:rPr>
        <w:t xml:space="preserve">53 Python files, 8,411 lines, in </w:t>
      </w:r>
      <w:r>
        <w:rPr>
          <w:rFonts w:ascii="Consolas" w:hAnsi="Consolas"/>
          <w:b w:val="0"/>
          <w:sz w:val="20"/>
        </w:rPr>
        <w:t>backend/</w:t>
      </w:r>
      <w:r>
        <w:rPr>
          <w:b w:val="0"/>
        </w:rPr>
        <w:t xml:space="preserve">. The schema matches the specification except where section 3's findings required otherwise; each exception is recorded in </w:t>
      </w:r>
      <w:r>
        <w:rPr>
          <w:rFonts w:ascii="Consolas" w:hAnsi="Consolas"/>
          <w:b w:val="0"/>
          <w:sz w:val="20"/>
        </w:rPr>
        <w:t>backend/DEVIATIONS.md</w:t>
      </w:r>
      <w:r>
        <w:rPr>
          <w:b w:val="0"/>
        </w:rPr>
        <w:t xml:space="preserve"> against the finding that caused it.</w:t>
      </w:r>
    </w:p>
    <w:tbl>
      <w:tblPr>
        <w:tblStyle w:val="LightGrid-Accent1"/>
        <w:tblW w:type="auto" w:w="0"/>
        <w:tblLayout w:type="autofit"/>
        <w:tblLook w:firstColumn="1" w:firstRow="1" w:lastColumn="0" w:lastRow="0" w:noHBand="0" w:noVBand="1" w:val="04A0"/>
      </w:tblPr>
      <w:tblGrid>
        <w:gridCol w:w="2880"/>
        <w:gridCol w:w="2880"/>
        <w:gridCol w:w="2880"/>
      </w:tblGrid>
      <w:tr>
        <w:tc>
          <w:tcPr>
            <w:tcW w:type="dxa" w:w="2016"/>
          </w:tcPr>
          <w:p>
            <w:r/>
            <w:r>
              <w:rPr>
                <w:b/>
                <w:sz w:val="18"/>
              </w:rPr>
              <w:t>Component</w:t>
            </w:r>
          </w:p>
        </w:tc>
        <w:tc>
          <w:tcPr>
            <w:tcW w:type="dxa" w:w="5616"/>
          </w:tcPr>
          <w:p>
            <w:r/>
            <w:r>
              <w:rPr>
                <w:b/>
                <w:sz w:val="18"/>
              </w:rPr>
              <w:t>Contents</w:t>
            </w:r>
          </w:p>
        </w:tc>
        <w:tc>
          <w:tcPr>
            <w:tcW w:type="dxa" w:w="1008"/>
          </w:tcPr>
          <w:p>
            <w:r/>
            <w:r>
              <w:rPr>
                <w:b/>
                <w:sz w:val="18"/>
              </w:rPr>
              <w:t>Lines</w:t>
            </w:r>
          </w:p>
        </w:tc>
      </w:tr>
      <w:tr>
        <w:tc>
          <w:tcPr>
            <w:tcW w:type="dxa" w:w="2016"/>
          </w:tcPr>
          <w:p>
            <w:r/>
            <w:r>
              <w:rPr>
                <w:b w:val="0"/>
                <w:sz w:val="19"/>
              </w:rPr>
              <w:t>Models</w:t>
            </w:r>
          </w:p>
        </w:tc>
        <w:tc>
          <w:tcPr>
            <w:tcW w:type="dxa" w:w="5616"/>
          </w:tcPr>
          <w:p>
            <w:r/>
            <w:r>
              <w:rPr>
                <w:b w:val="0"/>
                <w:sz w:val="19"/>
              </w:rPr>
              <w:t>34 tables, 79 indexes, 18 enum types — one module per spec section</w:t>
            </w:r>
          </w:p>
        </w:tc>
        <w:tc>
          <w:tcPr>
            <w:tcW w:type="dxa" w:w="1008"/>
          </w:tcPr>
          <w:p>
            <w:r/>
            <w:r>
              <w:rPr>
                <w:b w:val="0"/>
                <w:sz w:val="19"/>
              </w:rPr>
              <w:t>2,152</w:t>
            </w:r>
          </w:p>
        </w:tc>
      </w:tr>
      <w:tr>
        <w:tc>
          <w:tcPr>
            <w:tcW w:type="dxa" w:w="2016"/>
          </w:tcPr>
          <w:p>
            <w:r/>
            <w:r>
              <w:rPr>
                <w:b w:val="0"/>
                <w:sz w:val="19"/>
              </w:rPr>
              <w:t>Migration 0001</w:t>
            </w:r>
          </w:p>
        </w:tc>
        <w:tc>
          <w:tcPr>
            <w:tcW w:type="dxa" w:w="5616"/>
          </w:tcPr>
          <w:p>
            <w:r/>
            <w:r>
              <w:rPr>
                <w:b w:val="0"/>
                <w:sz w:val="19"/>
              </w:rPr>
              <w:t>Full schema, extensions, functions, enums, 19 triggers, stored procedure</w:t>
            </w:r>
          </w:p>
        </w:tc>
        <w:tc>
          <w:tcPr>
            <w:tcW w:type="dxa" w:w="1008"/>
          </w:tcPr>
          <w:p>
            <w:r/>
            <w:r>
              <w:rPr>
                <w:b w:val="0"/>
                <w:sz w:val="19"/>
              </w:rPr>
              <w:t>989</w:t>
            </w:r>
          </w:p>
        </w:tc>
      </w:tr>
      <w:tr>
        <w:tc>
          <w:tcPr>
            <w:tcW w:type="dxa" w:w="2016"/>
          </w:tcPr>
          <w:p>
            <w:r/>
            <w:r>
              <w:rPr>
                <w:b w:val="0"/>
                <w:sz w:val="19"/>
              </w:rPr>
              <w:t>Migration 0002</w:t>
            </w:r>
          </w:p>
        </w:tc>
        <w:tc>
          <w:tcPr>
            <w:tcW w:type="dxa" w:w="5616"/>
          </w:tcPr>
          <w:p>
            <w:r/>
            <w:r>
              <w:rPr>
                <w:rFonts w:ascii="Consolas" w:hAnsi="Consolas"/>
                <w:b w:val="0"/>
                <w:sz w:val="18"/>
              </w:rPr>
              <w:t>concepts.module_slug</w:t>
            </w:r>
            <w:r>
              <w:rPr>
                <w:b w:val="0"/>
                <w:sz w:val="19"/>
              </w:rPr>
              <w:t>, named by §12 but absent from §6</w:t>
            </w:r>
          </w:p>
        </w:tc>
        <w:tc>
          <w:tcPr>
            <w:tcW w:type="dxa" w:w="1008"/>
          </w:tcPr>
          <w:p>
            <w:r/>
            <w:r>
              <w:rPr>
                <w:b w:val="0"/>
                <w:sz w:val="19"/>
              </w:rPr>
              <w:t>47</w:t>
            </w:r>
          </w:p>
        </w:tc>
      </w:tr>
      <w:tr>
        <w:tc>
          <w:tcPr>
            <w:tcW w:type="dxa" w:w="2016"/>
          </w:tcPr>
          <w:p>
            <w:r/>
            <w:r>
              <w:rPr>
                <w:b w:val="0"/>
                <w:sz w:val="19"/>
              </w:rPr>
              <w:t>Migration 0003</w:t>
            </w:r>
          </w:p>
        </w:tc>
        <w:tc>
          <w:tcPr>
            <w:tcW w:type="dxa" w:w="5616"/>
          </w:tcPr>
          <w:p>
            <w:r/>
            <w:r>
              <w:rPr>
                <w:b w:val="0"/>
                <w:sz w:val="19"/>
              </w:rPr>
              <w:t>Two roles; append-only enforcement by privilege</w:t>
            </w:r>
          </w:p>
        </w:tc>
        <w:tc>
          <w:tcPr>
            <w:tcW w:type="dxa" w:w="1008"/>
          </w:tcPr>
          <w:p>
            <w:r/>
            <w:r>
              <w:rPr>
                <w:b w:val="0"/>
                <w:sz w:val="19"/>
              </w:rPr>
              <w:t>96</w:t>
            </w:r>
          </w:p>
        </w:tc>
      </w:tr>
      <w:tr>
        <w:tc>
          <w:tcPr>
            <w:tcW w:type="dxa" w:w="2016"/>
          </w:tcPr>
          <w:p>
            <w:r/>
            <w:r>
              <w:rPr>
                <w:b w:val="0"/>
                <w:sz w:val="19"/>
              </w:rPr>
              <w:t>Deterministic rules</w:t>
            </w:r>
          </w:p>
        </w:tc>
        <w:tc>
          <w:tcPr>
            <w:tcW w:type="dxa" w:w="5616"/>
          </w:tcPr>
          <w:p>
            <w:r/>
            <w:r>
              <w:rPr>
                <w:b w:val="0"/>
                <w:sz w:val="19"/>
              </w:rPr>
              <w:t>BKT mastery, forgetting curve, pass computation, graph acyclicity and unlocking, FSRS scheduling, access projections</w:t>
            </w:r>
          </w:p>
        </w:tc>
        <w:tc>
          <w:tcPr>
            <w:tcW w:type="dxa" w:w="1008"/>
          </w:tcPr>
          <w:p>
            <w:r/>
            <w:r>
              <w:rPr>
                <w:b w:val="0"/>
                <w:sz w:val="19"/>
              </w:rPr>
              <w:t>1,053</w:t>
            </w:r>
          </w:p>
        </w:tc>
      </w:tr>
      <w:tr>
        <w:tc>
          <w:tcPr>
            <w:tcW w:type="dxa" w:w="2016"/>
          </w:tcPr>
          <w:p>
            <w:r/>
            <w:r>
              <w:rPr>
                <w:b w:val="0"/>
                <w:sz w:val="19"/>
              </w:rPr>
              <w:t>Lifecycle jobs</w:t>
            </w:r>
          </w:p>
        </w:tc>
        <w:tc>
          <w:tcPr>
            <w:tcW w:type="dxa" w:w="5616"/>
          </w:tcPr>
          <w:p>
            <w:r/>
            <w:r>
              <w:rPr>
                <w:b w:val="0"/>
                <w:sz w:val="19"/>
              </w:rPr>
              <w:t>Retention, PIPEDA erasure, cost roll-up, decay refresh</w:t>
            </w:r>
          </w:p>
        </w:tc>
        <w:tc>
          <w:tcPr>
            <w:tcW w:type="dxa" w:w="1008"/>
          </w:tcPr>
          <w:p>
            <w:r/>
            <w:r>
              <w:rPr>
                <w:b w:val="0"/>
                <w:sz w:val="19"/>
              </w:rPr>
              <w:t>483</w:t>
            </w:r>
          </w:p>
        </w:tc>
      </w:tr>
      <w:tr>
        <w:tc>
          <w:tcPr>
            <w:tcW w:type="dxa" w:w="2016"/>
          </w:tcPr>
          <w:p>
            <w:r/>
            <w:r>
              <w:rPr>
                <w:b w:val="0"/>
                <w:sz w:val="19"/>
              </w:rPr>
              <w:t>Query patterns</w:t>
            </w:r>
          </w:p>
        </w:tc>
        <w:tc>
          <w:tcPr>
            <w:tcW w:type="dxa" w:w="5616"/>
          </w:tcPr>
          <w:p>
            <w:r/>
            <w:r>
              <w:rPr>
                <w:b w:val="0"/>
                <w:sz w:val="19"/>
              </w:rPr>
              <w:t>The §8 access paths, several rewritten</w:t>
            </w:r>
          </w:p>
        </w:tc>
        <w:tc>
          <w:tcPr>
            <w:tcW w:type="dxa" w:w="1008"/>
          </w:tcPr>
          <w:p>
            <w:r/>
            <w:r>
              <w:rPr>
                <w:b w:val="0"/>
                <w:sz w:val="19"/>
              </w:rPr>
              <w:t>297</w:t>
            </w:r>
          </w:p>
        </w:tc>
      </w:tr>
      <w:tr>
        <w:tc>
          <w:tcPr>
            <w:tcW w:type="dxa" w:w="2016"/>
          </w:tcPr>
          <w:p>
            <w:r/>
            <w:r>
              <w:rPr>
                <w:b w:val="0"/>
                <w:sz w:val="19"/>
              </w:rPr>
              <w:t>Scripts</w:t>
            </w:r>
          </w:p>
        </w:tc>
        <w:tc>
          <w:tcPr>
            <w:tcW w:type="dxa" w:w="5616"/>
          </w:tcPr>
          <w:p>
            <w:r/>
            <w:r>
              <w:rPr>
                <w:b w:val="0"/>
                <w:sz w:val="19"/>
              </w:rPr>
              <w:t>Seed, draft migration</w:t>
            </w:r>
          </w:p>
        </w:tc>
        <w:tc>
          <w:tcPr>
            <w:tcW w:type="dxa" w:w="1008"/>
          </w:tcPr>
          <w:p>
            <w:r/>
            <w:r>
              <w:rPr>
                <w:b w:val="0"/>
                <w:sz w:val="19"/>
              </w:rPr>
              <w:t>805</w:t>
            </w:r>
          </w:p>
        </w:tc>
      </w:tr>
      <w:tr>
        <w:tc>
          <w:tcPr>
            <w:tcW w:type="dxa" w:w="2016"/>
          </w:tcPr>
          <w:p>
            <w:r/>
            <w:r>
              <w:rPr>
                <w:b w:val="0"/>
                <w:sz w:val="19"/>
              </w:rPr>
              <w:t>Tests</w:t>
            </w:r>
          </w:p>
        </w:tc>
        <w:tc>
          <w:tcPr>
            <w:tcW w:type="dxa" w:w="5616"/>
          </w:tcPr>
          <w:p>
            <w:r/>
            <w:r>
              <w:rPr>
                <w:b w:val="0"/>
                <w:sz w:val="19"/>
              </w:rPr>
              <w:t>374 across schema, integrity, queries, migrations, unit</w:t>
            </w:r>
          </w:p>
        </w:tc>
        <w:tc>
          <w:tcPr>
            <w:tcW w:type="dxa" w:w="1008"/>
          </w:tcPr>
          <w:p>
            <w:r/>
            <w:r>
              <w:rPr>
                <w:b w:val="0"/>
                <w:sz w:val="19"/>
              </w:rPr>
              <w:t>1,910</w:t>
            </w:r>
          </w:p>
        </w:tc>
      </w:tr>
    </w:tbl>
    <w:p/>
    <w:p>
      <w:pPr>
        <w:pStyle w:val="Heading2"/>
      </w:pPr>
      <w:r>
        <w:t>How migration 0001 was produced</w:t>
      </w:r>
    </w:p>
    <w:p>
      <w:r>
        <w:rPr>
          <w:b w:val="0"/>
        </w:rPr>
        <w:t xml:space="preserve">Alembic's autogenerate requires a live database, which was unavailable. Rather than fall back to a </w:t>
      </w:r>
      <w:r>
        <w:rPr>
          <w:rFonts w:ascii="Consolas" w:hAnsi="Consolas"/>
          <w:b w:val="0"/>
          <w:sz w:val="20"/>
        </w:rPr>
        <w:t>create_all()</w:t>
      </w:r>
      <w:r>
        <w:rPr>
          <w:b w:val="0"/>
        </w:rPr>
        <w:t xml:space="preserve"> baseline — which produces an opaque migration with no reviewable diff — I drove Alembic's operation objects and code renderer directly from the model metadata, offline. The result is 989 lines of explicit, hand-reviewable </w:t>
      </w:r>
      <w:r>
        <w:rPr>
          <w:rFonts w:ascii="Consolas" w:hAnsi="Consolas"/>
          <w:b w:val="0"/>
          <w:sz w:val="20"/>
        </w:rPr>
        <w:t>op.create_table</w:t>
      </w:r>
      <w:r>
        <w:rPr>
          <w:b w:val="0"/>
        </w:rPr>
        <w:t xml:space="preserve"> and </w:t>
      </w:r>
      <w:r>
        <w:rPr>
          <w:rFonts w:ascii="Consolas" w:hAnsi="Consolas"/>
          <w:b w:val="0"/>
          <w:sz w:val="20"/>
        </w:rPr>
        <w:t>op.create_index</w:t>
      </w:r>
      <w:r>
        <w:rPr>
          <w:b w:val="0"/>
        </w:rPr>
        <w:t xml:space="preserve"> calls, wrapped in the DDL autogenerate cannot see.</w:t>
      </w:r>
    </w:p>
    <w:p>
      <w:pPr>
        <w:pStyle w:val="IntenseQuote"/>
      </w:pPr>
      <w:r>
        <w:rPr>
          <w:b/>
          <w:color w:val="8A5A08"/>
          <w:sz w:val="18"/>
        </w:rPr>
        <w:t xml:space="preserve">OPERATIONAL NOTE  </w:t>
      </w:r>
      <w:r>
        <w:rPr>
          <w:b w:val="0"/>
        </w:rPr>
        <w:t xml:space="preserve">Migration 0001 is now a committed artifact, not a regenerable one. Regenerating it from current metadata would include </w:t>
      </w:r>
      <w:r>
        <w:rPr>
          <w:rFonts w:ascii="Consolas" w:hAnsi="Consolas"/>
          <w:b w:val="0"/>
          <w:sz w:val="20"/>
        </w:rPr>
        <w:t>module_slug</w:t>
      </w:r>
      <w:r>
        <w:rPr>
          <w:b w:val="0"/>
        </w:rPr>
        <w:t xml:space="preserve"> and collide with migration 0002's </w:t>
      </w:r>
      <w:r>
        <w:rPr>
          <w:rFonts w:ascii="Consolas" w:hAnsi="Consolas"/>
          <w:b w:val="0"/>
          <w:sz w:val="20"/>
        </w:rPr>
        <w:t>ADD COLUMN</w:t>
      </w:r>
      <w:r>
        <w:rPr>
          <w:b w:val="0"/>
        </w:rPr>
        <w:t>. This is documented in the backend README; future schema changes go in new revisions.</w:t>
      </w:r>
    </w:p>
    <w:p>
      <w:pPr>
        <w:pStyle w:val="Heading2"/>
      </w:pPr>
      <w:r>
        <w:t>The test suite is deliberately tiered</w:t>
      </w:r>
    </w:p>
    <w:p>
      <w:r>
        <w:rPr>
          <w:b w:val="0"/>
        </w:rPr>
        <w:t xml:space="preserve">The spec describes its schema tests as reading </w:t>
      </w:r>
      <w:r>
        <w:rPr>
          <w:rFonts w:ascii="Consolas" w:hAnsi="Consolas"/>
          <w:b w:val="0"/>
          <w:sz w:val="20"/>
        </w:rPr>
        <w:t>information_schema</w:t>
      </w:r>
      <w:r>
        <w:rPr>
          <w:b w:val="0"/>
        </w:rPr>
        <w:t>, which requires a database. I inverted that: the conventions are checked against the SQLAlchemy metadata instead, which is the same truth one step earlier and fails before a migration is ever written. The practical result is that 281 of the 374 tests need no database at all and run in under a second in CI.</w:t>
      </w:r>
    </w:p>
    <w:p>
      <w:r>
        <w:rPr>
          <w:b w:val="0"/>
        </w:rPr>
        <w:t>That tier is what caught the twenty unindexed foreign keys, and it is what will catch the twenty-first.</w:t>
      </w:r>
    </w:p>
    <w:p>
      <w:pPr>
        <w:pStyle w:val="Heading1"/>
      </w:pPr>
      <w:r>
        <w:t>5.  Verification status</w:t>
      </w:r>
    </w:p>
    <w:p>
      <w:r>
        <w:rPr>
          <w:b w:val="0"/>
        </w:rPr>
        <w:t>Stated precisely, because the distinction between “written” and “proven” is the main risk this report carries.</w:t>
      </w:r>
    </w:p>
    <w:tbl>
      <w:tblPr>
        <w:tblStyle w:val="LightGrid-Accent1"/>
        <w:tblW w:type="auto" w:w="0"/>
        <w:tblLayout w:type="autofit"/>
        <w:tblLook w:firstColumn="1" w:firstRow="1" w:lastColumn="0" w:lastRow="0" w:noHBand="0" w:noVBand="1" w:val="04A0"/>
      </w:tblPr>
      <w:tblGrid>
        <w:gridCol w:w="2880"/>
        <w:gridCol w:w="2880"/>
        <w:gridCol w:w="2880"/>
      </w:tblGrid>
      <w:tr>
        <w:tc>
          <w:tcPr>
            <w:tcW w:type="dxa" w:w="3600"/>
          </w:tcPr>
          <w:p>
            <w:r/>
            <w:r>
              <w:rPr>
                <w:b/>
                <w:sz w:val="18"/>
              </w:rPr>
              <w:t>Property</w:t>
            </w:r>
          </w:p>
        </w:tc>
        <w:tc>
          <w:tcPr>
            <w:tcW w:type="dxa" w:w="1296"/>
          </w:tcPr>
          <w:p>
            <w:r/>
            <w:r>
              <w:rPr>
                <w:b/>
                <w:sz w:val="18"/>
              </w:rPr>
              <w:t>Status</w:t>
            </w:r>
          </w:p>
        </w:tc>
        <w:tc>
          <w:tcPr>
            <w:tcW w:type="dxa" w:w="4176"/>
          </w:tcPr>
          <w:p>
            <w:r/>
            <w:r>
              <w:rPr>
                <w:b/>
                <w:sz w:val="18"/>
              </w:rPr>
              <w:t>Basis</w:t>
            </w:r>
          </w:p>
        </w:tc>
      </w:tr>
      <w:tr>
        <w:tc>
          <w:tcPr>
            <w:tcW w:type="dxa" w:w="3600"/>
          </w:tcPr>
          <w:p>
            <w:r/>
            <w:r>
              <w:rPr>
                <w:b w:val="0"/>
                <w:sz w:val="19"/>
              </w:rPr>
              <w:t>All 34 tables and 79 indexes generate valid Postgres DDL</w:t>
            </w:r>
          </w:p>
        </w:tc>
        <w:tc>
          <w:tcPr>
            <w:tcW w:type="dxa" w:w="1296"/>
          </w:tcPr>
          <w:p>
            <w:r/>
            <w:r>
              <w:rPr>
                <w:b/>
                <w:color w:val="1F6B45"/>
                <w:sz w:val="18"/>
              </w:rPr>
              <w:t>PROVEN</w:t>
            </w:r>
          </w:p>
        </w:tc>
        <w:tc>
          <w:tcPr>
            <w:tcW w:type="dxa" w:w="4176"/>
          </w:tcPr>
          <w:p>
            <w:r/>
            <w:r>
              <w:rPr>
                <w:b w:val="0"/>
                <w:sz w:val="19"/>
              </w:rPr>
              <w:t xml:space="preserve">Compiled against the real </w:t>
            </w:r>
            <w:r>
              <w:rPr>
                <w:rFonts w:ascii="Consolas" w:hAnsi="Consolas"/>
                <w:b w:val="0"/>
                <w:sz w:val="18"/>
              </w:rPr>
              <w:t>postgresql</w:t>
            </w:r>
            <w:r>
              <w:rPr>
                <w:b w:val="0"/>
                <w:sz w:val="19"/>
              </w:rPr>
              <w:t xml:space="preserve"> dialect.</w:t>
            </w:r>
          </w:p>
        </w:tc>
      </w:tr>
      <w:tr>
        <w:tc>
          <w:tcPr>
            <w:tcW w:type="dxa" w:w="3600"/>
          </w:tcPr>
          <w:p>
            <w:r/>
            <w:r>
              <w:rPr>
                <w:b w:val="0"/>
                <w:sz w:val="19"/>
              </w:rPr>
              <w:t>Migration chain is linear and resolves</w:t>
            </w:r>
          </w:p>
        </w:tc>
        <w:tc>
          <w:tcPr>
            <w:tcW w:type="dxa" w:w="1296"/>
          </w:tcPr>
          <w:p>
            <w:r/>
            <w:r>
              <w:rPr>
                <w:b/>
                <w:color w:val="1F6B45"/>
                <w:sz w:val="18"/>
              </w:rPr>
              <w:t>PROVEN</w:t>
            </w:r>
          </w:p>
        </w:tc>
        <w:tc>
          <w:tcPr>
            <w:tcW w:type="dxa" w:w="4176"/>
          </w:tcPr>
          <w:p>
            <w:r/>
            <w:r>
              <w:rPr>
                <w:rFonts w:ascii="Consolas" w:hAnsi="Consolas"/>
                <w:b w:val="0"/>
                <w:sz w:val="18"/>
              </w:rPr>
              <w:t>alembic history</w:t>
            </w:r>
            <w:r>
              <w:rPr>
                <w:b w:val="0"/>
                <w:sz w:val="19"/>
              </w:rPr>
              <w:t>: base → 0001 → 0002 → 0003.</w:t>
            </w:r>
          </w:p>
        </w:tc>
      </w:tr>
      <w:tr>
        <w:tc>
          <w:tcPr>
            <w:tcW w:type="dxa" w:w="3600"/>
          </w:tcPr>
          <w:p>
            <w:r/>
            <w:r>
              <w:rPr>
                <w:b w:val="0"/>
                <w:sz w:val="19"/>
              </w:rPr>
              <w:t>Every foreign key has a leading index</w:t>
            </w:r>
          </w:p>
        </w:tc>
        <w:tc>
          <w:tcPr>
            <w:tcW w:type="dxa" w:w="1296"/>
          </w:tcPr>
          <w:p>
            <w:r/>
            <w:r>
              <w:rPr>
                <w:b/>
                <w:color w:val="1F6B45"/>
                <w:sz w:val="18"/>
              </w:rPr>
              <w:t>PROVEN</w:t>
            </w:r>
          </w:p>
        </w:tc>
        <w:tc>
          <w:tcPr>
            <w:tcW w:type="dxa" w:w="4176"/>
          </w:tcPr>
          <w:p>
            <w:r/>
            <w:r>
              <w:rPr>
                <w:b w:val="0"/>
                <w:sz w:val="19"/>
              </w:rPr>
              <w:t>281 metadata-driven assertions.</w:t>
            </w:r>
          </w:p>
        </w:tc>
      </w:tr>
      <w:tr>
        <w:tc>
          <w:tcPr>
            <w:tcW w:type="dxa" w:w="3600"/>
          </w:tcPr>
          <w:p>
            <w:r/>
            <w:r>
              <w:rPr>
                <w:b w:val="0"/>
                <w:sz w:val="19"/>
              </w:rPr>
              <w:t>Every mutable table has timestamps and a trigger</w:t>
            </w:r>
          </w:p>
        </w:tc>
        <w:tc>
          <w:tcPr>
            <w:tcW w:type="dxa" w:w="1296"/>
          </w:tcPr>
          <w:p>
            <w:r/>
            <w:r>
              <w:rPr>
                <w:b/>
                <w:color w:val="1F6B45"/>
                <w:sz w:val="18"/>
              </w:rPr>
              <w:t>PROVEN</w:t>
            </w:r>
          </w:p>
        </w:tc>
        <w:tc>
          <w:tcPr>
            <w:tcW w:type="dxa" w:w="4176"/>
          </w:tcPr>
          <w:p>
            <w:r/>
            <w:r>
              <w:rPr>
                <w:b w:val="0"/>
                <w:sz w:val="19"/>
              </w:rPr>
              <w:t>Metadata plus migration-source assertions.</w:t>
            </w:r>
          </w:p>
        </w:tc>
      </w:tr>
      <w:tr>
        <w:tc>
          <w:tcPr>
            <w:tcW w:type="dxa" w:w="3600"/>
          </w:tcPr>
          <w:p>
            <w:r/>
            <w:r>
              <w:rPr>
                <w:b w:val="0"/>
                <w:sz w:val="19"/>
              </w:rPr>
              <w:t>Enum values match a reviewed snapshot</w:t>
            </w:r>
          </w:p>
        </w:tc>
        <w:tc>
          <w:tcPr>
            <w:tcW w:type="dxa" w:w="1296"/>
          </w:tcPr>
          <w:p>
            <w:r/>
            <w:r>
              <w:rPr>
                <w:b/>
                <w:color w:val="1F6B45"/>
                <w:sz w:val="18"/>
              </w:rPr>
              <w:t>PROVEN</w:t>
            </w:r>
          </w:p>
        </w:tc>
        <w:tc>
          <w:tcPr>
            <w:tcW w:type="dxa" w:w="4176"/>
          </w:tcPr>
          <w:p>
            <w:r/>
            <w:r>
              <w:rPr>
                <w:b w:val="0"/>
                <w:sz w:val="19"/>
              </w:rPr>
              <w:t>Snapshot test over all 18 types.</w:t>
            </w:r>
          </w:p>
        </w:tc>
      </w:tr>
      <w:tr>
        <w:tc>
          <w:tcPr>
            <w:tcW w:type="dxa" w:w="3600"/>
          </w:tcPr>
          <w:p>
            <w:r/>
            <w:r>
              <w:rPr>
                <w:b w:val="0"/>
                <w:sz w:val="19"/>
              </w:rPr>
              <w:t>Every migration has a real downgrade and changelog entry</w:t>
            </w:r>
          </w:p>
        </w:tc>
        <w:tc>
          <w:tcPr>
            <w:tcW w:type="dxa" w:w="1296"/>
          </w:tcPr>
          <w:p>
            <w:r/>
            <w:r>
              <w:rPr>
                <w:b/>
                <w:color w:val="1F6B45"/>
                <w:sz w:val="18"/>
              </w:rPr>
              <w:t>PROVEN</w:t>
            </w:r>
          </w:p>
        </w:tc>
        <w:tc>
          <w:tcPr>
            <w:tcW w:type="dxa" w:w="4176"/>
          </w:tcPr>
          <w:p>
            <w:r/>
            <w:r>
              <w:rPr>
                <w:b w:val="0"/>
                <w:sz w:val="19"/>
              </w:rPr>
              <w:t>AST inspection of the migration files.</w:t>
            </w:r>
          </w:p>
        </w:tc>
      </w:tr>
      <w:tr>
        <w:tc>
          <w:tcPr>
            <w:tcW w:type="dxa" w:w="3600"/>
          </w:tcPr>
          <w:p>
            <w:r/>
            <w:r>
              <w:rPr>
                <w:b w:val="0"/>
                <w:sz w:val="19"/>
              </w:rPr>
              <w:t>Mastery, pass computation, FSRS, access projections</w:t>
            </w:r>
          </w:p>
        </w:tc>
        <w:tc>
          <w:tcPr>
            <w:tcW w:type="dxa" w:w="1296"/>
          </w:tcPr>
          <w:p>
            <w:r/>
            <w:r>
              <w:rPr>
                <w:b/>
                <w:color w:val="1F6B45"/>
                <w:sz w:val="18"/>
              </w:rPr>
              <w:t>PROVEN</w:t>
            </w:r>
          </w:p>
        </w:tc>
        <w:tc>
          <w:tcPr>
            <w:tcW w:type="dxa" w:w="4176"/>
          </w:tcPr>
          <w:p>
            <w:r/>
            <w:r>
              <w:rPr>
                <w:b w:val="0"/>
                <w:sz w:val="19"/>
              </w:rPr>
              <w:t>39 unit tests, no database required.</w:t>
            </w:r>
          </w:p>
        </w:tc>
      </w:tr>
      <w:tr>
        <w:tc>
          <w:tcPr>
            <w:tcW w:type="dxa" w:w="3600"/>
          </w:tcPr>
          <w:p>
            <w:r/>
            <w:r>
              <w:rPr>
                <w:b w:val="0"/>
                <w:sz w:val="19"/>
              </w:rPr>
              <w:t>Code style and imports</w:t>
            </w:r>
          </w:p>
        </w:tc>
        <w:tc>
          <w:tcPr>
            <w:tcW w:type="dxa" w:w="1296"/>
          </w:tcPr>
          <w:p>
            <w:r/>
            <w:r>
              <w:rPr>
                <w:b/>
                <w:color w:val="1F6B45"/>
                <w:sz w:val="18"/>
              </w:rPr>
              <w:t>PROVEN</w:t>
            </w:r>
          </w:p>
        </w:tc>
        <w:tc>
          <w:tcPr>
            <w:tcW w:type="dxa" w:w="4176"/>
          </w:tcPr>
          <w:p>
            <w:r/>
            <w:r>
              <w:rPr>
                <w:b w:val="0"/>
                <w:sz w:val="19"/>
              </w:rPr>
              <w:t>Ruff clean; all modules import.</w:t>
            </w:r>
          </w:p>
        </w:tc>
      </w:tr>
      <w:tr>
        <w:tc>
          <w:tcPr>
            <w:tcW w:type="dxa" w:w="3600"/>
          </w:tcPr>
          <w:p>
            <w:r/>
            <w:r>
              <w:rPr>
                <w:b w:val="0"/>
                <w:sz w:val="19"/>
              </w:rPr>
              <w:t>The corrected UUID generator produces valid v7 UUIDs</w:t>
            </w:r>
          </w:p>
        </w:tc>
        <w:tc>
          <w:tcPr>
            <w:tcW w:type="dxa" w:w="1296"/>
          </w:tcPr>
          <w:p>
            <w:r/>
            <w:r>
              <w:rPr>
                <w:b/>
                <w:color w:val="9C2F28"/>
                <w:sz w:val="18"/>
              </w:rPr>
              <w:t>UNPROVEN</w:t>
            </w:r>
          </w:p>
        </w:tc>
        <w:tc>
          <w:tcPr>
            <w:tcW w:type="dxa" w:w="4176"/>
          </w:tcPr>
          <w:p>
            <w:r/>
            <w:r>
              <w:rPr>
                <w:b w:val="0"/>
                <w:sz w:val="19"/>
              </w:rPr>
              <w:t>Reasoned by character count and guarded by a source-text test. The runtime test exists but has never executed.</w:t>
            </w:r>
          </w:p>
        </w:tc>
      </w:tr>
      <w:tr>
        <w:tc>
          <w:tcPr>
            <w:tcW w:type="dxa" w:w="3600"/>
          </w:tcPr>
          <w:p>
            <w:r/>
            <w:r>
              <w:rPr>
                <w:b w:val="0"/>
                <w:sz w:val="19"/>
              </w:rPr>
              <w:t>Cascades, RESTRICT, composite keys, cycle detection</w:t>
            </w:r>
          </w:p>
        </w:tc>
        <w:tc>
          <w:tcPr>
            <w:tcW w:type="dxa" w:w="1296"/>
          </w:tcPr>
          <w:p>
            <w:r/>
            <w:r>
              <w:rPr>
                <w:b/>
                <w:color w:val="9C2F28"/>
                <w:sz w:val="18"/>
              </w:rPr>
              <w:t>UNPROVEN</w:t>
            </w:r>
          </w:p>
        </w:tc>
        <w:tc>
          <w:tcPr>
            <w:tcW w:type="dxa" w:w="4176"/>
          </w:tcPr>
          <w:p>
            <w:r/>
            <w:r>
              <w:rPr>
                <w:b w:val="0"/>
                <w:sz w:val="19"/>
              </w:rPr>
              <w:t>22 integrity tests written, never run.</w:t>
            </w:r>
          </w:p>
        </w:tc>
      </w:tr>
      <w:tr>
        <w:tc>
          <w:tcPr>
            <w:tcW w:type="dxa" w:w="3600"/>
          </w:tcPr>
          <w:p>
            <w:r/>
            <w:r>
              <w:rPr>
                <w:b w:val="0"/>
                <w:sz w:val="19"/>
              </w:rPr>
              <w:t>The erasure procedure</w:t>
            </w:r>
          </w:p>
        </w:tc>
        <w:tc>
          <w:tcPr>
            <w:tcW w:type="dxa" w:w="1296"/>
          </w:tcPr>
          <w:p>
            <w:r/>
            <w:r>
              <w:rPr>
                <w:b/>
                <w:color w:val="9C2F28"/>
                <w:sz w:val="18"/>
              </w:rPr>
              <w:t>UNPROVEN</w:t>
            </w:r>
          </w:p>
        </w:tc>
        <w:tc>
          <w:tcPr>
            <w:tcW w:type="dxa" w:w="4176"/>
          </w:tcPr>
          <w:p>
            <w:r/>
            <w:r>
              <w:rPr>
                <w:b w:val="0"/>
                <w:sz w:val="19"/>
              </w:rPr>
              <w:t>7 tests written, never run.</w:t>
            </w:r>
          </w:p>
        </w:tc>
      </w:tr>
      <w:tr>
        <w:tc>
          <w:tcPr>
            <w:tcW w:type="dxa" w:w="3600"/>
          </w:tcPr>
          <w:p>
            <w:r/>
            <w:r>
              <w:rPr>
                <w:b w:val="0"/>
                <w:sz w:val="19"/>
              </w:rPr>
              <w:t>Query plans avoid sequential scans</w:t>
            </w:r>
          </w:p>
        </w:tc>
        <w:tc>
          <w:tcPr>
            <w:tcW w:type="dxa" w:w="1296"/>
          </w:tcPr>
          <w:p>
            <w:r/>
            <w:r>
              <w:rPr>
                <w:b/>
                <w:color w:val="9C2F28"/>
                <w:sz w:val="18"/>
              </w:rPr>
              <w:t>UNPROVEN</w:t>
            </w:r>
          </w:p>
        </w:tc>
        <w:tc>
          <w:tcPr>
            <w:tcW w:type="dxa" w:w="4176"/>
          </w:tcPr>
          <w:p>
            <w:r/>
            <w:r>
              <w:rPr>
                <w:b w:val="0"/>
                <w:sz w:val="19"/>
              </w:rPr>
              <w:t>8 query-shape tests written, never run.</w:t>
            </w:r>
          </w:p>
        </w:tc>
      </w:tr>
      <w:tr>
        <w:tc>
          <w:tcPr>
            <w:tcW w:type="dxa" w:w="3600"/>
          </w:tcPr>
          <w:p>
            <w:r/>
            <w:r>
              <w:rPr>
                <w:b w:val="0"/>
                <w:sz w:val="19"/>
              </w:rPr>
              <w:t>Migrations apply and round-trip cleanly</w:t>
            </w:r>
          </w:p>
        </w:tc>
        <w:tc>
          <w:tcPr>
            <w:tcW w:type="dxa" w:w="1296"/>
          </w:tcPr>
          <w:p>
            <w:r/>
            <w:r>
              <w:rPr>
                <w:b/>
                <w:color w:val="9C2F28"/>
                <w:sz w:val="18"/>
              </w:rPr>
              <w:t>UNPROVEN</w:t>
            </w:r>
          </w:p>
        </w:tc>
        <w:tc>
          <w:tcPr>
            <w:tcW w:type="dxa" w:w="4176"/>
          </w:tcPr>
          <w:p>
            <w:r/>
            <w:r>
              <w:rPr>
                <w:b w:val="0"/>
                <w:sz w:val="19"/>
              </w:rPr>
              <w:t>4 migration-sequence tests written, never run.</w:t>
            </w:r>
          </w:p>
        </w:tc>
      </w:tr>
      <w:tr>
        <w:tc>
          <w:tcPr>
            <w:tcW w:type="dxa" w:w="3600"/>
          </w:tcPr>
          <w:p>
            <w:r/>
            <w:r>
              <w:rPr>
                <w:b w:val="0"/>
                <w:sz w:val="19"/>
              </w:rPr>
              <w:t>pgvector HNSW index creation</w:t>
            </w:r>
          </w:p>
        </w:tc>
        <w:tc>
          <w:tcPr>
            <w:tcW w:type="dxa" w:w="1296"/>
          </w:tcPr>
          <w:p>
            <w:r/>
            <w:r>
              <w:rPr>
                <w:b/>
                <w:color w:val="9C2F28"/>
                <w:sz w:val="18"/>
              </w:rPr>
              <w:t>UNPROVEN</w:t>
            </w:r>
          </w:p>
        </w:tc>
        <w:tc>
          <w:tcPr>
            <w:tcW w:type="dxa" w:w="4176"/>
          </w:tcPr>
          <w:p>
            <w:r/>
            <w:r>
              <w:rPr>
                <w:b w:val="0"/>
                <w:sz w:val="19"/>
              </w:rPr>
              <w:t>DDL compiles; never executed against a server with the extension.</w:t>
            </w:r>
          </w:p>
        </w:tc>
      </w:tr>
    </w:tbl>
    <w:p/>
    <w:p>
      <w:r>
        <w:rPr>
          <w:b w:val="0"/>
        </w:rPr>
        <w:t>Closing the gap is one command against any Postgres 16:</w:t>
      </w:r>
    </w:p>
    <w:p>
      <w:pPr>
        <w:pStyle w:val="IntenseQuote"/>
      </w:pPr>
      <w:r>
        <w:rPr>
          <w:b/>
          <w:color w:val="2B46A8"/>
          <w:sz w:val="18"/>
        </w:rPr>
        <w:t xml:space="preserve">TO VERIFY  </w:t>
      </w:r>
      <w:r>
        <w:rPr>
          <w:rFonts w:ascii="Consolas" w:hAnsi="Consolas"/>
          <w:b w:val="0"/>
          <w:sz w:val="20"/>
        </w:rPr>
        <w:t>cd backend &amp;&amp; make db-up &amp;&amp; make db-reset &amp;&amp; make test</w:t>
      </w:r>
      <w:r>
        <w:rPr>
          <w:b w:val="0"/>
        </w:rPr>
        <w:t xml:space="preserve">  —  I would expect a small number of failures on first contact. Untested SQL usually has one or two, and I would look first at the erasure ordering and the </w:t>
      </w:r>
      <w:r>
        <w:rPr>
          <w:rFonts w:ascii="Consolas" w:hAnsi="Consolas"/>
          <w:b w:val="0"/>
          <w:sz w:val="20"/>
        </w:rPr>
        <w:t>ON CONFLICT</w:t>
      </w:r>
      <w:r>
        <w:rPr>
          <w:b w:val="0"/>
        </w:rPr>
        <w:t xml:space="preserve"> inference in the cost roll-up, for the reasons in section 10.</w:t>
      </w:r>
    </w:p>
    <w:p>
      <w:pPr>
        <w:pStyle w:val="Heading1"/>
      </w:pPr>
      <w:r>
        <w:t>6.  Defects found during the build</w:t>
      </w:r>
    </w:p>
    <w:p>
      <w:r>
        <w:rPr>
          <w:b w:val="0"/>
        </w:rPr>
        <w:t>Four, listed because how each was caught says something useful about where the remaining risk sits.</w:t>
      </w:r>
    </w:p>
    <w:tbl>
      <w:tblPr>
        <w:tblStyle w:val="LightGrid-Accent1"/>
        <w:tblW w:type="auto" w:w="0"/>
        <w:tblLayout w:type="autofit"/>
        <w:tblLook w:firstColumn="1" w:firstRow="1" w:lastColumn="0" w:lastRow="0" w:noHBand="0" w:noVBand="1" w:val="04A0"/>
      </w:tblPr>
      <w:tblGrid>
        <w:gridCol w:w="2880"/>
        <w:gridCol w:w="2880"/>
        <w:gridCol w:w="2880"/>
      </w:tblGrid>
      <w:tr>
        <w:tc>
          <w:tcPr>
            <w:tcW w:type="dxa" w:w="3312"/>
          </w:tcPr>
          <w:p>
            <w:r/>
            <w:r>
              <w:rPr>
                <w:b/>
                <w:sz w:val="18"/>
              </w:rPr>
              <w:t>Defect</w:t>
            </w:r>
          </w:p>
        </w:tc>
        <w:tc>
          <w:tcPr>
            <w:tcW w:type="dxa" w:w="1440"/>
          </w:tcPr>
          <w:p>
            <w:r/>
            <w:r>
              <w:rPr>
                <w:b/>
                <w:sz w:val="18"/>
              </w:rPr>
              <w:t>Caught by</w:t>
            </w:r>
          </w:p>
        </w:tc>
        <w:tc>
          <w:tcPr>
            <w:tcW w:type="dxa" w:w="4464"/>
          </w:tcPr>
          <w:p>
            <w:r/>
            <w:r>
              <w:rPr>
                <w:b/>
                <w:sz w:val="18"/>
              </w:rPr>
              <w:t>Would have surfaced as</w:t>
            </w:r>
          </w:p>
        </w:tc>
      </w:tr>
      <w:tr>
        <w:tc>
          <w:tcPr>
            <w:tcW w:type="dxa" w:w="3312"/>
          </w:tcPr>
          <w:p>
            <w:r/>
            <w:r>
              <w:rPr>
                <w:b w:val="0"/>
                <w:sz w:val="19"/>
              </w:rPr>
              <w:t>BKT parameter defaults read a slotted dataclass attribute, yielding a member descriptor rather than a value</w:t>
            </w:r>
          </w:p>
        </w:tc>
        <w:tc>
          <w:tcPr>
            <w:tcW w:type="dxa" w:w="1440"/>
          </w:tcPr>
          <w:p>
            <w:r/>
            <w:r>
              <w:rPr>
                <w:b w:val="0"/>
                <w:sz w:val="19"/>
              </w:rPr>
              <w:t>Unit test</w:t>
            </w:r>
          </w:p>
        </w:tc>
        <w:tc>
          <w:tcPr>
            <w:tcW w:type="dxa" w:w="4464"/>
          </w:tcPr>
          <w:p>
            <w:r/>
            <w:r>
              <w:rPr>
                <w:rFonts w:ascii="Consolas" w:hAnsi="Consolas"/>
                <w:b w:val="0"/>
                <w:sz w:val="18"/>
              </w:rPr>
              <w:t>TypeError</w:t>
            </w:r>
            <w:r>
              <w:rPr>
                <w:b w:val="0"/>
                <w:sz w:val="19"/>
              </w:rPr>
              <w:t xml:space="preserve"> on the first piece of evidence for any concept with no tuned parameters — i.e. all of them.</w:t>
            </w:r>
          </w:p>
        </w:tc>
      </w:tr>
      <w:tr>
        <w:tc>
          <w:tcPr>
            <w:tcW w:type="dxa" w:w="3312"/>
          </w:tcPr>
          <w:p>
            <w:r/>
            <w:r>
              <w:rPr>
                <w:b w:val="0"/>
                <w:sz w:val="19"/>
              </w:rPr>
              <w:t>My own migration test discarded the function body it was meant to inspect</w:t>
            </w:r>
          </w:p>
        </w:tc>
        <w:tc>
          <w:tcPr>
            <w:tcW w:type="dxa" w:w="1440"/>
          </w:tcPr>
          <w:p>
            <w:r/>
            <w:r>
              <w:rPr>
                <w:b w:val="0"/>
                <w:sz w:val="19"/>
              </w:rPr>
              <w:t>Running the test</w:t>
            </w:r>
          </w:p>
        </w:tc>
        <w:tc>
          <w:tcPr>
            <w:tcW w:type="dxa" w:w="4464"/>
          </w:tcPr>
          <w:p>
            <w:r/>
            <w:r>
              <w:rPr>
                <w:b w:val="0"/>
                <w:sz w:val="19"/>
              </w:rPr>
              <w:t>A test that passed regardless of whether downgrades existed.</w:t>
            </w:r>
          </w:p>
        </w:tc>
      </w:tr>
      <w:tr>
        <w:tc>
          <w:tcPr>
            <w:tcW w:type="dxa" w:w="3312"/>
          </w:tcPr>
          <w:p>
            <w:r/>
            <w:r>
              <w:rPr>
                <w:rFonts w:ascii="Consolas" w:hAnsi="Consolas"/>
                <w:b w:val="0"/>
                <w:sz w:val="18"/>
              </w:rPr>
              <w:t>SELECT MAX(...) ... FOR UPDATE</w:t>
            </w:r>
            <w:r>
              <w:rPr>
                <w:b w:val="0"/>
                <w:sz w:val="19"/>
              </w:rPr>
              <w:t xml:space="preserve"> in turn-index allocation</w:t>
            </w:r>
          </w:p>
        </w:tc>
        <w:tc>
          <w:tcPr>
            <w:tcW w:type="dxa" w:w="1440"/>
          </w:tcPr>
          <w:p>
            <w:r/>
            <w:r>
              <w:rPr>
                <w:b w:val="0"/>
                <w:sz w:val="19"/>
              </w:rPr>
              <w:t>Manual re-read</w:t>
            </w:r>
          </w:p>
        </w:tc>
        <w:tc>
          <w:tcPr>
            <w:tcW w:type="dxa" w:w="4464"/>
          </w:tcPr>
          <w:p>
            <w:r/>
            <w:r>
              <w:rPr>
                <w:b w:val="0"/>
                <w:sz w:val="19"/>
              </w:rPr>
              <w:t xml:space="preserve">Postgres rejects </w:t>
            </w:r>
            <w:r>
              <w:rPr>
                <w:rFonts w:ascii="Consolas" w:hAnsi="Consolas"/>
                <w:b w:val="0"/>
                <w:sz w:val="18"/>
              </w:rPr>
              <w:t>FOR UPDATE</w:t>
            </w:r>
            <w:r>
              <w:rPr>
                <w:b w:val="0"/>
                <w:sz w:val="19"/>
              </w:rPr>
              <w:t xml:space="preserve"> with an aggregate. Every turn insert would have failed. Now locks the parent session row instead.</w:t>
            </w:r>
          </w:p>
        </w:tc>
      </w:tr>
      <w:tr>
        <w:tc>
          <w:tcPr>
            <w:tcW w:type="dxa" w:w="3312"/>
          </w:tcPr>
          <w:p>
            <w:r/>
            <w:r>
              <w:rPr>
                <w:b w:val="0"/>
                <w:sz w:val="19"/>
              </w:rPr>
              <w:t>Erasure identified rows to redact by a one-minute time window</w:t>
            </w:r>
          </w:p>
        </w:tc>
        <w:tc>
          <w:tcPr>
            <w:tcW w:type="dxa" w:w="1440"/>
          </w:tcPr>
          <w:p>
            <w:r/>
            <w:r>
              <w:rPr>
                <w:b w:val="0"/>
                <w:sz w:val="19"/>
              </w:rPr>
              <w:t>Manual re-read</w:t>
            </w:r>
          </w:p>
        </w:tc>
        <w:tc>
          <w:tcPr>
            <w:tcW w:type="dxa" w:w="4464"/>
          </w:tcPr>
          <w:p>
            <w:r/>
            <w:r>
              <w:rPr>
                <w:b w:val="0"/>
                <w:sz w:val="19"/>
              </w:rPr>
              <w:t>Could redact a different learner's already-erased responses. Now keyed off the user directly.</w:t>
            </w:r>
          </w:p>
        </w:tc>
      </w:tr>
    </w:tbl>
    <w:p/>
    <w:p>
      <w:r>
        <w:rPr>
          <w:b w:val="0"/>
        </w:rPr>
        <w:t>The pattern is worth drawing out: the two defects the automated tests caught were caught instantly, and the two they missed were both in raw SQL that only a live server can execute. That is precisely the surface the 34 unrun tests cover, and it is the strongest argument for running them before anything is built on top.</w:t>
      </w:r>
    </w:p>
    <w:p>
      <w:pPr>
        <w:pStyle w:val="Heading1"/>
      </w:pPr>
      <w:r>
        <w:t>7.  What could not be completed</w:t>
      </w:r>
    </w:p>
    <w:p>
      <w:pPr>
        <w:pStyle w:val="Heading2"/>
      </w:pPr>
      <w:r>
        <w:t>Database verification — environmental</w:t>
      </w:r>
    </w:p>
    <w:p>
      <w:r>
        <w:rPr>
          <w:b w:val="0"/>
        </w:rPr>
        <w:t xml:space="preserve">No Postgres, Docker or </w:t>
      </w:r>
      <w:r>
        <w:rPr>
          <w:rFonts w:ascii="Consolas" w:hAnsi="Consolas"/>
          <w:b w:val="0"/>
          <w:sz w:val="20"/>
        </w:rPr>
        <w:t>psql</w:t>
      </w:r>
      <w:r>
        <w:rPr>
          <w:b w:val="0"/>
        </w:rPr>
        <w:t xml:space="preserve"> on this machine, and installing a database server is not a change I would make to your environment without asking. Everything needed to close this is committed: a compose file pinned to Postgres 16 with pgvector, an init script creating the three databases the suite expects, and Make targets. It needs a machine that can run it.</w:t>
      </w:r>
    </w:p>
    <w:p>
      <w:pPr>
        <w:pStyle w:val="Heading2"/>
      </w:pPr>
      <w:r>
        <w:t>Subsystems 2 through 7 — not specified</w:t>
      </w:r>
    </w:p>
    <w:p>
      <w:r>
        <w:rPr>
          <w:b w:val="0"/>
        </w:rPr>
        <w:t>Agent runtime, retrieval, frontend, ingestion, evaluation and infrastructure have no specifications yet. The data layer anticipates them — the schema carries the tables their specs will reference — but building against an unwritten spec would be guessing.</w:t>
      </w:r>
    </w:p>
    <w:p>
      <w:pPr>
        <w:pStyle w:val="Heading2"/>
      </w:pPr>
      <w:r>
        <w:t>Specification reconciliation — deliberately not done</w:t>
      </w:r>
    </w:p>
    <w:p>
      <w:r>
        <w:rPr>
          <w:b w:val="0"/>
        </w:rPr>
        <w:t xml:space="preserve">I did not edit </w:t>
      </w:r>
      <w:r>
        <w:rPr>
          <w:rFonts w:ascii="Consolas" w:hAnsi="Consolas"/>
          <w:b w:val="0"/>
          <w:sz w:val="20"/>
        </w:rPr>
        <w:t>spec/01-data-layer.md</w:t>
      </w:r>
      <w:r>
        <w:rPr>
          <w:b w:val="0"/>
        </w:rPr>
        <w:t xml:space="preserve">. Twenty-nine findings and roughly thirty schema changes are recorded in </w:t>
      </w:r>
      <w:r>
        <w:rPr>
          <w:rFonts w:ascii="Consolas" w:hAnsi="Consolas"/>
          <w:b w:val="0"/>
          <w:sz w:val="20"/>
        </w:rPr>
        <w:t>DEVIATIONS.md</w:t>
      </w:r>
      <w:r>
        <w:rPr>
          <w:b w:val="0"/>
        </w:rPr>
        <w:t>, keyed to the findings, ready to fold in — but the specification is the contract six more documents will be written against, and amending it unilaterally is a bigger act than fixing code. It is decision D1.</w:t>
      </w:r>
    </w:p>
    <w:p>
      <w:pPr>
        <w:pStyle w:val="Heading2"/>
      </w:pPr>
      <w:r>
        <w:t>Two design questions escalated rather than answered</w:t>
      </w:r>
    </w:p>
    <w:p>
      <w:pPr>
        <w:pStyle w:val="ListBullet"/>
      </w:pPr>
      <w:r>
        <w:rPr>
          <w:b w:val="0"/>
        </w:rPr>
        <w:t xml:space="preserve">Concept-graph versioning (C10). The spec promises that pinning </w:t>
      </w:r>
      <w:r>
        <w:rPr>
          <w:rFonts w:ascii="Consolas" w:hAnsi="Consolas"/>
          <w:b w:val="0"/>
          <w:sz w:val="20"/>
        </w:rPr>
        <w:t>subject_version</w:t>
      </w:r>
      <w:r>
        <w:rPr>
          <w:b w:val="0"/>
        </w:rPr>
        <w:t xml:space="preserve"> means a mid-course reshuffle “does not disorient someone already partway through”. It does not: concepts and edges are not versioned rows, so a learner pinned to v1 still reads the current graph. Delivering the promise means versioning the graph, which is a larger change than this subsystem should make alone. Flagged, not fixed.</w:t>
      </w:r>
    </w:p>
    <w:p>
      <w:pPr>
        <w:pStyle w:val="ListBullet"/>
      </w:pPr>
      <w:r>
        <w:rPr>
          <w:b w:val="0"/>
        </w:rPr>
        <w:t xml:space="preserve">Promoting </w:t>
      </w:r>
      <w:r>
        <w:rPr>
          <w:rFonts w:ascii="Consolas" w:hAnsi="Consolas"/>
          <w:b w:val="0"/>
          <w:sz w:val="20"/>
        </w:rPr>
        <w:t>segment_index</w:t>
      </w:r>
      <w:r>
        <w:rPr>
          <w:b w:val="0"/>
        </w:rPr>
        <w:t xml:space="preserve"> out of JSONB (C11). The spec's own rule says a value you order by should be a column. But per-kind artifact metadata belongs to the Content Ingestion spec, and changing its shape here would pre-empt a document not yet written. Left as JSONB with a uniqueness guard added.</w:t>
      </w:r>
    </w:p>
    <w:p>
      <w:pPr>
        <w:pStyle w:val="Heading2"/>
      </w:pPr>
      <w:r>
        <w:t>Smaller gaps</w:t>
      </w:r>
    </w:p>
    <w:p>
      <w:pPr>
        <w:pStyle w:val="ListBullet"/>
      </w:pPr>
      <w:r>
        <w:rPr>
          <w:b w:val="0"/>
        </w:rPr>
        <w:t>No CI pipeline configuration. The four checks §13 requires are implemented as tests; no workflow file wires them to a runner. Roughly an hour once you say which CI you use.</w:t>
      </w:r>
    </w:p>
    <w:p>
      <w:pPr>
        <w:pStyle w:val="ListBullet"/>
      </w:pPr>
      <w:r>
        <w:rPr>
          <w:b w:val="0"/>
        </w:rPr>
        <w:t>The draft migration has never run on real data. It needs a database. It also has a dry-run mode specifically so its first run can be inspected before committing.</w:t>
      </w:r>
    </w:p>
    <w:p>
      <w:pPr>
        <w:pStyle w:val="ListBullet"/>
      </w:pPr>
      <w:r>
        <w:rPr>
          <w:b w:val="0"/>
        </w:rPr>
        <w:t>Performance is unmeasured. The §14 budget of “under 10ms” is asserted loosely, because wall-clock on a laptop is not a stable gate. The tests assert plan shape instead, which is the more durable signal — but no real timing exists.</w:t>
      </w:r>
    </w:p>
    <w:p>
      <w:r>
        <w:br w:type="page"/>
      </w:r>
    </w:p>
    <w:p>
      <w:pPr>
        <w:pStyle w:val="Heading1"/>
      </w:pPr>
      <w:r>
        <w:t>8.  Decisions required</w:t>
      </w:r>
    </w:p>
    <w:p>
      <w:r>
        <w:rPr>
          <w:b w:val="0"/>
        </w:rPr>
        <w:t>Nine. Each names what I assumed in the meantime, so nothing is blocked while they are open — but several get more expensive to change the longer they stay that way.</w:t>
      </w:r>
    </w:p>
    <w:p>
      <w:pPr>
        <w:spacing w:before="200" w:after="40"/>
      </w:pPr>
      <w:r>
        <w:rPr>
          <w:rFonts w:ascii="Consolas" w:hAnsi="Consolas"/>
          <w:b/>
          <w:color w:val="2B46A8"/>
          <w:sz w:val="20"/>
        </w:rPr>
        <w:t xml:space="preserve">D1  </w:t>
      </w:r>
      <w:r>
        <w:rPr>
          <w:b/>
          <w:sz w:val="22"/>
        </w:rPr>
        <w:t>Ratify or overrule the schema deviations</w:t>
      </w:r>
    </w:p>
    <w:p>
      <w:pPr>
        <w:spacing w:after="20"/>
        <w:ind w:left="432"/>
      </w:pPr>
      <w:r>
        <w:rPr>
          <w:b/>
          <w:color w:val="46536A"/>
          <w:sz w:val="18"/>
        </w:rPr>
        <w:t xml:space="preserve">Why yours: </w:t>
      </w:r>
      <w:r>
        <w:rPr>
          <w:b w:val="0"/>
          <w:sz w:val="20"/>
        </w:rPr>
        <w:t>Six further specs will be written against whichever version of the schema is authoritative. Two sources of truth is the expensive outcome.</w:t>
      </w:r>
    </w:p>
    <w:p>
      <w:pPr>
        <w:spacing w:after="20"/>
        <w:ind w:left="432"/>
      </w:pPr>
      <w:r>
        <w:rPr>
          <w:b/>
          <w:color w:val="46536A"/>
          <w:sz w:val="18"/>
        </w:rPr>
        <w:t xml:space="preserve">Assumed: </w:t>
      </w:r>
      <w:r>
        <w:rPr>
          <w:b w:val="0"/>
          <w:sz w:val="20"/>
        </w:rPr>
        <w:t xml:space="preserve">My corrections stand; </w:t>
      </w:r>
      <w:r>
        <w:rPr>
          <w:rFonts w:ascii="Consolas" w:hAnsi="Consolas"/>
          <w:b w:val="0"/>
          <w:sz w:val="19"/>
        </w:rPr>
        <w:t>DEVIATIONS.md</w:t>
      </w:r>
      <w:r>
        <w:rPr>
          <w:b w:val="0"/>
          <w:sz w:val="20"/>
        </w:rPr>
        <w:t xml:space="preserve"> is the record.</w:t>
      </w:r>
    </w:p>
    <w:p>
      <w:pPr>
        <w:spacing w:after="20"/>
        <w:ind w:left="432"/>
      </w:pPr>
      <w:r>
        <w:rPr>
          <w:b/>
          <w:color w:val="46536A"/>
          <w:sz w:val="18"/>
        </w:rPr>
        <w:t xml:space="preserve">Blocks: </w:t>
      </w:r>
      <w:r>
        <w:rPr>
          <w:b w:val="0"/>
          <w:sz w:val="20"/>
        </w:rPr>
        <w:t>Writing subsystem 2. Highest priority of the nine.</w:t>
      </w:r>
    </w:p>
    <w:p>
      <w:pPr>
        <w:spacing w:before="200" w:after="40"/>
      </w:pPr>
      <w:r>
        <w:rPr>
          <w:rFonts w:ascii="Consolas" w:hAnsi="Consolas"/>
          <w:b/>
          <w:color w:val="2B46A8"/>
          <w:sz w:val="20"/>
        </w:rPr>
        <w:t xml:space="preserve">D2  </w:t>
      </w:r>
      <w:r>
        <w:rPr>
          <w:b/>
          <w:sz w:val="22"/>
        </w:rPr>
        <w:t>The forgetting-curve half-life</w:t>
      </w:r>
    </w:p>
    <w:p>
      <w:pPr>
        <w:spacing w:after="20"/>
        <w:ind w:left="432"/>
      </w:pPr>
      <w:r>
        <w:rPr>
          <w:b/>
          <w:color w:val="46536A"/>
          <w:sz w:val="18"/>
        </w:rPr>
        <w:t xml:space="preserve">Why yours: </w:t>
      </w:r>
      <w:r>
        <w:rPr>
          <w:b w:val="0"/>
          <w:sz w:val="20"/>
        </w:rPr>
        <w:t>I set it to 30 days. That number has no basis in the spec or in evidence — I picked something defensible. It directly controls how quickly a learner's concepts re-lock, so it is a pedagogical decision wearing an engineering costume.</w:t>
      </w:r>
    </w:p>
    <w:p>
      <w:pPr>
        <w:spacing w:after="20"/>
        <w:ind w:left="432"/>
      </w:pPr>
      <w:r>
        <w:rPr>
          <w:b/>
          <w:color w:val="46536A"/>
          <w:sz w:val="18"/>
        </w:rPr>
        <w:t xml:space="preserve">Assumed: </w:t>
      </w:r>
      <w:r>
        <w:rPr>
          <w:b w:val="0"/>
          <w:sz w:val="20"/>
        </w:rPr>
        <w:t>30 days, one constant, one place to change it.</w:t>
      </w:r>
    </w:p>
    <w:p>
      <w:pPr>
        <w:spacing w:after="20"/>
        <w:ind w:left="432"/>
      </w:pPr>
      <w:r>
        <w:rPr>
          <w:b/>
          <w:color w:val="46536A"/>
          <w:sz w:val="18"/>
        </w:rPr>
        <w:t xml:space="preserve">Blocks: </w:t>
      </w:r>
      <w:r>
        <w:rPr>
          <w:b w:val="0"/>
          <w:sz w:val="20"/>
        </w:rPr>
        <w:t>Nothing technically. Affects every learner's experience.</w:t>
      </w:r>
    </w:p>
    <w:p>
      <w:pPr>
        <w:spacing w:before="200" w:after="40"/>
      </w:pPr>
      <w:r>
        <w:rPr>
          <w:rFonts w:ascii="Consolas" w:hAnsi="Consolas"/>
          <w:b/>
          <w:color w:val="2B46A8"/>
          <w:sz w:val="20"/>
        </w:rPr>
        <w:t xml:space="preserve">D3  </w:t>
      </w:r>
      <w:r>
        <w:rPr>
          <w:b/>
          <w:sz w:val="22"/>
        </w:rPr>
        <w:t>How per-criterion grades become an attempt score</w:t>
      </w:r>
    </w:p>
    <w:p>
      <w:pPr>
        <w:spacing w:after="20"/>
        <w:ind w:left="432"/>
      </w:pPr>
      <w:r>
        <w:rPr>
          <w:b/>
          <w:color w:val="46536A"/>
          <w:sz w:val="18"/>
        </w:rPr>
        <w:t xml:space="preserve">Why yours: </w:t>
      </w:r>
      <w:r>
        <w:rPr>
          <w:b w:val="0"/>
          <w:sz w:val="20"/>
        </w:rPr>
        <w:t xml:space="preserve">The spec defines grades of 0–2 and criterion weights of 1–3, and never says how they combine — but </w:t>
      </w:r>
      <w:r>
        <w:rPr>
          <w:rFonts w:ascii="Consolas" w:hAnsi="Consolas"/>
          <w:b w:val="0"/>
          <w:sz w:val="19"/>
        </w:rPr>
        <w:t>compute_pass</w:t>
      </w:r>
      <w:r>
        <w:rPr>
          <w:b w:val="0"/>
          <w:sz w:val="20"/>
        </w:rPr>
        <w:t xml:space="preserve"> needs it, so it determines who passes. I used a weighted mean normalised by weight × max-grade.</w:t>
      </w:r>
    </w:p>
    <w:p>
      <w:pPr>
        <w:spacing w:after="20"/>
        <w:ind w:left="432"/>
      </w:pPr>
      <w:r>
        <w:rPr>
          <w:b/>
          <w:color w:val="46536A"/>
          <w:sz w:val="18"/>
        </w:rPr>
        <w:t xml:space="preserve">Assumed: </w:t>
      </w:r>
      <w:r>
        <w:rPr>
          <w:b w:val="0"/>
          <w:sz w:val="20"/>
        </w:rPr>
        <w:t>Weighted mean; ungraded criteria excluded rather than counted as zero.</w:t>
      </w:r>
    </w:p>
    <w:p>
      <w:pPr>
        <w:spacing w:after="20"/>
        <w:ind w:left="432"/>
      </w:pPr>
      <w:r>
        <w:rPr>
          <w:b/>
          <w:color w:val="46536A"/>
          <w:sz w:val="18"/>
        </w:rPr>
        <w:t xml:space="preserve">Blocks: </w:t>
      </w:r>
      <w:r>
        <w:rPr>
          <w:b w:val="0"/>
          <w:sz w:val="20"/>
        </w:rPr>
        <w:t>Nothing. Worth explicit sign-off because it is an assessment rule, not an implementation detail.</w:t>
      </w:r>
    </w:p>
    <w:p>
      <w:pPr>
        <w:spacing w:before="200" w:after="40"/>
      </w:pPr>
      <w:r>
        <w:rPr>
          <w:rFonts w:ascii="Consolas" w:hAnsi="Consolas"/>
          <w:b/>
          <w:color w:val="2B46A8"/>
          <w:sz w:val="20"/>
        </w:rPr>
        <w:t xml:space="preserve">D4  </w:t>
      </w:r>
      <w:r>
        <w:rPr>
          <w:b/>
          <w:sz w:val="22"/>
        </w:rPr>
        <w:t>The right-to-erasure approach</w:t>
      </w:r>
    </w:p>
    <w:p>
      <w:pPr>
        <w:spacing w:after="20"/>
        <w:ind w:left="432"/>
      </w:pPr>
      <w:r>
        <w:rPr>
          <w:b/>
          <w:color w:val="46536A"/>
          <w:sz w:val="18"/>
        </w:rPr>
        <w:t xml:space="preserve">Why yours: </w:t>
      </w:r>
      <w:r>
        <w:rPr>
          <w:b w:val="0"/>
          <w:sz w:val="20"/>
        </w:rPr>
        <w:t>PIPEDA compliance is a legal posture, not a coding preference. I chose to de-identify retained aggregates by nulling their owner columns rather than repointing them at a tombstone user; both satisfy “carries no PII”, and someone who owns that risk should confirm which.</w:t>
      </w:r>
    </w:p>
    <w:p>
      <w:pPr>
        <w:spacing w:after="20"/>
        <w:ind w:left="432"/>
      </w:pPr>
      <w:r>
        <w:rPr>
          <w:b/>
          <w:color w:val="46536A"/>
          <w:sz w:val="18"/>
        </w:rPr>
        <w:t xml:space="preserve">Assumed: </w:t>
      </w:r>
      <w:r>
        <w:rPr>
          <w:b w:val="0"/>
          <w:sz w:val="20"/>
        </w:rPr>
        <w:t xml:space="preserve">Nullable owner columns with </w:t>
      </w:r>
      <w:r>
        <w:rPr>
          <w:rFonts w:ascii="Consolas" w:hAnsi="Consolas"/>
          <w:b w:val="0"/>
          <w:sz w:val="19"/>
        </w:rPr>
        <w:t>SET NULL</w:t>
      </w:r>
      <w:r>
        <w:rPr>
          <w:b w:val="0"/>
          <w:sz w:val="20"/>
        </w:rPr>
        <w:t>; four-phase ordered procedure.</w:t>
      </w:r>
    </w:p>
    <w:p>
      <w:pPr>
        <w:spacing w:after="20"/>
        <w:ind w:left="432"/>
      </w:pPr>
      <w:r>
        <w:rPr>
          <w:b/>
          <w:color w:val="46536A"/>
          <w:sz w:val="18"/>
        </w:rPr>
        <w:t xml:space="preserve">Blocks: </w:t>
      </w:r>
      <w:r>
        <w:rPr>
          <w:b w:val="0"/>
          <w:sz w:val="20"/>
        </w:rPr>
        <w:t>Nothing. Should be reviewed before any real user data exists.</w:t>
      </w:r>
    </w:p>
    <w:p>
      <w:pPr>
        <w:spacing w:before="200" w:after="40"/>
      </w:pPr>
      <w:r>
        <w:rPr>
          <w:rFonts w:ascii="Consolas" w:hAnsi="Consolas"/>
          <w:b/>
          <w:color w:val="2B46A8"/>
          <w:sz w:val="20"/>
        </w:rPr>
        <w:t xml:space="preserve">D5  </w:t>
      </w:r>
      <w:r>
        <w:rPr>
          <w:b/>
          <w:sz w:val="22"/>
        </w:rPr>
        <w:t>Whether to version the concept graph</w:t>
      </w:r>
    </w:p>
    <w:p>
      <w:pPr>
        <w:spacing w:after="20"/>
        <w:ind w:left="432"/>
      </w:pPr>
      <w:r>
        <w:rPr>
          <w:b/>
          <w:color w:val="46536A"/>
          <w:sz w:val="18"/>
        </w:rPr>
        <w:t xml:space="preserve">Why yours: </w:t>
      </w:r>
      <w:r>
        <w:rPr>
          <w:b w:val="0"/>
          <w:sz w:val="20"/>
        </w:rPr>
        <w:t>Either the schema changes to deliver the guarantee in §6.2, or the guarantee is reworded. Both are fine; leaving the mismatch is not.</w:t>
      </w:r>
    </w:p>
    <w:p>
      <w:pPr>
        <w:spacing w:after="20"/>
        <w:ind w:left="432"/>
      </w:pPr>
      <w:r>
        <w:rPr>
          <w:b/>
          <w:color w:val="46536A"/>
          <w:sz w:val="18"/>
        </w:rPr>
        <w:t xml:space="preserve">Assumed: </w:t>
      </w:r>
      <w:r>
        <w:rPr>
          <w:b w:val="0"/>
          <w:sz w:val="20"/>
        </w:rPr>
        <w:t>Reword. The current schema detects graph drift and offers a migration, which is weaker than promised but honest.</w:t>
      </w:r>
    </w:p>
    <w:p>
      <w:pPr>
        <w:spacing w:after="20"/>
        <w:ind w:left="432"/>
      </w:pPr>
      <w:r>
        <w:rPr>
          <w:b/>
          <w:color w:val="46536A"/>
          <w:sz w:val="18"/>
        </w:rPr>
        <w:t xml:space="preserve">Blocks: </w:t>
      </w:r>
      <w:r>
        <w:rPr>
          <w:b w:val="0"/>
          <w:sz w:val="20"/>
        </w:rPr>
        <w:t>Nothing now; expensive after learners have history.</w:t>
      </w:r>
    </w:p>
    <w:p>
      <w:pPr>
        <w:spacing w:before="200" w:after="40"/>
      </w:pPr>
      <w:r>
        <w:rPr>
          <w:rFonts w:ascii="Consolas" w:hAnsi="Consolas"/>
          <w:b/>
          <w:color w:val="2B46A8"/>
          <w:sz w:val="20"/>
        </w:rPr>
        <w:t xml:space="preserve">D6  </w:t>
      </w:r>
      <w:r>
        <w:rPr>
          <w:b/>
          <w:sz w:val="22"/>
        </w:rPr>
        <w:t>Who does the draft-migration review pass</w:t>
      </w:r>
    </w:p>
    <w:p>
      <w:pPr>
        <w:spacing w:after="20"/>
        <w:ind w:left="432"/>
      </w:pPr>
      <w:r>
        <w:rPr>
          <w:b/>
          <w:color w:val="46536A"/>
          <w:sz w:val="18"/>
        </w:rPr>
        <w:t xml:space="preserve">Why yours: </w:t>
      </w:r>
      <w:r>
        <w:rPr>
          <w:b w:val="0"/>
          <w:sz w:val="20"/>
        </w:rPr>
        <w:t>The migration synthesises rubric prompts (the draft has criteria but no learner-facing questions) and derives prerequisite edges from linear unit order (the draft gates sequentially). Both are faithful translations that need a human rewrite before publishing.</w:t>
      </w:r>
    </w:p>
    <w:p>
      <w:pPr>
        <w:spacing w:after="20"/>
        <w:ind w:left="432"/>
      </w:pPr>
      <w:r>
        <w:rPr>
          <w:b/>
          <w:color w:val="46536A"/>
          <w:sz w:val="18"/>
        </w:rPr>
        <w:t xml:space="preserve">Assumed: </w:t>
      </w:r>
      <w:r>
        <w:rPr>
          <w:b w:val="0"/>
          <w:sz w:val="20"/>
        </w:rPr>
        <w:t xml:space="preserve">Subject lands as </w:t>
      </w:r>
      <w:r>
        <w:rPr>
          <w:rFonts w:ascii="Consolas" w:hAnsi="Consolas"/>
          <w:b w:val="0"/>
          <w:sz w:val="19"/>
        </w:rPr>
        <w:t>status = 'draft'</w:t>
      </w:r>
      <w:r>
        <w:rPr>
          <w:b w:val="0"/>
          <w:sz w:val="20"/>
        </w:rPr>
        <w:t xml:space="preserve"> with a printed warnings list.</w:t>
      </w:r>
    </w:p>
    <w:p>
      <w:pPr>
        <w:spacing w:after="20"/>
        <w:ind w:left="432"/>
      </w:pPr>
      <w:r>
        <w:rPr>
          <w:b/>
          <w:color w:val="46536A"/>
          <w:sz w:val="18"/>
        </w:rPr>
        <w:t xml:space="preserve">Blocks: </w:t>
      </w:r>
      <w:r>
        <w:rPr>
          <w:b w:val="0"/>
          <w:sz w:val="20"/>
        </w:rPr>
        <w:t>Publishing the lambda calculus subject to a learner.</w:t>
      </w:r>
    </w:p>
    <w:p>
      <w:pPr>
        <w:spacing w:before="200" w:after="40"/>
      </w:pPr>
      <w:r>
        <w:rPr>
          <w:rFonts w:ascii="Consolas" w:hAnsi="Consolas"/>
          <w:b/>
          <w:color w:val="2B46A8"/>
          <w:sz w:val="20"/>
        </w:rPr>
        <w:t xml:space="preserve">D7  </w:t>
      </w:r>
      <w:r>
        <w:rPr>
          <w:b/>
          <w:sz w:val="22"/>
        </w:rPr>
        <w:t>Access to a Postgres 16 instance</w:t>
      </w:r>
    </w:p>
    <w:p>
      <w:pPr>
        <w:spacing w:after="20"/>
        <w:ind w:left="432"/>
      </w:pPr>
      <w:r>
        <w:rPr>
          <w:b/>
          <w:color w:val="46536A"/>
          <w:sz w:val="18"/>
        </w:rPr>
        <w:t xml:space="preserve">Why yours: </w:t>
      </w:r>
      <w:r>
        <w:rPr>
          <w:b w:val="0"/>
          <w:sz w:val="20"/>
        </w:rPr>
        <w:t>It is your environment. Any Postgres 16 with pgvector works — local Docker, a Fly.io instance, or a colleague's machine.</w:t>
      </w:r>
    </w:p>
    <w:p>
      <w:pPr>
        <w:spacing w:after="20"/>
        <w:ind w:left="432"/>
      </w:pPr>
      <w:r>
        <w:rPr>
          <w:b/>
          <w:color w:val="46536A"/>
          <w:sz w:val="18"/>
        </w:rPr>
        <w:t xml:space="preserve">Assumed: </w:t>
      </w:r>
      <w:r>
        <w:rPr>
          <w:b w:val="0"/>
          <w:sz w:val="20"/>
        </w:rPr>
        <w:t>Local Docker; compose file provided.</w:t>
      </w:r>
    </w:p>
    <w:p>
      <w:pPr>
        <w:spacing w:after="20"/>
        <w:ind w:left="432"/>
      </w:pPr>
      <w:r>
        <w:rPr>
          <w:b/>
          <w:color w:val="46536A"/>
          <w:sz w:val="18"/>
        </w:rPr>
        <w:t xml:space="preserve">Blocks: </w:t>
      </w:r>
      <w:r>
        <w:rPr>
          <w:b w:val="0"/>
          <w:sz w:val="20"/>
        </w:rPr>
        <w:t>34 tests, and any confidence claim about runtime behaviour.</w:t>
      </w:r>
    </w:p>
    <w:p>
      <w:pPr>
        <w:spacing w:before="200" w:after="40"/>
      </w:pPr>
      <w:r>
        <w:rPr>
          <w:rFonts w:ascii="Consolas" w:hAnsi="Consolas"/>
          <w:b/>
          <w:color w:val="2B46A8"/>
          <w:sz w:val="20"/>
        </w:rPr>
        <w:t xml:space="preserve">D8  </w:t>
      </w:r>
      <w:r>
        <w:rPr>
          <w:b/>
          <w:sz w:val="22"/>
        </w:rPr>
        <w:t>Deploy target confirmation</w:t>
      </w:r>
    </w:p>
    <w:p>
      <w:pPr>
        <w:spacing w:after="20"/>
        <w:ind w:left="432"/>
      </w:pPr>
      <w:r>
        <w:rPr>
          <w:b/>
          <w:color w:val="46536A"/>
          <w:sz w:val="18"/>
        </w:rPr>
        <w:t xml:space="preserve">Why yours: </w:t>
      </w:r>
      <w:r>
        <w:rPr>
          <w:b w:val="0"/>
          <w:sz w:val="20"/>
        </w:rPr>
        <w:t>The spec assumes Fly.io throughout — managed Postgres, volumes, secrets, regions. Subsystem 7 will harden that assumption into infrastructure.</w:t>
      </w:r>
    </w:p>
    <w:p>
      <w:pPr>
        <w:spacing w:after="20"/>
        <w:ind w:left="432"/>
      </w:pPr>
      <w:r>
        <w:rPr>
          <w:b/>
          <w:color w:val="46536A"/>
          <w:sz w:val="18"/>
        </w:rPr>
        <w:t xml:space="preserve">Assumed: </w:t>
      </w:r>
      <w:r>
        <w:rPr>
          <w:b w:val="0"/>
          <w:sz w:val="20"/>
        </w:rPr>
        <w:t>Fly.io, per the spec. Nothing in the schema depends on it.</w:t>
      </w:r>
    </w:p>
    <w:p>
      <w:pPr>
        <w:spacing w:after="20"/>
        <w:ind w:left="432"/>
      </w:pPr>
      <w:r>
        <w:rPr>
          <w:b/>
          <w:color w:val="46536A"/>
          <w:sz w:val="18"/>
        </w:rPr>
        <w:t xml:space="preserve">Blocks: </w:t>
      </w:r>
      <w:r>
        <w:rPr>
          <w:b w:val="0"/>
          <w:sz w:val="20"/>
        </w:rPr>
        <w:t>Nothing here. Confirm before subsystem 7.</w:t>
      </w:r>
    </w:p>
    <w:p>
      <w:pPr>
        <w:spacing w:before="200" w:after="40"/>
      </w:pPr>
      <w:r>
        <w:rPr>
          <w:rFonts w:ascii="Consolas" w:hAnsi="Consolas"/>
          <w:b/>
          <w:color w:val="2B46A8"/>
          <w:sz w:val="20"/>
        </w:rPr>
        <w:t xml:space="preserve">D9  </w:t>
      </w:r>
      <w:r>
        <w:rPr>
          <w:b/>
          <w:sz w:val="22"/>
        </w:rPr>
        <w:t>FSRS parameter defaults</w:t>
      </w:r>
    </w:p>
    <w:p>
      <w:pPr>
        <w:spacing w:after="20"/>
        <w:ind w:left="432"/>
      </w:pPr>
      <w:r>
        <w:rPr>
          <w:b/>
          <w:color w:val="46536A"/>
          <w:sz w:val="18"/>
        </w:rPr>
        <w:t xml:space="preserve">Why yours: </w:t>
      </w:r>
      <w:r>
        <w:rPr>
          <w:b w:val="0"/>
          <w:sz w:val="20"/>
        </w:rPr>
        <w:t>I used the published FSRS-4.5 weights, which §16 calls “defensible for a general-purpose deployment”. They have not been validated against your learners because there are none yet.</w:t>
      </w:r>
    </w:p>
    <w:p>
      <w:pPr>
        <w:spacing w:after="20"/>
        <w:ind w:left="432"/>
      </w:pPr>
      <w:r>
        <w:rPr>
          <w:b/>
          <w:color w:val="46536A"/>
          <w:sz w:val="18"/>
        </w:rPr>
        <w:t xml:space="preserve">Assumed: </w:t>
      </w:r>
      <w:r>
        <w:rPr>
          <w:b w:val="0"/>
          <w:sz w:val="20"/>
        </w:rPr>
        <w:t>Published defaults; per-learner tuning deferred to v1.1 as the spec suggests.</w:t>
      </w:r>
    </w:p>
    <w:p>
      <w:pPr>
        <w:spacing w:after="20"/>
        <w:ind w:left="432"/>
      </w:pPr>
      <w:r>
        <w:rPr>
          <w:b/>
          <w:color w:val="46536A"/>
          <w:sz w:val="18"/>
        </w:rPr>
        <w:t xml:space="preserve">Blocks: </w:t>
      </w:r>
      <w:r>
        <w:rPr>
          <w:b w:val="0"/>
          <w:sz w:val="20"/>
        </w:rPr>
        <w:t>Nothing.</w:t>
      </w:r>
    </w:p>
    <w:p>
      <w:pPr>
        <w:pStyle w:val="Heading1"/>
      </w:pPr>
      <w:r>
        <w:t>9.  Constraints</w:t>
      </w:r>
    </w:p>
    <w:p>
      <w:pPr>
        <w:pStyle w:val="ListBullet"/>
      </w:pPr>
      <w:r>
        <w:rPr>
          <w:b w:val="0"/>
        </w:rPr>
        <w:t>Development environment. Windows, Python 3.14, no container runtime and no database server. This shaped the offline-first test tiering, which I would keep regardless — but it is the reason section 5 has a second half.</w:t>
      </w:r>
    </w:p>
    <w:p>
      <w:pPr>
        <w:pStyle w:val="ListBullet"/>
      </w:pPr>
      <w:r>
        <w:rPr>
          <w:b w:val="0"/>
        </w:rPr>
        <w:t>The specification is a contract. Six documents will reference this schema. That is why deviations were documented rather than quietly applied, and why D1 leads the decisions list.</w:t>
      </w:r>
    </w:p>
    <w:p>
      <w:pPr>
        <w:pStyle w:val="ListBullet"/>
      </w:pPr>
      <w:r>
        <w:rPr>
          <w:b w:val="0"/>
        </w:rPr>
        <w:t>Migration 0001 is immutable. Regenerating it collides with 0002. Schema changes go in new revisions — normal Alembic practice, but worth stating since the file was machine-generated.</w:t>
      </w:r>
    </w:p>
    <w:p>
      <w:pPr>
        <w:pStyle w:val="ListBullet"/>
      </w:pPr>
      <w:r>
        <w:rPr>
          <w:b w:val="0"/>
        </w:rPr>
        <w:t>MVP-scale assumptions are baked in. No tenant column, no partitioning, HNSW parameters tuned for a corpus in the low millions. The spec's own reasoning, and I kept it — but it is an assumption with a shelf life.</w:t>
      </w:r>
    </w:p>
    <w:p>
      <w:pPr>
        <w:pStyle w:val="ListBullet"/>
      </w:pPr>
      <w:r>
        <w:rPr>
          <w:b w:val="0"/>
        </w:rPr>
        <w:t xml:space="preserve">Postgres 16 specifically. The cost ledger uses </w:t>
      </w:r>
      <w:r>
        <w:rPr>
          <w:rFonts w:ascii="Consolas" w:hAnsi="Consolas"/>
          <w:b w:val="0"/>
          <w:sz w:val="20"/>
        </w:rPr>
        <w:t>NULLS NOT DISTINCT</w:t>
      </w:r>
      <w:r>
        <w:rPr>
          <w:b w:val="0"/>
        </w:rPr>
        <w:t xml:space="preserve"> (15+), and the spec pins 16. A startup check enforces the floor.</w:t>
      </w:r>
    </w:p>
    <w:p>
      <w:pPr>
        <w:pStyle w:val="Heading1"/>
      </w:pPr>
      <w:r>
        <w:t>10.  Risks and concerns</w:t>
      </w:r>
    </w:p>
    <w:p>
      <w:r>
        <w:rPr>
          <w:b w:val="0"/>
        </w:rPr>
        <w:t>Ranked by what I would worry about first.</w:t>
      </w:r>
    </w:p>
    <w:p>
      <w:pPr>
        <w:pStyle w:val="Heading2"/>
      </w:pPr>
      <w:r>
        <w:t>1 · Untested SQL, and where it is likely to break</w:t>
      </w:r>
    </w:p>
    <w:p>
      <w:r>
        <w:rPr>
          <w:b w:val="0"/>
        </w:rPr>
        <w:t>Two of the four defects found during the build were in raw SQL, and both were found by re-reading rather than by a test. The specific places I would examine first on a live server:</w:t>
      </w:r>
    </w:p>
    <w:p>
      <w:pPr>
        <w:pStyle w:val="ListBullet"/>
      </w:pPr>
      <w:r>
        <w:rPr>
          <w:b w:val="0"/>
        </w:rPr>
        <w:t xml:space="preserve">The cost roll-up's </w:t>
      </w:r>
      <w:r>
        <w:rPr>
          <w:rFonts w:ascii="Consolas" w:hAnsi="Consolas"/>
          <w:b w:val="0"/>
          <w:sz w:val="20"/>
        </w:rPr>
        <w:t>ON CONFLICT</w:t>
      </w:r>
      <w:r>
        <w:rPr>
          <w:b w:val="0"/>
        </w:rPr>
        <w:t xml:space="preserve"> inference against a unique constraint declared </w:t>
      </w:r>
      <w:r>
        <w:rPr>
          <w:rFonts w:ascii="Consolas" w:hAnsi="Consolas"/>
          <w:b w:val="0"/>
          <w:sz w:val="20"/>
        </w:rPr>
        <w:t>NULLS NOT DISTINCT</w:t>
      </w:r>
      <w:r>
        <w:rPr>
          <w:b w:val="0"/>
        </w:rPr>
        <w:t xml:space="preserve"> — the shared-cost rows deliberately insert a null owner, and conflict inference on a nullable key is the kind of thing that behaves differently than expected.</w:t>
      </w:r>
    </w:p>
    <w:p>
      <w:pPr>
        <w:pStyle w:val="ListBullet"/>
      </w:pPr>
      <w:r>
        <w:rPr>
          <w:b w:val="0"/>
        </w:rPr>
        <w:t>The erasure ordering, which has four phases whose correctness depends on cascade timing.</w:t>
      </w:r>
    </w:p>
    <w:p>
      <w:pPr>
        <w:pStyle w:val="ListBullet"/>
      </w:pPr>
      <w:r>
        <w:rPr>
          <w:b w:val="0"/>
        </w:rPr>
        <w:t>HNSW index creation, which depends on the pgvector build in the image.</w:t>
      </w:r>
    </w:p>
    <w:p>
      <w:pPr>
        <w:pStyle w:val="ListBullet"/>
      </w:pPr>
      <w:r>
        <w:rPr>
          <w:b w:val="0"/>
        </w:rPr>
        <w:t xml:space="preserve">Array parameter binding in the unlock query, where a Python list is cast to </w:t>
      </w:r>
      <w:r>
        <w:rPr>
          <w:rFonts w:ascii="Consolas" w:hAnsi="Consolas"/>
          <w:b w:val="0"/>
          <w:sz w:val="20"/>
        </w:rPr>
        <w:t>uuid[]</w:t>
      </w:r>
      <w:r>
        <w:rPr>
          <w:b w:val="0"/>
        </w:rPr>
        <w:t>.</w:t>
      </w:r>
    </w:p>
    <w:p>
      <w:pPr>
        <w:pStyle w:val="Heading2"/>
      </w:pPr>
      <w:r>
        <w:t>2 · Specification drift</w:t>
      </w:r>
    </w:p>
    <w:p>
      <w:r>
        <w:rPr>
          <w:b w:val="0"/>
        </w:rPr>
        <w:t>Right now the code is correct and the spec is not, and the difference lives in a third document. That is a stable state for days and a corrosive one for months — the failure mode is subsystem 2 being written against §6 and inheriting a schema shape that no longer exists. D1 closes it.</w:t>
      </w:r>
    </w:p>
    <w:p>
      <w:pPr>
        <w:pStyle w:val="Heading2"/>
      </w:pPr>
      <w:r>
        <w:t>3 · Cost control is the stated project-ending risk, and the spec under-counts it</w:t>
      </w:r>
    </w:p>
    <w:p>
      <w:r>
        <w:rPr>
          <w:b w:val="0"/>
        </w:rPr>
        <w:t>The spec calls uncontrolled LLM cost “the mode-of-failure most likely to end the project in weeks 8–12”. Its own roll-up sums only agent traces, leaving four other cost columns stranded — content generation, ingestion, summarisation and grading. At MVP those are plausibly the dominant spend, since content is generated once and read many times. The implementation rolls up all five, and splits cache-write tokens by TTL because the two price differently. This needs to reach the spec, or the safeguard will be rebuilt wrong.</w:t>
      </w:r>
    </w:p>
    <w:p>
      <w:pPr>
        <w:pStyle w:val="Heading2"/>
      </w:pPr>
      <w:r>
        <w:t>4 · Full prompts retained for 90 days</w:t>
      </w:r>
    </w:p>
    <w:p>
      <w:r>
        <w:rPr>
          <w:rFonts w:ascii="Consolas" w:hAnsi="Consolas"/>
          <w:b w:val="0"/>
          <w:sz w:val="20"/>
        </w:rPr>
        <w:t>agent_traces.prompt_messages</w:t>
      </w:r>
      <w:r>
        <w:rPr>
          <w:b w:val="0"/>
        </w:rPr>
        <w:t xml:space="preserve"> stores every prompt as sent, which will include learner text. The spec sets 90 days and I implemented it, with an exception for traces linked to an open review item. It is a real privacy surface and worth a conscious decision rather than an inherited default — particularly alongside the PIPEDA posture in D4.</w:t>
      </w:r>
    </w:p>
    <w:p>
      <w:pPr>
        <w:pStyle w:val="Heading2"/>
      </w:pPr>
      <w:r>
        <w:t>5 · Pedagogical parameters chosen by an engineer</w:t>
      </w:r>
    </w:p>
    <w:p>
      <w:r>
        <w:rPr>
          <w:b w:val="0"/>
        </w:rPr>
        <w:t>The half-life (D2), the grading aggregation (D3) and the FSRS weights (D9) all shape what learners experience, and all three were set by someone optimising for defensibility rather than learning outcomes. They are isolated and easy to change, which is the mitigation — but they should not stay unexamined.</w:t>
      </w:r>
    </w:p>
    <w:p>
      <w:pPr>
        <w:pStyle w:val="Heading2"/>
      </w:pPr>
      <w:r>
        <w:t>6 · Knowledge concentration</w:t>
      </w:r>
    </w:p>
    <w:p>
      <w:r>
        <w:rPr>
          <w:b w:val="0"/>
        </w:rPr>
        <w:t xml:space="preserve">One contributor, one week, roughly 8,400 lines and thirty schema decisions. The mitigation is that the reasoning is written down — in the review, in </w:t>
      </w:r>
      <w:r>
        <w:rPr>
          <w:rFonts w:ascii="Consolas" w:hAnsi="Consolas"/>
          <w:b w:val="0"/>
          <w:sz w:val="20"/>
        </w:rPr>
        <w:t>DEVIATIONS.md</w:t>
      </w:r>
      <w:r>
        <w:rPr>
          <w:b w:val="0"/>
        </w:rPr>
        <w:t>, and in the code comments, which explain why rather than restating what. It is still worth a second reader before this is built upon.</w:t>
      </w:r>
    </w:p>
    <w:p>
      <w:pPr>
        <w:pStyle w:val="Heading1"/>
      </w:pPr>
      <w:r>
        <w:t>11.  Recommended sequence</w:t>
      </w:r>
    </w:p>
    <w:p>
      <w:r>
        <w:rPr>
          <w:b w:val="0"/>
        </w:rPr>
        <w:t>Ordered, because each step's value depends on the one before it.</w:t>
      </w:r>
    </w:p>
    <w:p>
      <w:pPr>
        <w:pStyle w:val="ListNumber"/>
      </w:pPr>
      <w:r>
        <w:rPr>
          <w:b w:val="0"/>
        </w:rPr>
        <w:t>Run the suite against Postgres 16 (D7). Until this happens, every runtime claim in this report is an argument rather than a fact. Expect and fix a handful of failures.</w:t>
      </w:r>
    </w:p>
    <w:p>
      <w:pPr>
        <w:pStyle w:val="ListNumber"/>
      </w:pPr>
      <w:r>
        <w:rPr>
          <w:b w:val="0"/>
        </w:rPr>
        <w:t>Decide D1. Fold the deviations into the specification, or overrule them. Do this before subsystem 2 is drafted, not after.</w:t>
      </w:r>
    </w:p>
    <w:p>
      <w:pPr>
        <w:pStyle w:val="ListNumber"/>
      </w:pPr>
      <w:r>
        <w:rPr>
          <w:b w:val="0"/>
        </w:rPr>
        <w:t>Wire the four CI checks to a runner. The offline tier needs no database, so it can gate every push immediately.</w:t>
      </w:r>
    </w:p>
    <w:p>
      <w:pPr>
        <w:pStyle w:val="ListNumber"/>
      </w:pPr>
      <w:r>
        <w:rPr>
          <w:b w:val="0"/>
        </w:rPr>
        <w:t>Run the draft migration in dry-run and work through its warnings (D6). This is what turns the lambda calculus draft into a real seeded subject.</w:t>
      </w:r>
    </w:p>
    <w:p>
      <w:pPr>
        <w:pStyle w:val="ListNumber"/>
      </w:pPr>
      <w:r>
        <w:rPr>
          <w:b w:val="0"/>
        </w:rPr>
        <w:t>Settle the pedagogical parameters (D2, D3, D9) — cheap now, disruptive once learners have history.</w:t>
      </w:r>
    </w:p>
    <w:p>
      <w:pPr>
        <w:pStyle w:val="ListNumber"/>
      </w:pPr>
      <w:r>
        <w:rPr>
          <w:b w:val="0"/>
        </w:rPr>
        <w:t>Draft subsystem 2 against the reconciled specification.</w:t>
      </w:r>
    </w:p>
    <w:p>
      <w:r>
        <w:rPr>
          <w:b w:val="0"/>
        </w:rPr>
        <w:t>Steps 1 and 2 are the ones I would not skip. The rest can move in whatever order suits the schedule.</w:t>
      </w:r>
    </w:p>
    <w:p>
      <w:pPr>
        <w:pStyle w:val="Heading1"/>
      </w:pPr>
      <w:r>
        <w:t>Supporting documents</w:t>
      </w:r>
    </w:p>
    <w:tbl>
      <w:tblPr>
        <w:tblStyle w:val="LightGrid-Accent1"/>
        <w:tblW w:type="auto" w:w="0"/>
        <w:tblLayout w:type="autofit"/>
        <w:tblLook w:firstColumn="1" w:firstRow="1" w:lastColumn="0" w:lastRow="0" w:noHBand="0" w:noVBand="1" w:val="04A0"/>
      </w:tblPr>
      <w:tblGrid>
        <w:gridCol w:w="2880"/>
        <w:gridCol w:w="2880"/>
        <w:gridCol w:w="2880"/>
      </w:tblGrid>
      <w:tr>
        <w:tc>
          <w:tcPr>
            <w:tcW w:type="dxa" w:w="2160"/>
          </w:tcPr>
          <w:p>
            <w:r/>
            <w:r>
              <w:rPr>
                <w:b/>
                <w:sz w:val="18"/>
              </w:rPr>
              <w:t>Document</w:t>
            </w:r>
          </w:p>
        </w:tc>
        <w:tc>
          <w:tcPr>
            <w:tcW w:type="dxa" w:w="3168"/>
          </w:tcPr>
          <w:p>
            <w:r/>
            <w:r>
              <w:rPr>
                <w:b/>
                <w:sz w:val="18"/>
              </w:rPr>
              <w:t>Location</w:t>
            </w:r>
          </w:p>
        </w:tc>
        <w:tc>
          <w:tcPr>
            <w:tcW w:type="dxa" w:w="3744"/>
          </w:tcPr>
          <w:p>
            <w:r/>
            <w:r>
              <w:rPr>
                <w:b/>
                <w:sz w:val="18"/>
              </w:rPr>
              <w:t>Contents</w:t>
            </w:r>
          </w:p>
        </w:tc>
      </w:tr>
      <w:tr>
        <w:tc>
          <w:tcPr>
            <w:tcW w:type="dxa" w:w="2160"/>
          </w:tcPr>
          <w:p>
            <w:r/>
            <w:r>
              <w:rPr>
                <w:b w:val="0"/>
                <w:sz w:val="19"/>
              </w:rPr>
              <w:t>Specification review</w:t>
            </w:r>
          </w:p>
        </w:tc>
        <w:tc>
          <w:tcPr>
            <w:tcW w:type="dxa" w:w="3168"/>
          </w:tcPr>
          <w:p>
            <w:r/>
            <w:r>
              <w:rPr>
                <w:rFonts w:ascii="Consolas" w:hAnsi="Consolas"/>
                <w:b w:val="0"/>
                <w:sz w:val="18"/>
              </w:rPr>
              <w:t>spec/01-data-layer-review.md</w:t>
            </w:r>
          </w:p>
        </w:tc>
        <w:tc>
          <w:tcPr>
            <w:tcW w:type="dxa" w:w="3744"/>
          </w:tcPr>
          <w:p>
            <w:r/>
            <w:r>
              <w:rPr>
                <w:b w:val="0"/>
                <w:sz w:val="19"/>
              </w:rPr>
              <w:t>All 29 findings with corrected SQL.</w:t>
            </w:r>
          </w:p>
        </w:tc>
      </w:tr>
      <w:tr>
        <w:tc>
          <w:tcPr>
            <w:tcW w:type="dxa" w:w="2160"/>
          </w:tcPr>
          <w:p>
            <w:r/>
            <w:r>
              <w:rPr>
                <w:b w:val="0"/>
                <w:sz w:val="19"/>
              </w:rPr>
              <w:t>Deviations record</w:t>
            </w:r>
          </w:p>
        </w:tc>
        <w:tc>
          <w:tcPr>
            <w:tcW w:type="dxa" w:w="3168"/>
          </w:tcPr>
          <w:p>
            <w:r/>
            <w:r>
              <w:rPr>
                <w:rFonts w:ascii="Consolas" w:hAnsi="Consolas"/>
                <w:b w:val="0"/>
                <w:sz w:val="18"/>
              </w:rPr>
              <w:t>backend/DEVIATIONS.md</w:t>
            </w:r>
          </w:p>
        </w:tc>
        <w:tc>
          <w:tcPr>
            <w:tcW w:type="dxa" w:w="3744"/>
          </w:tcPr>
          <w:p>
            <w:r/>
            <w:r>
              <w:rPr>
                <w:b w:val="0"/>
                <w:sz w:val="19"/>
              </w:rPr>
              <w:t>Every schema departure, keyed to its finding.</w:t>
            </w:r>
          </w:p>
        </w:tc>
      </w:tr>
      <w:tr>
        <w:tc>
          <w:tcPr>
            <w:tcW w:type="dxa" w:w="2160"/>
          </w:tcPr>
          <w:p>
            <w:r/>
            <w:r>
              <w:rPr>
                <w:b w:val="0"/>
                <w:sz w:val="19"/>
              </w:rPr>
              <w:t>Migration changelog</w:t>
            </w:r>
          </w:p>
        </w:tc>
        <w:tc>
          <w:tcPr>
            <w:tcW w:type="dxa" w:w="3168"/>
          </w:tcPr>
          <w:p>
            <w:r/>
            <w:r>
              <w:rPr>
                <w:rFonts w:ascii="Consolas" w:hAnsi="Consolas"/>
                <w:b w:val="0"/>
                <w:sz w:val="18"/>
              </w:rPr>
              <w:t>backend/CHANGELOG.md</w:t>
            </w:r>
          </w:p>
        </w:tc>
        <w:tc>
          <w:tcPr>
            <w:tcW w:type="dxa" w:w="3744"/>
          </w:tcPr>
          <w:p>
            <w:r/>
            <w:r>
              <w:rPr>
                <w:b w:val="0"/>
                <w:sz w:val="19"/>
              </w:rPr>
              <w:t>Per-migration semantic changes (§13 CI check 4).</w:t>
            </w:r>
          </w:p>
        </w:tc>
      </w:tr>
      <w:tr>
        <w:tc>
          <w:tcPr>
            <w:tcW w:type="dxa" w:w="2160"/>
          </w:tcPr>
          <w:p>
            <w:r/>
            <w:r>
              <w:rPr>
                <w:b w:val="0"/>
                <w:sz w:val="19"/>
              </w:rPr>
              <w:t>Backend orientation</w:t>
            </w:r>
          </w:p>
        </w:tc>
        <w:tc>
          <w:tcPr>
            <w:tcW w:type="dxa" w:w="3168"/>
          </w:tcPr>
          <w:p>
            <w:r/>
            <w:r>
              <w:rPr>
                <w:rFonts w:ascii="Consolas" w:hAnsi="Consolas"/>
                <w:b w:val="0"/>
                <w:sz w:val="18"/>
              </w:rPr>
              <w:t>backend/README.md</w:t>
            </w:r>
          </w:p>
        </w:tc>
        <w:tc>
          <w:tcPr>
            <w:tcW w:type="dxa" w:w="3744"/>
          </w:tcPr>
          <w:p>
            <w:r/>
            <w:r>
              <w:rPr>
                <w:b w:val="0"/>
                <w:sz w:val="19"/>
              </w:rPr>
              <w:t>Layout, conventions, and how to run everything.</w:t>
            </w:r>
          </w:p>
        </w:tc>
      </w:tr>
    </w:tbl>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46536A"/>
        <w:sz w:val="16"/>
      </w:rPr>
      <w:t xml:space="preserve">Studium Data Layer Build Report   ·   Page </w:t>
    </w:r>
    <w:r>
      <w:rPr>
        <w:color w:val="46536A"/>
        <w:sz w:val="16"/>
      </w:rPr>
      <w:fldChar w:fldCharType="begin"/>
      <w:instrText xml:space="preserve">PAGE</w:instrText>
      <w:fldChar w:fldCharType="separate">
        <w:t>1</w:t>
      </w:fldCha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9"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Studium Data Layer Build Report</dc:title>
  <dc:subject>Subsystem 1 of 7 — persistence layer</dc:subject>
  <dc:creator>Yannis Munayi</dc:creator>
  <cp:keywords>Studium; data layer; Postgres; specification review</cp:keywords>
  <dc:description>Build report against Studium Data Layer Specification v1.0: work completed, outstanding items, decisions required, constraints and risks.</dc:description>
  <cp:lastModifiedBy/>
  <cp:revision>1</cp:revision>
  <dcterms:created xsi:type="dcterms:W3CDTF">2013-12-23T23:15:00Z</dcterms:created>
  <dcterms:modified xsi:type="dcterms:W3CDTF">2013-12-23T23:15:00Z</dcterms:modified>
  <cp:category/>
</cp:coreProperties>
</file>