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536A"/>
          <w:sz w:val="17"/>
        </w:rPr>
        <w:t>STUDIUM  ·  SUBSYSTEM 1  ·  DECISION RECORD</w:t>
      </w:r>
    </w:p>
    <w:p>
      <w:pPr>
        <w:pStyle w:val="Title"/>
      </w:pPr>
      <w:r>
        <w:rPr>
          <w:color w:val="151C26"/>
        </w:rPr>
        <w:t>Data Layer Defect Resolution</w:t>
      </w:r>
    </w:p>
    <w:p>
      <w:r>
        <w:rPr>
          <w:i/>
          <w:color w:val="46536A"/>
          <w:sz w:val="23"/>
        </w:rPr>
        <w:t>Three defects were found in specification v1.1 while implementing the cost attribution rules in section 6.12. All three are resolved in code. No v1.2 has been issued, and this document records why, what was done instead, and what remains unverified.</w:t>
      </w:r>
    </w:p>
    <w:p>
      <w:r>
        <w:rPr>
          <w:color w:val="46536A"/>
          <w:sz w:val="18"/>
        </w:rPr>
        <w:t>Decided 15 August 2026   |   Against spec v1.1 §6.12   |   Status: resolved in code, unverified against a database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Defects</w:t>
            </w:r>
          </w:p>
        </w:tc>
        <w:tc>
          <w:tcPr>
            <w:tcW w:type="dxa" w:w="2160"/>
          </w:tcPr>
          <w:p>
            <w:r/>
            <w:r>
              <w:rPr>
                <w:b/>
                <w:sz w:val="18"/>
              </w:rPr>
              <w:t>Resolved in code</w:t>
            </w:r>
          </w:p>
        </w:tc>
        <w:tc>
          <w:tcPr>
            <w:tcW w:type="dxa" w:w="2160"/>
          </w:tcPr>
          <w:p>
            <w:r/>
            <w:r>
              <w:rPr>
                <w:b/>
                <w:sz w:val="18"/>
              </w:rPr>
              <w:t>Resolved in spec</w:t>
            </w:r>
          </w:p>
        </w:tc>
        <w:tc>
          <w:tcPr>
            <w:tcW w:type="dxa" w:w="2160"/>
          </w:tcPr>
          <w:p>
            <w:r/>
            <w:r>
              <w:rPr>
                <w:b/>
                <w:sz w:val="18"/>
              </w:rPr>
              <w:t>Verified on a database</w:t>
            </w:r>
          </w:p>
        </w:tc>
      </w:tr>
      <w:tr>
        <w:tc>
          <w:tcPr>
            <w:tcW w:type="dxa" w:w="2160"/>
          </w:tcPr>
          <w:p>
            <w:r/>
            <w:r>
              <w:rPr>
                <w:b w:val="0"/>
                <w:sz w:val="19"/>
              </w:rPr>
              <w:t>3</w:t>
            </w:r>
          </w:p>
        </w:tc>
        <w:tc>
          <w:tcPr>
            <w:tcW w:type="dxa" w:w="2160"/>
          </w:tcPr>
          <w:p>
            <w:r/>
            <w:r>
              <w:rPr>
                <w:b w:val="0"/>
                <w:sz w:val="19"/>
              </w:rPr>
              <w:t>3</w:t>
            </w:r>
          </w:p>
        </w:tc>
        <w:tc>
          <w:tcPr>
            <w:tcW w:type="dxa" w:w="2160"/>
          </w:tcPr>
          <w:p>
            <w:r/>
            <w:r>
              <w:rPr>
                <w:b w:val="0"/>
                <w:sz w:val="19"/>
              </w:rPr>
              <w:t>0</w:t>
            </w:r>
          </w:p>
        </w:tc>
        <w:tc>
          <w:tcPr>
            <w:tcW w:type="dxa" w:w="2160"/>
          </w:tcPr>
          <w:p>
            <w:r/>
            <w:r>
              <w:rPr>
                <w:b w:val="0"/>
                <w:sz w:val="19"/>
              </w:rPr>
              <w:t>0</w:t>
            </w:r>
          </w:p>
        </w:tc>
      </w:tr>
    </w:tbl>
    <w:p/>
    <w:p>
      <w:pPr>
        <w:pStyle w:val="Heading1"/>
      </w:pPr>
      <w:r>
        <w:t>Contents</w:t>
      </w:r>
    </w:p>
    <w:p>
      <w:r>
        <w:fldChar w:fldCharType="begin"/>
        <w:instrText xml:space="preserve">TOC \o "1-2" \h \z \u</w:instrText>
        <w:fldChar w:fldCharType="separate">
          <w:t>Right-click here and choose Update Field to build the table of contents.</w:t>
        </w:fldChar>
        <w:fldChar w:fldCharType="end"/>
      </w:r>
    </w:p>
    <w:p>
      <w:pPr>
        <w:pStyle w:val="Heading1"/>
      </w:pPr>
      <w:r>
        <w:t>1.  The decision</w:t>
      </w:r>
    </w:p>
    <w:p>
      <w:pPr>
        <w:pStyle w:val="IntenseQuote"/>
      </w:pPr>
      <w:r>
        <w:rPr>
          <w:b/>
          <w:color w:val="1F6B45"/>
          <w:sz w:val="18"/>
        </w:rPr>
        <w:t xml:space="preserve">DECISION  </w:t>
      </w:r>
      <w:r>
        <w:rPr>
          <w:b w:val="0"/>
        </w:rPr>
        <w:t>No v1.2. The three defects are fixed in code and will be folded into whatever specification revision subsystem 2 forces — agent runtime always surfaces schema needs, so one is coming. One code mitigation was added immediately, for the single defect that could go wrong quietly.</w:t>
      </w:r>
    </w:p>
    <w:p>
      <w:r>
        <w:rPr>
          <w:b w:val="0"/>
        </w:rPr>
        <w:t>The reasoning is severity, not convenience. Two of the three announce themselves the moment anyone builds against the stale text; the third does not, and that difference is what the decision turns on.</w:t>
      </w:r>
    </w:p>
    <w:p>
      <w:r>
        <w:rPr>
          <w:b w:val="0"/>
        </w:rPr>
        <w:t>The general principle applied: spend specification process on defects that can corrupt quietly, and spend code on the rest. A revision and a re-ratification cycle for three items — two of which cannot survive first contact — is heavier process than the content warrants.</w:t>
      </w:r>
    </w:p>
    <w:p>
      <w:pPr>
        <w:pStyle w:val="Heading1"/>
      </w:pPr>
      <w:r>
        <w:t>2.  The three defects</w:t>
      </w:r>
    </w:p>
    <w:p>
      <w:r>
        <w:rPr>
          <w:b w:val="0"/>
        </w:rPr>
        <w:t>All three sit in §6.12, and two are the same shape as the blocking defect A2 was in v1.0: a rule stated in one section that another section cannot support. They were found the same way — by trying to implement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648"/>
          </w:tcPr>
          <w:p>
            <w:r/>
            <w:r>
              <w:rPr>
                <w:b/>
                <w:sz w:val="18"/>
              </w:rPr>
              <w:t>Ref</w:t>
            </w:r>
          </w:p>
        </w:tc>
        <w:tc>
          <w:tcPr>
            <w:tcW w:type="dxa" w:w="3024"/>
          </w:tcPr>
          <w:p>
            <w:r/>
            <w:r>
              <w:rPr>
                <w:b/>
                <w:sz w:val="18"/>
              </w:rPr>
              <w:t>Defect</w:t>
            </w:r>
          </w:p>
        </w:tc>
        <w:tc>
          <w:tcPr>
            <w:tcW w:type="dxa" w:w="3312"/>
          </w:tcPr>
          <w:p>
            <w:r/>
            <w:r>
              <w:rPr>
                <w:b/>
                <w:sz w:val="18"/>
              </w:rPr>
              <w:t>Failure mode</w:t>
            </w:r>
          </w:p>
        </w:tc>
        <w:tc>
          <w:tcPr>
            <w:tcW w:type="dxa" w:w="1080"/>
          </w:tcPr>
          <w:p>
            <w:r/>
            <w:r>
              <w:rPr>
                <w:b/>
                <w:sz w:val="18"/>
              </w:rPr>
              <w:t>Severity</w:t>
            </w:r>
          </w:p>
        </w:tc>
      </w:tr>
      <w:tr>
        <w:tc>
          <w:tcPr>
            <w:tcW w:type="dxa" w:w="648"/>
          </w:tcPr>
          <w:p>
            <w:r/>
            <w:r>
              <w:rPr>
                <w:b w:val="0"/>
                <w:sz w:val="19"/>
              </w:rPr>
              <w:t>V1</w:t>
            </w:r>
          </w:p>
        </w:tc>
        <w:tc>
          <w:tcPr>
            <w:tcW w:type="dxa" w:w="3024"/>
          </w:tcPr>
          <w:p>
            <w:r/>
            <w:r>
              <w:rPr>
                <w:b w:val="0"/>
                <w:sz w:val="19"/>
              </w:rPr>
              <w:t xml:space="preserve">§6.12 splits cache-write tokens by TTL on </w:t>
            </w:r>
            <w:r>
              <w:rPr>
                <w:rFonts w:ascii="Consolas" w:hAnsi="Consolas"/>
                <w:b w:val="0"/>
                <w:sz w:val="18"/>
              </w:rPr>
              <w:t>cost_ledger</w:t>
            </w:r>
            <w:r>
              <w:rPr>
                <w:b w:val="0"/>
                <w:sz w:val="19"/>
              </w:rPr>
              <w:t xml:space="preserve">; §6.6's </w:t>
            </w:r>
            <w:r>
              <w:rPr>
                <w:rFonts w:ascii="Consolas" w:hAnsi="Consolas"/>
                <w:b w:val="0"/>
                <w:sz w:val="18"/>
              </w:rPr>
              <w:t>agent_traces</w:t>
            </w:r>
            <w:r>
              <w:rPr>
                <w:b w:val="0"/>
                <w:sz w:val="19"/>
              </w:rPr>
              <w:t xml:space="preserve"> still has one combined column</w:t>
            </w:r>
          </w:p>
        </w:tc>
        <w:tc>
          <w:tcPr>
            <w:tcW w:type="dxa" w:w="3312"/>
          </w:tcPr>
          <w:p>
            <w:r/>
            <w:r>
              <w:rPr>
                <w:b w:val="0"/>
                <w:sz w:val="19"/>
              </w:rPr>
              <w:t xml:space="preserve">An implementation built from §6.6 emits </w:t>
            </w:r>
            <w:r>
              <w:rPr>
                <w:rFonts w:ascii="Consolas" w:hAnsi="Consolas"/>
                <w:b w:val="0"/>
                <w:sz w:val="18"/>
              </w:rPr>
              <w:t>cache_write_tokens</w:t>
            </w:r>
            <w:r>
              <w:rPr>
                <w:b w:val="0"/>
                <w:sz w:val="19"/>
              </w:rPr>
              <w:t xml:space="preserve"> and errors on the first insert against a column that does not exist</w:t>
            </w:r>
          </w:p>
        </w:tc>
        <w:tc>
          <w:tcPr>
            <w:tcW w:type="dxa" w:w="1080"/>
          </w:tcPr>
          <w:p>
            <w:r/>
            <w:r>
              <w:rPr>
                <w:b/>
                <w:color w:val="1F6B45"/>
                <w:sz w:val="18"/>
              </w:rPr>
              <w:t>LOUD</w:t>
            </w:r>
          </w:p>
        </w:tc>
      </w:tr>
      <w:tr>
        <w:tc>
          <w:tcPr>
            <w:tcW w:type="dxa" w:w="648"/>
          </w:tcPr>
          <w:p>
            <w:r/>
            <w:r>
              <w:rPr>
                <w:b w:val="0"/>
                <w:sz w:val="19"/>
              </w:rPr>
              <w:t>V2</w:t>
            </w:r>
          </w:p>
        </w:tc>
        <w:tc>
          <w:tcPr>
            <w:tcW w:type="dxa" w:w="3024"/>
          </w:tcPr>
          <w:p>
            <w:r/>
            <w:r>
              <w:rPr>
                <w:b w:val="0"/>
                <w:sz w:val="19"/>
              </w:rPr>
              <w:t xml:space="preserve">§6.12 attributes content cost to "the learner in whose session the generation was triggered"; </w:t>
            </w:r>
            <w:r>
              <w:rPr>
                <w:rFonts w:ascii="Consolas" w:hAnsi="Consolas"/>
                <w:b w:val="0"/>
                <w:sz w:val="18"/>
              </w:rPr>
              <w:t>content_artifacts</w:t>
            </w:r>
            <w:r>
              <w:rPr>
                <w:b w:val="0"/>
                <w:sz w:val="19"/>
              </w:rPr>
              <w:t xml:space="preserve"> has no session or user column</w:t>
            </w:r>
          </w:p>
        </w:tc>
        <w:tc>
          <w:tcPr>
            <w:tcW w:type="dxa" w:w="3312"/>
          </w:tcPr>
          <w:p>
            <w:r/>
            <w:r>
              <w:rPr>
                <w:b w:val="0"/>
                <w:sz w:val="19"/>
              </w:rPr>
              <w:t>A content pipeline built from §6.4 never sets the session, so cost books to the system account. No error, correct total, wrong owner</w:t>
            </w:r>
          </w:p>
        </w:tc>
        <w:tc>
          <w:tcPr>
            <w:tcW w:type="dxa" w:w="1080"/>
          </w:tcPr>
          <w:p>
            <w:r/>
            <w:r>
              <w:rPr>
                <w:b/>
                <w:color w:val="9C2F28"/>
                <w:sz w:val="18"/>
              </w:rPr>
              <w:t>SILENT</w:t>
            </w:r>
          </w:p>
        </w:tc>
      </w:tr>
      <w:tr>
        <w:tc>
          <w:tcPr>
            <w:tcW w:type="dxa" w:w="648"/>
          </w:tcPr>
          <w:p>
            <w:r/>
            <w:r>
              <w:rPr>
                <w:b w:val="0"/>
                <w:sz w:val="19"/>
              </w:rPr>
              <w:t>V3</w:t>
            </w:r>
          </w:p>
        </w:tc>
        <w:tc>
          <w:tcPr>
            <w:tcW w:type="dxa" w:w="3024"/>
          </w:tcPr>
          <w:p>
            <w:r/>
            <w:r>
              <w:rPr>
                <w:b w:val="0"/>
                <w:sz w:val="19"/>
              </w:rPr>
              <w:t xml:space="preserve">§6.12 refers to "the </w:t>
            </w:r>
            <w:r>
              <w:rPr>
                <w:rFonts w:ascii="Consolas" w:hAnsi="Consolas"/>
                <w:b w:val="0"/>
                <w:sz w:val="18"/>
              </w:rPr>
              <w:t>system</w:t>
            </w:r>
            <w:r>
              <w:rPr>
                <w:b w:val="0"/>
                <w:sz w:val="19"/>
              </w:rPr>
              <w:t xml:space="preserve"> synthetic user" three times; §6 never defines one</w:t>
            </w:r>
          </w:p>
        </w:tc>
        <w:tc>
          <w:tcPr>
            <w:tcW w:type="dxa" w:w="3312"/>
          </w:tcPr>
          <w:p>
            <w:r/>
            <w:r>
              <w:rPr>
                <w:b w:val="0"/>
                <w:sz w:val="19"/>
              </w:rPr>
              <w:t>Never crosses a boundary — the account is an implementation detail of the roll-up job inside the data layer</w:t>
            </w:r>
          </w:p>
        </w:tc>
        <w:tc>
          <w:tcPr>
            <w:tcW w:type="dxa" w:w="1080"/>
          </w:tcPr>
          <w:p>
            <w:r/>
            <w:r>
              <w:rPr>
                <w:b/>
                <w:color w:val="8A5A08"/>
                <w:sz w:val="18"/>
              </w:rPr>
              <w:t>INTERNAL</w:t>
            </w:r>
          </w:p>
        </w:tc>
      </w:tr>
    </w:tbl>
    <w:p/>
    <w:p>
      <w:r>
        <w:rPr>
          <w:b w:val="0"/>
        </w:rPr>
        <w:t>On V1, it is worth being explicit that §6.12's reasoning is correct and only its propagation is missing. The section already explains why the split exists: a 5-minute cache write bills at 1.25× base input and a 1-hour write at 2×, so "keeping them in one column would silently double-count or under-count depending on which price the job assumes." That argument applies to the source table as much as to the ledger. The fix belongs in §6.6, not §6.12.</w:t>
      </w:r>
    </w:p>
    <w:p>
      <w:pPr>
        <w:pStyle w:val="IntenseQuote"/>
      </w:pPr>
      <w:r>
        <w:rPr>
          <w:b/>
          <w:color w:val="9C2F28"/>
          <w:sz w:val="18"/>
        </w:rPr>
        <w:t xml:space="preserve">WHY V2 IS THE ONE THAT MATTERS  </w:t>
      </w:r>
      <w:r>
        <w:rPr>
          <w:b w:val="0"/>
        </w:rPr>
        <w:t>V1 and V3 are documentation defects: the code is right, and anyone who reads the stale text finds out immediately or never touches the thing at all. V2 can produce a database that looks correct and is quietly wrong about whose budget spent what — which is the only one of the three that survives contact.</w:t>
      </w:r>
    </w:p>
    <w:p>
      <w:pPr>
        <w:pStyle w:val="Heading1"/>
      </w:pPr>
      <w:r>
        <w:t>3.  What was done</w:t>
      </w:r>
    </w:p>
    <w:p>
      <w:r>
        <w:rPr>
          <w:b w:val="0"/>
        </w:rPr>
        <w:t>Each defect is resolved in the implementation. Verified, not recalled: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648"/>
          </w:tcPr>
          <w:p>
            <w:r/>
            <w:r>
              <w:rPr>
                <w:b/>
                <w:sz w:val="18"/>
              </w:rPr>
              <w:t>Ref</w:t>
            </w:r>
          </w:p>
        </w:tc>
        <w:tc>
          <w:tcPr>
            <w:tcW w:type="dxa" w:w="3744"/>
          </w:tcPr>
          <w:p>
            <w:r/>
            <w:r>
              <w:rPr>
                <w:b/>
                <w:sz w:val="18"/>
              </w:rPr>
              <w:t>Resolution</w:t>
            </w:r>
          </w:p>
        </w:tc>
        <w:tc>
          <w:tcPr>
            <w:tcW w:type="dxa" w:w="2304"/>
          </w:tcPr>
          <w:p>
            <w:r/>
            <w:r>
              <w:rPr>
                <w:b/>
                <w:sz w:val="18"/>
              </w:rPr>
              <w:t>Carried by</w:t>
            </w:r>
          </w:p>
        </w:tc>
        <w:tc>
          <w:tcPr>
            <w:tcW w:type="dxa" w:w="1080"/>
          </w:tcPr>
          <w:p>
            <w:r/>
            <w:r>
              <w:rPr>
                <w:b/>
                <w:sz w:val="18"/>
              </w:rPr>
              <w:t>State</w:t>
            </w:r>
          </w:p>
        </w:tc>
      </w:tr>
      <w:tr>
        <w:tc>
          <w:tcPr>
            <w:tcW w:type="dxa" w:w="648"/>
          </w:tcPr>
          <w:p>
            <w:r/>
            <w:r>
              <w:rPr>
                <w:b w:val="0"/>
                <w:sz w:val="19"/>
              </w:rPr>
              <w:t>V1</w:t>
            </w:r>
          </w:p>
        </w:tc>
        <w:tc>
          <w:tcPr>
            <w:tcW w:type="dxa" w:w="3744"/>
          </w:tcPr>
          <w:p>
            <w:r/>
            <w:r>
              <w:rPr>
                <w:rFonts w:ascii="Consolas" w:hAnsi="Consolas"/>
                <w:b w:val="0"/>
                <w:sz w:val="18"/>
              </w:rPr>
              <w:t>agent_traces</w:t>
            </w:r>
            <w:r>
              <w:rPr>
                <w:b w:val="0"/>
                <w:sz w:val="19"/>
              </w:rPr>
              <w:t xml:space="preserve"> carries </w:t>
            </w:r>
            <w:r>
              <w:rPr>
                <w:rFonts w:ascii="Consolas" w:hAnsi="Consolas"/>
                <w:b w:val="0"/>
                <w:sz w:val="18"/>
              </w:rPr>
              <w:t>cache_write_5m_tokens</w:t>
            </w:r>
            <w:r>
              <w:rPr>
                <w:b w:val="0"/>
                <w:sz w:val="19"/>
              </w:rPr>
              <w:t xml:space="preserve"> and </w:t>
            </w:r>
            <w:r>
              <w:rPr>
                <w:rFonts w:ascii="Consolas" w:hAnsi="Consolas"/>
                <w:b w:val="0"/>
                <w:sz w:val="18"/>
              </w:rPr>
              <w:t>cache_write_1h_tokens</w:t>
            </w:r>
            <w:r>
              <w:rPr>
                <w:b w:val="0"/>
                <w:sz w:val="19"/>
              </w:rPr>
              <w:t>; the ambiguous combined column is gone</w:t>
            </w:r>
          </w:p>
        </w:tc>
        <w:tc>
          <w:tcPr>
            <w:tcW w:type="dxa" w:w="2304"/>
          </w:tcPr>
          <w:p>
            <w:r/>
            <w:r>
              <w:rPr>
                <w:b w:val="0"/>
                <w:sz w:val="19"/>
              </w:rPr>
              <w:t>Migration 0004 (and the original build)</w:t>
            </w:r>
          </w:p>
        </w:tc>
        <w:tc>
          <w:tcPr>
            <w:tcW w:type="dxa" w:w="1080"/>
          </w:tcPr>
          <w:p>
            <w:r/>
            <w:r>
              <w:rPr>
                <w:b/>
                <w:color w:val="1F6B45"/>
                <w:sz w:val="18"/>
              </w:rPr>
              <w:t>IN CODE</w:t>
            </w:r>
          </w:p>
        </w:tc>
      </w:tr>
      <w:tr>
        <w:tc>
          <w:tcPr>
            <w:tcW w:type="dxa" w:w="648"/>
          </w:tcPr>
          <w:p>
            <w:r/>
            <w:r>
              <w:rPr>
                <w:b w:val="0"/>
                <w:sz w:val="19"/>
              </w:rPr>
              <w:t>V2</w:t>
            </w:r>
          </w:p>
        </w:tc>
        <w:tc>
          <w:tcPr>
            <w:tcW w:type="dxa" w:w="3744"/>
          </w:tcPr>
          <w:p>
            <w:r/>
            <w:r>
              <w:rPr>
                <w:rFonts w:ascii="Consolas" w:hAnsi="Consolas"/>
                <w:b w:val="0"/>
                <w:sz w:val="18"/>
              </w:rPr>
              <w:t>content_artifacts.generated_for_session_id</w:t>
            </w:r>
            <w:r>
              <w:rPr>
                <w:b w:val="0"/>
                <w:sz w:val="19"/>
              </w:rPr>
              <w:t xml:space="preserve"> — nullable, because pre-generation genuinely has no requesting session; </w:t>
            </w:r>
            <w:r>
              <w:rPr>
                <w:rFonts w:ascii="Consolas" w:hAnsi="Consolas"/>
                <w:b w:val="0"/>
                <w:sz w:val="18"/>
              </w:rPr>
              <w:t>ON DELETE SET NULL</w:t>
            </w:r>
            <w:r>
              <w:rPr>
                <w:b w:val="0"/>
                <w:sz w:val="19"/>
              </w:rPr>
              <w:t>, because an artifact outlives the session that prompted it</w:t>
            </w:r>
          </w:p>
        </w:tc>
        <w:tc>
          <w:tcPr>
            <w:tcW w:type="dxa" w:w="2304"/>
          </w:tcPr>
          <w:p>
            <w:r/>
            <w:r>
              <w:rPr>
                <w:b w:val="0"/>
                <w:sz w:val="19"/>
              </w:rPr>
              <w:t>Migration 0007</w:t>
            </w:r>
          </w:p>
        </w:tc>
        <w:tc>
          <w:tcPr>
            <w:tcW w:type="dxa" w:w="1080"/>
          </w:tcPr>
          <w:p>
            <w:r/>
            <w:r>
              <w:rPr>
                <w:b/>
                <w:color w:val="1F6B45"/>
                <w:sz w:val="18"/>
              </w:rPr>
              <w:t>IN CODE</w:t>
            </w:r>
          </w:p>
        </w:tc>
      </w:tr>
      <w:tr>
        <w:tc>
          <w:tcPr>
            <w:tcW w:type="dxa" w:w="648"/>
          </w:tcPr>
          <w:p>
            <w:r/>
            <w:r>
              <w:rPr>
                <w:b w:val="0"/>
                <w:sz w:val="19"/>
              </w:rPr>
              <w:t>V3</w:t>
            </w:r>
          </w:p>
        </w:tc>
        <w:tc>
          <w:tcPr>
            <w:tcW w:type="dxa" w:w="3744"/>
          </w:tcPr>
          <w:p>
            <w:r/>
            <w:r>
              <w:rPr>
                <w:b w:val="0"/>
                <w:sz w:val="19"/>
              </w:rPr>
              <w:t xml:space="preserve">A reserved account at </w:t>
            </w:r>
            <w:r>
              <w:rPr>
                <w:rFonts w:ascii="Consolas" w:hAnsi="Consolas"/>
                <w:b w:val="0"/>
                <w:sz w:val="18"/>
              </w:rPr>
              <w:t>00000000-0000-7000-8000-000000000001</w:t>
            </w:r>
            <w:r>
              <w:rPr>
                <w:b w:val="0"/>
                <w:sz w:val="19"/>
              </w:rPr>
              <w:t>, with no password and no auth sessions, so it cannot be logged into</w:t>
            </w:r>
          </w:p>
        </w:tc>
        <w:tc>
          <w:tcPr>
            <w:tcW w:type="dxa" w:w="2304"/>
          </w:tcPr>
          <w:p>
            <w:r/>
            <w:r>
              <w:rPr>
                <w:b w:val="0"/>
                <w:sz w:val="19"/>
              </w:rPr>
              <w:t>Migration 0008</w:t>
            </w:r>
          </w:p>
        </w:tc>
        <w:tc>
          <w:tcPr>
            <w:tcW w:type="dxa" w:w="1080"/>
          </w:tcPr>
          <w:p>
            <w:r/>
            <w:r>
              <w:rPr>
                <w:b/>
                <w:color w:val="1F6B45"/>
                <w:sz w:val="18"/>
              </w:rPr>
              <w:t>IN CODE</w:t>
            </w:r>
          </w:p>
        </w:tc>
      </w:tr>
    </w:tbl>
    <w:p/>
    <w:p>
      <w:r>
        <w:rPr>
          <w:b w:val="0"/>
        </w:rPr>
        <w:t xml:space="preserve">On V3, the account has to exist as a real row rather than a NULL owner. §6.12 reserves NULL for something else — "Rows with </w:t>
      </w:r>
      <w:r>
        <w:rPr>
          <w:rFonts w:ascii="Consolas" w:hAnsi="Consolas"/>
          <w:b w:val="0"/>
          <w:sz w:val="20"/>
        </w:rPr>
        <w:t>user_id IS NULL</w:t>
      </w:r>
      <w:r>
        <w:rPr>
          <w:b w:val="0"/>
        </w:rPr>
        <w:t xml:space="preserve"> represent post-erasure aggregates; the daily job never inserts a NULL owner directly" — so overloading it would make an erased learner's spend indistinguishable from shared infrastructure cost, defeating both readings at once.</w:t>
      </w:r>
    </w:p>
    <w:p>
      <w:pPr>
        <w:pStyle w:val="Heading2"/>
      </w:pPr>
      <w:r>
        <w:t>The mitigation for V2</w:t>
      </w:r>
    </w:p>
    <w:p>
      <w:r>
        <w:rPr>
          <w:b w:val="0"/>
        </w:rPr>
        <w:t xml:space="preserve">Because V2 is the silent one, it received a code fix rather than waiting on a specification revision. </w:t>
      </w:r>
      <w:r>
        <w:rPr>
          <w:rFonts w:ascii="Consolas" w:hAnsi="Consolas"/>
          <w:b w:val="0"/>
          <w:sz w:val="20"/>
        </w:rPr>
        <w:t>studium.jobs.cost_rollup.roll_up_day</w:t>
      </w:r>
      <w:r>
        <w:rPr>
          <w:b w:val="0"/>
        </w:rPr>
        <w:t xml:space="preserve"> now returns an </w:t>
      </w:r>
      <w:r>
        <w:rPr>
          <w:rFonts w:ascii="Consolas" w:hAnsi="Consolas"/>
          <w:b w:val="0"/>
          <w:sz w:val="20"/>
        </w:rPr>
        <w:t>unattributed_content</w:t>
      </w:r>
      <w:r>
        <w:rPr>
          <w:b w:val="0"/>
        </w:rPr>
        <w:t xml:space="preserve"> count alongside the per-source row counts: the number of artifacts whose cost fell back to the system account for want of a triggering session.</w:t>
      </w:r>
    </w:p>
    <w:p>
      <w:r>
        <w:rPr>
          <w:b w:val="0"/>
        </w:rPr>
        <w:t>On a day with no Curator pre-generation, a non-zero value means the content pipeline is not populating the column. That converts a silent misattribution into a reported one, which is the whole difference between this defect being minor and not.</w:t>
      </w:r>
    </w:p>
    <w:p>
      <w:pPr>
        <w:pStyle w:val="Heading1"/>
      </w:pPr>
      <w:r>
        <w:t>4.  Verification status</w:t>
      </w:r>
    </w:p>
    <w:p>
      <w:r>
        <w:rPr>
          <w:b w:val="0"/>
        </w:rPr>
        <w:t>Stated precisely, because "resolved" carries a caveat here and the caveat is the same one that applies to the rest of the cost model.</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
              <w:rPr>
                <w:b/>
                <w:sz w:val="18"/>
              </w:rPr>
              <w:t>Claim</w:t>
            </w:r>
          </w:p>
        </w:tc>
        <w:tc>
          <w:tcPr>
            <w:tcW w:type="dxa" w:w="1152"/>
          </w:tcPr>
          <w:p>
            <w:r/>
            <w:r>
              <w:rPr>
                <w:b/>
                <w:sz w:val="18"/>
              </w:rPr>
              <w:t>Status</w:t>
            </w:r>
          </w:p>
        </w:tc>
        <w:tc>
          <w:tcPr>
            <w:tcW w:type="dxa" w:w="5040"/>
          </w:tcPr>
          <w:p>
            <w:r/>
            <w:r>
              <w:rPr>
                <w:b/>
                <w:sz w:val="18"/>
              </w:rPr>
              <w:t>Basis</w:t>
            </w:r>
          </w:p>
        </w:tc>
      </w:tr>
      <w:tr>
        <w:tc>
          <w:tcPr>
            <w:tcW w:type="dxa" w:w="2736"/>
          </w:tcPr>
          <w:p>
            <w:r/>
            <w:r>
              <w:rPr>
                <w:b w:val="0"/>
                <w:sz w:val="19"/>
              </w:rPr>
              <w:t>The three fixes are present in the schema</w:t>
            </w:r>
          </w:p>
        </w:tc>
        <w:tc>
          <w:tcPr>
            <w:tcW w:type="dxa" w:w="1152"/>
          </w:tcPr>
          <w:p>
            <w:r/>
            <w:r>
              <w:rPr>
                <w:b/>
                <w:color w:val="1F6B45"/>
                <w:sz w:val="18"/>
              </w:rPr>
              <w:t>VERIFIED</w:t>
            </w:r>
          </w:p>
        </w:tc>
        <w:tc>
          <w:tcPr>
            <w:tcW w:type="dxa" w:w="5040"/>
          </w:tcPr>
          <w:p>
            <w:r/>
            <w:r>
              <w:rPr>
                <w:b w:val="0"/>
                <w:sz w:val="19"/>
              </w:rPr>
              <w:t xml:space="preserve">Model metadata inspected directly: both cache columns present and the combined column absent; the attribution column present, nullable, </w:t>
            </w:r>
            <w:r>
              <w:rPr>
                <w:rFonts w:ascii="Consolas" w:hAnsi="Consolas"/>
                <w:b w:val="0"/>
                <w:sz w:val="18"/>
              </w:rPr>
              <w:t>SET NULL</w:t>
            </w:r>
            <w:r>
              <w:rPr>
                <w:b w:val="0"/>
                <w:sz w:val="19"/>
              </w:rPr>
              <w:t>; the system account constant defined.</w:t>
            </w:r>
          </w:p>
        </w:tc>
      </w:tr>
      <w:tr>
        <w:tc>
          <w:tcPr>
            <w:tcW w:type="dxa" w:w="2736"/>
          </w:tcPr>
          <w:p>
            <w:r/>
            <w:r>
              <w:rPr>
                <w:b w:val="0"/>
                <w:sz w:val="19"/>
              </w:rPr>
              <w:t>The migrations carrying them exist and chain</w:t>
            </w:r>
          </w:p>
        </w:tc>
        <w:tc>
          <w:tcPr>
            <w:tcW w:type="dxa" w:w="1152"/>
          </w:tcPr>
          <w:p>
            <w:r/>
            <w:r>
              <w:rPr>
                <w:b/>
                <w:color w:val="1F6B45"/>
                <w:sz w:val="18"/>
              </w:rPr>
              <w:t>VERIFIED</w:t>
            </w:r>
          </w:p>
        </w:tc>
        <w:tc>
          <w:tcPr>
            <w:tcW w:type="dxa" w:w="5040"/>
          </w:tcPr>
          <w:p>
            <w:r/>
            <w:r>
              <w:rPr>
                <w:b w:val="0"/>
                <w:sz w:val="19"/>
              </w:rPr>
              <w:t xml:space="preserve">0007 and 0008 present; </w:t>
            </w:r>
            <w:r>
              <w:rPr>
                <w:rFonts w:ascii="Consolas" w:hAnsi="Consolas"/>
                <w:b w:val="0"/>
                <w:sz w:val="18"/>
              </w:rPr>
              <w:t>alembic history</w:t>
            </w:r>
            <w:r>
              <w:rPr>
                <w:b w:val="0"/>
                <w:sz w:val="19"/>
              </w:rPr>
              <w:t xml:space="preserve"> resolves base to 0008.</w:t>
            </w:r>
          </w:p>
        </w:tc>
      </w:tr>
      <w:tr>
        <w:tc>
          <w:tcPr>
            <w:tcW w:type="dxa" w:w="2736"/>
          </w:tcPr>
          <w:p>
            <w:r/>
            <w:r>
              <w:rPr>
                <w:b w:val="0"/>
                <w:sz w:val="19"/>
              </w:rPr>
              <w:t>The suite is green and the linter is clean</w:t>
            </w:r>
          </w:p>
        </w:tc>
        <w:tc>
          <w:tcPr>
            <w:tcW w:type="dxa" w:w="1152"/>
          </w:tcPr>
          <w:p>
            <w:r/>
            <w:r>
              <w:rPr>
                <w:b/>
                <w:color w:val="1F6B45"/>
                <w:sz w:val="18"/>
              </w:rPr>
              <w:t>VERIFIED</w:t>
            </w:r>
          </w:p>
        </w:tc>
        <w:tc>
          <w:tcPr>
            <w:tcW w:type="dxa" w:w="5040"/>
          </w:tcPr>
          <w:p>
            <w:r/>
            <w:r>
              <w:rPr>
                <w:b w:val="0"/>
                <w:sz w:val="19"/>
              </w:rPr>
              <w:t>377 offline tests pass; ruff clean.</w:t>
            </w:r>
          </w:p>
        </w:tc>
      </w:tr>
      <w:tr>
        <w:tc>
          <w:tcPr>
            <w:tcW w:type="dxa" w:w="2736"/>
          </w:tcPr>
          <w:p>
            <w:r/>
            <w:r>
              <w:rPr>
                <w:b w:val="0"/>
                <w:sz w:val="19"/>
              </w:rPr>
              <w:t>The fixes behave correctly against Postgres</w:t>
            </w:r>
          </w:p>
        </w:tc>
        <w:tc>
          <w:tcPr>
            <w:tcW w:type="dxa" w:w="1152"/>
          </w:tcPr>
          <w:p>
            <w:r/>
            <w:r>
              <w:rPr>
                <w:b/>
                <w:color w:val="9C2F28"/>
                <w:sz w:val="18"/>
              </w:rPr>
              <w:t>NOT RUN</w:t>
            </w:r>
          </w:p>
        </w:tc>
        <w:tc>
          <w:tcPr>
            <w:tcW w:type="dxa" w:w="5040"/>
          </w:tcPr>
          <w:p>
            <w:r/>
            <w:r>
              <w:rPr>
                <w:b w:val="0"/>
                <w:sz w:val="19"/>
              </w:rPr>
              <w:t>Four tests cover them — system-account attribution for pre-generated content and for corpus imports, the unattributed-content counter, and the agent-identity constraint. All are Postgres-marked and have never executed.</w:t>
            </w:r>
          </w:p>
        </w:tc>
      </w:tr>
      <w:tr>
        <w:tc>
          <w:tcPr>
            <w:tcW w:type="dxa" w:w="2736"/>
          </w:tcPr>
          <w:p>
            <w:r/>
            <w:r>
              <w:rPr>
                <w:b w:val="0"/>
                <w:sz w:val="19"/>
              </w:rPr>
              <w:t>The V2 mitigation reports what it should</w:t>
            </w:r>
          </w:p>
        </w:tc>
        <w:tc>
          <w:tcPr>
            <w:tcW w:type="dxa" w:w="1152"/>
          </w:tcPr>
          <w:p>
            <w:r/>
            <w:r>
              <w:rPr>
                <w:b/>
                <w:color w:val="9C2F28"/>
                <w:sz w:val="18"/>
              </w:rPr>
              <w:t>NOT RUN</w:t>
            </w:r>
          </w:p>
        </w:tc>
        <w:tc>
          <w:tcPr>
            <w:tcW w:type="dxa" w:w="5040"/>
          </w:tcPr>
          <w:p>
            <w:r/>
            <w:r>
              <w:rPr>
                <w:b w:val="0"/>
                <w:sz w:val="19"/>
              </w:rPr>
              <w:t>Its test is among the four above.</w:t>
            </w:r>
          </w:p>
        </w:tc>
      </w:tr>
    </w:tbl>
    <w:p/>
    <w:p>
      <w:pPr>
        <w:pStyle w:val="IntenseQuote"/>
      </w:pPr>
      <w:r>
        <w:rPr>
          <w:b/>
          <w:color w:val="9C2F28"/>
          <w:sz w:val="18"/>
        </w:rPr>
        <w:t xml:space="preserve">THE HONEST SUMMARY  </w:t>
      </w:r>
      <w:r>
        <w:rPr>
          <w:b w:val="0"/>
        </w:rPr>
        <w:t>The database will do the right thing once someone runs it. Nobody has yet run it. "Resolved" here means implemented and covered by tests that have not executed — and V2 is the one to check first, because the counter that makes it non-silent is itself unverified.</w:t>
      </w:r>
    </w:p>
    <w:p>
      <w:pPr>
        <w:pStyle w:val="Heading1"/>
      </w:pPr>
      <w:r>
        <w:t>5.  What remains open</w:t>
      </w:r>
    </w:p>
    <w:p>
      <w:pPr>
        <w:pStyle w:val="ListBullet"/>
      </w:pPr>
      <w:r>
        <w:rPr>
          <w:b w:val="0"/>
        </w:rPr>
        <w:t xml:space="preserve">**The specification still contains all three.** §6.6 needs the cache-write split, §6.4 needs the attribution column, and §6 needs the system account defined. Until then the code leads the document on these points, recorded in </w:t>
      </w:r>
      <w:r>
        <w:rPr>
          <w:rFonts w:ascii="Consolas" w:hAnsi="Consolas"/>
          <w:b w:val="0"/>
          <w:sz w:val="20"/>
        </w:rPr>
        <w:t>backend/DIVERGENCES.md</w:t>
      </w:r>
      <w:r>
        <w:rPr>
          <w:b w:val="0"/>
        </w:rPr>
        <w:t>.</w:t>
      </w:r>
    </w:p>
    <w:p>
      <w:pPr>
        <w:pStyle w:val="ListBullet"/>
      </w:pPr>
      <w:r>
        <w:rPr>
          <w:b w:val="0"/>
        </w:rPr>
        <w:t>**A revision trigger.** The intended moment is whenever subsystem 2 forces a specification change. If that has not happened within a few weeks, the three should be folded in on their own rather than left to age.</w:t>
      </w:r>
    </w:p>
    <w:p>
      <w:pPr>
        <w:pStyle w:val="ListBullet"/>
      </w:pPr>
      <w:r>
        <w:rPr>
          <w:b w:val="0"/>
        </w:rPr>
        <w:t>**Database verification.** Unchanged from the build report and still the top open item overall — 48 tests have never executed, including the four covering these fixes.</w:t>
      </w:r>
    </w:p>
    <w:p>
      <w:pPr>
        <w:pStyle w:val="Heading2"/>
      </w:pPr>
      <w:r>
        <w:t>A correction to the build report</w:t>
      </w:r>
    </w:p>
    <w:p>
      <w:r>
        <w:rPr>
          <w:b w:val="0"/>
        </w:rPr>
        <w:t>The v1.1 build report filed alongside this document lists decision D10 — whether to issue a v1.2 — as the item least suited to being left open. That was overweighted. It reasoned from "specification drift is what ratification just fixed" rather than from what each defect actually does when it goes wrong, which is the question that settled it.</w:t>
      </w:r>
    </w:p>
    <w:p>
      <w:r>
        <w:rPr>
          <w:b w:val="0"/>
        </w:rPr>
        <w:t>D10 is now resolved by this document. The top open item is D7, access to a Postgres 16 instance, and it is not close: every runtime claim about the cost model rests on tests that have not run.</w:t>
      </w:r>
    </w:p>
    <w:p>
      <w:pPr>
        <w:pStyle w:val="Heading1"/>
      </w:pPr>
      <w:r>
        <w:t>6.  Recommendation</w:t>
      </w:r>
    </w:p>
    <w:p>
      <w:pPr>
        <w:pStyle w:val="ListNumber"/>
      </w:pPr>
      <w:r>
        <w:rPr>
          <w:b w:val="0"/>
        </w:rPr>
        <w:t>Run the suite against Postgres 16. The four tests covering these fixes are part of a larger set of 48 that have never executed, and the cost model is the most consequential untested area in the schema.</w:t>
      </w:r>
    </w:p>
    <w:p>
      <w:pPr>
        <w:pStyle w:val="ListNumber"/>
      </w:pPr>
      <w:r>
        <w:rPr>
          <w:b w:val="0"/>
        </w:rPr>
        <w:t xml:space="preserve">Watch </w:t>
      </w:r>
      <w:r>
        <w:rPr>
          <w:rFonts w:ascii="Consolas" w:hAnsi="Consolas"/>
          <w:b w:val="0"/>
          <w:sz w:val="20"/>
        </w:rPr>
        <w:t>unattributed_content</w:t>
      </w:r>
      <w:r>
        <w:rPr>
          <w:b w:val="0"/>
        </w:rPr>
        <w:t xml:space="preserve"> in the daily roll-up output once the job is live. It is the early-warning signal for V2, and it costs nothing to read.</w:t>
      </w:r>
    </w:p>
    <w:p>
      <w:pPr>
        <w:pStyle w:val="ListNumber"/>
      </w:pPr>
      <w:r>
        <w:rPr>
          <w:b w:val="0"/>
        </w:rPr>
        <w:t>Fold V1–V3 into the next specification revision. §6.6 is the fix for V1, not §6.12 — the ledger side is already correct.</w:t>
      </w:r>
    </w:p>
    <w:p>
      <w:r>
        <w:rPr>
          <w:b w:val="0"/>
        </w:rPr>
        <w:t>No further action is required on these three before subsystem 2 begins, provided the divergence record is read alongside the specification.</w:t>
      </w:r>
    </w:p>
    <w:p>
      <w:pPr>
        <w:pStyle w:val="Heading1"/>
      </w:pPr>
      <w:r>
        <w:t>Supporting documents</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sz w:val="18"/>
              </w:rPr>
              <w:t>Document</w:t>
            </w:r>
          </w:p>
        </w:tc>
        <w:tc>
          <w:tcPr>
            <w:tcW w:type="dxa" w:w="3456"/>
          </w:tcPr>
          <w:p>
            <w:r/>
            <w:r>
              <w:rPr>
                <w:b/>
                <w:sz w:val="18"/>
              </w:rPr>
              <w:t>Location</w:t>
            </w:r>
          </w:p>
        </w:tc>
        <w:tc>
          <w:tcPr>
            <w:tcW w:type="dxa" w:w="3600"/>
          </w:tcPr>
          <w:p>
            <w:r/>
            <w:r>
              <w:rPr>
                <w:b/>
                <w:sz w:val="18"/>
              </w:rPr>
              <w:t>Contents</w:t>
            </w:r>
          </w:p>
        </w:tc>
      </w:tr>
      <w:tr>
        <w:tc>
          <w:tcPr>
            <w:tcW w:type="dxa" w:w="2016"/>
          </w:tcPr>
          <w:p>
            <w:r/>
            <w:r>
              <w:rPr>
                <w:b w:val="0"/>
                <w:sz w:val="19"/>
              </w:rPr>
              <w:t>Divergence record</w:t>
            </w:r>
          </w:p>
        </w:tc>
        <w:tc>
          <w:tcPr>
            <w:tcW w:type="dxa" w:w="3456"/>
          </w:tcPr>
          <w:p>
            <w:r/>
            <w:r>
              <w:rPr>
                <w:rFonts w:ascii="Consolas" w:hAnsi="Consolas"/>
                <w:b w:val="0"/>
                <w:sz w:val="18"/>
              </w:rPr>
              <w:t>backend/DIVERGENCES.md</w:t>
            </w:r>
          </w:p>
        </w:tc>
        <w:tc>
          <w:tcPr>
            <w:tcW w:type="dxa" w:w="3600"/>
          </w:tcPr>
          <w:p>
            <w:r/>
            <w:r>
              <w:rPr>
                <w:b w:val="0"/>
                <w:sz w:val="19"/>
              </w:rPr>
              <w:t>This decision at the top, followed by every point where the implementation differs from v1.1.</w:t>
            </w:r>
          </w:p>
        </w:tc>
      </w:tr>
      <w:tr>
        <w:tc>
          <w:tcPr>
            <w:tcW w:type="dxa" w:w="2016"/>
          </w:tcPr>
          <w:p>
            <w:r/>
            <w:r>
              <w:rPr>
                <w:b w:val="0"/>
                <w:sz w:val="19"/>
              </w:rPr>
              <w:t>Build report v1.1</w:t>
            </w:r>
          </w:p>
        </w:tc>
        <w:tc>
          <w:tcPr>
            <w:tcW w:type="dxa" w:w="3456"/>
          </w:tcPr>
          <w:p>
            <w:r/>
            <w:r>
              <w:rPr>
                <w:b w:val="0"/>
                <w:sz w:val="19"/>
              </w:rPr>
              <w:t>Filed alongside this document</w:t>
            </w:r>
          </w:p>
        </w:tc>
        <w:tc>
          <w:tcPr>
            <w:tcW w:type="dxa" w:w="3600"/>
          </w:tcPr>
          <w:p>
            <w:r/>
            <w:r>
              <w:rPr>
                <w:b w:val="0"/>
                <w:sz w:val="19"/>
              </w:rPr>
              <w:t>The full reconciliation, including the decisions this one supersedes.</w:t>
            </w:r>
          </w:p>
        </w:tc>
      </w:tr>
      <w:tr>
        <w:tc>
          <w:tcPr>
            <w:tcW w:type="dxa" w:w="2016"/>
          </w:tcPr>
          <w:p>
            <w:r/>
            <w:r>
              <w:rPr>
                <w:b w:val="0"/>
                <w:sz w:val="19"/>
              </w:rPr>
              <w:t>Specification v1.1</w:t>
            </w:r>
          </w:p>
        </w:tc>
        <w:tc>
          <w:tcPr>
            <w:tcW w:type="dxa" w:w="3456"/>
          </w:tcPr>
          <w:p>
            <w:r/>
            <w:r>
              <w:rPr>
                <w:rFonts w:ascii="Consolas" w:hAnsi="Consolas"/>
                <w:b w:val="0"/>
                <w:sz w:val="18"/>
              </w:rPr>
              <w:t>spec/Sub System 1 - Data Layer/01-data-layer-v1.1.md</w:t>
            </w:r>
          </w:p>
        </w:tc>
        <w:tc>
          <w:tcPr>
            <w:tcW w:type="dxa" w:w="3600"/>
          </w:tcPr>
          <w:p>
            <w:r/>
            <w:r>
              <w:rPr>
                <w:b w:val="0"/>
                <w:sz w:val="19"/>
              </w:rPr>
              <w:t>The ratified contract, §6.12 included.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36A"/>
        <w:sz w:val="16"/>
      </w:rPr>
      <w:t xml:space="preserve">Data Layer Defect Resolution   ·   Page </w:t>
    </w:r>
    <w:r>
      <w:rPr>
        <w:color w:val="46536A"/>
        <w:sz w:val="16"/>
      </w:rP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Layer Defect Resolution</dc:title>
  <dc:subject>Subsystem 1 — resolution of three specification defects found in v1.1</dc:subject>
  <dc:creator>Yannis Munayi</dc:creator>
  <cp:keywords>Studium; data layer; defect resolution; cost attribution</cp:keywords>
  <dc:description>Decision record: three defects found in specification v1.1 section 6.12, how each was resolved, and why no v1.2 was issued.</dc:description>
  <cp:lastModifiedBy/>
  <cp:revision>1</cp:revision>
  <dcterms:created xsi:type="dcterms:W3CDTF">2013-12-23T23:15:00Z</dcterms:created>
  <dcterms:modified xsi:type="dcterms:W3CDTF">2013-12-23T23:15:00Z</dcterms:modified>
  <cp:category/>
</cp:coreProperties>
</file>