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spacing w:val="100"/>
          <w:sz w:val="28"/>
          <w:szCs w:val="28"/>
        </w:rPr>
        <w:t xml:space="preserve">A LEARNING SYSTEM</w:t>
      </w:r>
    </w:p>
    <w:p>
      <w:pPr>
        <w:spacing w:after="400"/>
        <w:jc w:val="center"/>
      </w:pPr>
      <w:r>
        <w:rPr>
          <w:spacing w:val="100"/>
          <w:sz w:val="28"/>
          <w:szCs w:val="28"/>
        </w:rPr>
        <w:t xml:space="preserve">FOR SUBJECTS YOU HAVE NEVER STUDIED</w:t>
      </w:r>
    </w:p>
    <w:p>
      <w:pPr>
        <w:spacing w:after="1200"/>
        <w:jc w:val="center"/>
      </w:pPr>
      <w:r>
        <w:rPr>
          <w:i/>
          <w:iCs/>
          <w:sz w:val="24"/>
          <w:szCs w:val="24"/>
        </w:rPr>
        <w:t xml:space="preserve">Product and technical plan</w:t>
      </w:r>
    </w:p>
    <w:p>
      <w:pPr>
        <w:spacing w:after="100"/>
        <w:jc w:val="center"/>
      </w:pPr>
      <w:r>
        <w:rPr>
          <w:sz w:val="20"/>
          <w:szCs w:val="20"/>
        </w:rPr>
        <w:t xml:space="preserve">Prepared for</w:t>
      </w:r>
    </w:p>
    <w:p>
      <w:pPr>
        <w:spacing w:after="800"/>
        <w:jc w:val="center"/>
      </w:pPr>
      <w:r>
        <w:rPr>
          <w:b/>
          <w:bCs/>
          <w:sz w:val="22"/>
          <w:szCs w:val="22"/>
        </w:rPr>
        <w:t xml:space="preserve">Yannis Munayi</w:t>
      </w:r>
    </w:p>
    <w:p>
      <w:pPr>
        <w:spacing w:after="100"/>
        <w:jc w:val="center"/>
      </w:pPr>
      <w:r>
        <w:rPr>
          <w:sz w:val="18"/>
          <w:szCs w:val="18"/>
        </w:rPr>
        <w:t xml:space="preserve">Draft v0.1</w:t>
      </w:r>
    </w:p>
    <w:p>
      <w:pPr>
        <w:jc w:val="center"/>
      </w:pPr>
      <w:r>
        <w:rPr>
          <w:sz w:val="18"/>
          <w:szCs w:val="18"/>
        </w:rPr>
        <w:t xml:space="preserve">August 2026</w:t>
      </w:r>
    </w:p>
    <w:p>
      <w:r>
        <w:br w:type="page"/>
      </w:r>
    </w:p>
    <w:p>
      <w:pPr>
        <w:pStyle w:val="Heading1"/>
        <w:spacing w:after="140" w:before="0"/>
      </w:pPr>
      <w:r>
        <w:rPr>
          <w:b/>
          <w:bCs/>
        </w:rPr>
        <w:t xml:space="preserve">1.  Executive summary</w:t>
      </w:r>
    </w:p>
    <w:p>
      <w:pPr>
        <w:spacing w:after="120" w:line="300"/>
      </w:pPr>
      <w:r>
        <w:t xml:space="preserve">This document proposes a learning system designed to replace the three core modes of university instruction — the lecture, the tutorial, and the laboratory — with adaptive equivalents delivered by a coordinated group of AI agents. It is not a course marketplace, not a video platform, and not a chatbot appended to existing content. It is a pedagogical operating system in which distinct agents play the roles that a functioning academic department contains, and in which the learner is treated as a serious student rather than an engagement metric.</w:t>
      </w:r>
    </w:p>
    <w:p>
      <w:pPr>
        <w:spacing w:after="120" w:line="300"/>
      </w:pPr>
      <w:r>
        <w:t xml:space="preserve">The system exists because the traditional online-learning stack has been stuck at the same ceiling for a decade. Coursera, edX, and their descendants replicate the lecture and, at best, a limited form of the laboratory. None of them replicate the tutorial — the small-group Socratic dialogue in which a domain expert catches a specific student’s specific confusion and reshapes their understanding in real time. That is precisely the mode of instruction that determines whether someone actually learns a subject, and it is the mode that language models have, for the first time, made economically replicable.</w:t>
      </w:r>
    </w:p>
    <w:p>
      <w:pPr>
        <w:spacing w:after="120" w:line="300"/>
      </w:pPr>
      <w:r>
        <w:t xml:space="preserve">The core claim of this document is architectural: that a well-designed system built around this observation can, for a motivated learner, close a meaningful portion of the two-sigma gap Bloom identified between mass instruction and individual tutoring. The rest of the document describes what that system looks like, how it should be built, and what a realistic path to shipping it involves.</w:t>
      </w:r>
    </w:p>
    <w:p>
      <w:pPr>
        <w:pStyle w:val="Heading2"/>
        <w:spacing w:after="140" w:before="280"/>
      </w:pPr>
      <w:r>
        <w:rPr>
          <w:b/>
          <w:bCs/>
        </w:rPr>
        <w:t xml:space="preserve">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8E4D9" w:color="auto" w:val="clear"/>
            <w:tcMar>
              <w:top w:type="dxa" w:w="120"/>
              <w:left w:type="dxa" w:w="140"/>
              <w:bottom w:type="dxa" w:w="120"/>
              <w:right w:type="dxa" w:w="140"/>
            </w:tcMar>
          </w:tcPr>
          <w:p>
            <w:pPr>
              <w:spacing w:after="0" w:line="280"/>
            </w:pPr>
            <w:r>
              <w:rPr>
                <w:b/>
                <w:bCs/>
                <w:sz w:val="20"/>
                <w:szCs w:val="20"/>
              </w:rPr>
              <w:t xml:space="preserve">Dimension</w:t>
            </w:r>
          </w:p>
        </w:tc>
        <w:tc>
          <w:tcPr>
            <w:tcW w:type="dxa" w:w="6600"/>
            <w:shd w:fill="E8E4D9" w:color="auto" w:val="clear"/>
            <w:tcMar>
              <w:top w:type="dxa" w:w="120"/>
              <w:left w:type="dxa" w:w="140"/>
              <w:bottom w:type="dxa" w:w="120"/>
              <w:right w:type="dxa" w:w="140"/>
            </w:tcMar>
          </w:tcPr>
          <w:p>
            <w:pPr>
              <w:spacing w:after="0" w:line="280"/>
            </w:pPr>
            <w:r>
              <w:rPr>
                <w:b/>
                <w:bCs/>
                <w:sz w:val="20"/>
                <w:szCs w:val="20"/>
              </w:rPr>
              <w:t xml:space="preserve">Position</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Category</w:t>
            </w:r>
          </w:p>
        </w:tc>
        <w:tc>
          <w:tcPr>
            <w:tcW w:type="dxa" w:w="6600"/>
            <w:tcMar>
              <w:top w:type="dxa" w:w="120"/>
              <w:left w:type="dxa" w:w="140"/>
              <w:bottom w:type="dxa" w:w="120"/>
              <w:right w:type="dxa" w:w="140"/>
            </w:tcMar>
          </w:tcPr>
          <w:p>
            <w:pPr>
              <w:spacing w:after="0" w:line="280"/>
            </w:pPr>
            <w:r>
              <w:rPr>
                <w:b w:val="false"/>
                <w:bCs w:val="false"/>
                <w:sz w:val="20"/>
                <w:szCs w:val="20"/>
              </w:rPr>
              <w:t xml:space="preserve">AI-native learning system; replaces lecture + tutorial + lab</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Primary user</w:t>
            </w:r>
          </w:p>
        </w:tc>
        <w:tc>
          <w:tcPr>
            <w:tcW w:type="dxa" w:w="6600"/>
            <w:tcMar>
              <w:top w:type="dxa" w:w="120"/>
              <w:left w:type="dxa" w:w="140"/>
              <w:bottom w:type="dxa" w:w="120"/>
              <w:right w:type="dxa" w:w="140"/>
            </w:tcMar>
          </w:tcPr>
          <w:p>
            <w:pPr>
              <w:spacing w:after="0" w:line="280"/>
            </w:pPr>
            <w:r>
              <w:rPr>
                <w:b w:val="false"/>
                <w:bCs w:val="false"/>
                <w:sz w:val="20"/>
                <w:szCs w:val="20"/>
              </w:rPr>
              <w:t xml:space="preserve">Motivated self-directed learner; secondary: institutional student</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Core interaction</w:t>
            </w:r>
          </w:p>
        </w:tc>
        <w:tc>
          <w:tcPr>
            <w:tcW w:type="dxa" w:w="6600"/>
            <w:tcMar>
              <w:top w:type="dxa" w:w="120"/>
              <w:left w:type="dxa" w:w="140"/>
              <w:bottom w:type="dxa" w:w="120"/>
              <w:right w:type="dxa" w:w="140"/>
            </w:tcMar>
          </w:tcPr>
          <w:p>
            <w:pPr>
              <w:spacing w:after="0" w:line="280"/>
            </w:pPr>
            <w:r>
              <w:rPr>
                <w:b w:val="false"/>
                <w:bCs w:val="false"/>
                <w:sz w:val="20"/>
                <w:szCs w:val="20"/>
              </w:rPr>
              <w:t xml:space="preserve">Voice- and text-based dialogue with a coordinated agent group</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Delivery model</w:t>
            </w:r>
          </w:p>
        </w:tc>
        <w:tc>
          <w:tcPr>
            <w:tcW w:type="dxa" w:w="6600"/>
            <w:tcMar>
              <w:top w:type="dxa" w:w="120"/>
              <w:left w:type="dxa" w:w="140"/>
              <w:bottom w:type="dxa" w:w="120"/>
              <w:right w:type="dxa" w:w="140"/>
            </w:tcMar>
          </w:tcPr>
          <w:p>
            <w:pPr>
              <w:spacing w:after="0" w:line="280"/>
            </w:pPr>
            <w:r>
              <w:rPr>
                <w:b w:val="false"/>
                <w:bCs w:val="false"/>
                <w:sz w:val="20"/>
                <w:szCs w:val="20"/>
              </w:rPr>
              <w:t xml:space="preserve">Web app first; mobile client for review and voice sessions</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Business model</w:t>
            </w:r>
          </w:p>
        </w:tc>
        <w:tc>
          <w:tcPr>
            <w:tcW w:type="dxa" w:w="6600"/>
            <w:tcMar>
              <w:top w:type="dxa" w:w="120"/>
              <w:left w:type="dxa" w:w="140"/>
              <w:bottom w:type="dxa" w:w="120"/>
              <w:right w:type="dxa" w:w="140"/>
            </w:tcMar>
          </w:tcPr>
          <w:p>
            <w:pPr>
              <w:spacing w:after="0" w:line="280"/>
            </w:pPr>
            <w:r>
              <w:rPr>
                <w:b w:val="false"/>
                <w:bCs w:val="false"/>
                <w:sz w:val="20"/>
                <w:szCs w:val="20"/>
              </w:rPr>
              <w:t xml:space="preserve">Consumer subscription; institutional B2B tier; certification revenue</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MVP scope</w:t>
            </w:r>
          </w:p>
        </w:tc>
        <w:tc>
          <w:tcPr>
            <w:tcW w:type="dxa" w:w="6600"/>
            <w:tcMar>
              <w:top w:type="dxa" w:w="120"/>
              <w:left w:type="dxa" w:w="140"/>
              <w:bottom w:type="dxa" w:w="120"/>
              <w:right w:type="dxa" w:w="140"/>
            </w:tcMar>
          </w:tcPr>
          <w:p>
            <w:pPr>
              <w:spacing w:after="0" w:line="280"/>
            </w:pPr>
            <w:r>
              <w:rPr>
                <w:b w:val="false"/>
                <w:bCs w:val="false"/>
                <w:sz w:val="20"/>
                <w:szCs w:val="20"/>
              </w:rPr>
              <w:t xml:space="preserve">One subject end-to-end, three months from start</w:t>
            </w:r>
          </w:p>
        </w:tc>
      </w:tr>
      <w:tr>
        <w:tc>
          <w:tcPr>
            <w:tcW w:type="dxa" w:w="2400"/>
            <w:tcMar>
              <w:top w:type="dxa" w:w="120"/>
              <w:left w:type="dxa" w:w="140"/>
              <w:bottom w:type="dxa" w:w="120"/>
              <w:right w:type="dxa" w:w="140"/>
            </w:tcMar>
          </w:tcPr>
          <w:p>
            <w:pPr>
              <w:spacing w:after="0" w:line="280"/>
            </w:pPr>
            <w:r>
              <w:rPr>
                <w:b w:val="false"/>
                <w:bCs w:val="false"/>
                <w:sz w:val="20"/>
                <w:szCs w:val="20"/>
              </w:rPr>
              <w:t xml:space="preserve">Defensibility</w:t>
            </w:r>
          </w:p>
        </w:tc>
        <w:tc>
          <w:tcPr>
            <w:tcW w:type="dxa" w:w="6600"/>
            <w:tcMar>
              <w:top w:type="dxa" w:w="120"/>
              <w:left w:type="dxa" w:w="140"/>
              <w:bottom w:type="dxa" w:w="120"/>
              <w:right w:type="dxa" w:w="140"/>
            </w:tcMar>
          </w:tcPr>
          <w:p>
            <w:pPr>
              <w:spacing w:after="0" w:line="280"/>
            </w:pPr>
            <w:r>
              <w:rPr>
                <w:b w:val="false"/>
                <w:bCs w:val="false"/>
                <w:sz w:val="20"/>
                <w:szCs w:val="20"/>
              </w:rPr>
              <w:t xml:space="preserve">Pedagogical design, curriculum graph, learner memory, brand</w:t>
            </w:r>
          </w:p>
        </w:tc>
      </w:tr>
    </w:tbl>
    <w:p>
      <w:r>
        <w:br w:type="page"/>
      </w:r>
    </w:p>
    <w:p>
      <w:pPr>
        <w:pStyle w:val="Heading1"/>
        <w:spacing w:after="140" w:before="0"/>
      </w:pPr>
      <w:r>
        <w:rPr>
          <w:b/>
          <w:bCs/>
        </w:rPr>
        <w:t xml:space="preserve">2.  Product vision</w:t>
      </w:r>
    </w:p>
    <w:p>
      <w:pPr>
        <w:spacing w:after="120" w:line="300"/>
      </w:pPr>
      <w:r>
        <w:t xml:space="preserve">A university course, when it works, is not one thing. It is three coordinated things.</w:t>
      </w:r>
    </w:p>
    <w:p>
      <w:pPr>
        <w:spacing w:after="120" w:line="300"/>
      </w:pPr>
      <w:r>
        <w:t xml:space="preserve">The lecture is the structured broadcast: an expert walks a room through a body of knowledge in a considered order, foregrounding what matters, backgrounding what doesn’t, and giving the shape of the field before the details. The laboratory is guided practice: the student produces work — solves problems, writes proofs, runs experiments — under conditions where mistakes are cheap and feedback is fast. The tutorial is the small-group dialogue: three or four students sit with a tutor who asks them questions, listens to their answers, notices what they don’t yet see, and pushes them past that specific confusion in real time.</w:t>
      </w:r>
    </w:p>
    <w:p>
      <w:pPr>
        <w:spacing w:after="120" w:line="300"/>
      </w:pPr>
      <w:r>
        <w:t xml:space="preserve">Existing online learning has, for structural reasons, only ever replicated the first mode well. Video is cheap, dialogue is expensive. Every "MOOC" is a lecture without a tutorial; every coding platform is a lab without a lecturer; every Duolingo is a series of drills without either. This has been the shape of the field for fifteen years and it has produced completion rates in the single digits, because the mode that carries most of the learning is exactly the one that has been missing.</w:t>
      </w:r>
    </w:p>
    <w:p>
      <w:pPr>
        <w:spacing w:after="120" w:line="300"/>
      </w:pPr>
      <w:r>
        <w:t xml:space="preserve">The design premise of this system is that language models have removed the constraint. A well-orchestrated agent group can now sustain the kind of extended, patient, adaptive dialogue that a good tutor conducts, at a per-learner cost that makes it defensible to run at scale. The system’s job is to take that capability seriously and build the three modes into a single coherent product, so that a learner working through a subject moves fluidly between structured exposition, guided practice, and one-on-one dialogue in the way a real student in a real department does.</w:t>
      </w:r>
    </w:p>
    <w:p>
      <w:pPr>
        <w:pStyle w:val="Heading2"/>
        <w:spacing w:after="140" w:before="280"/>
      </w:pPr>
      <w:r>
        <w:rPr>
          <w:b/>
          <w:bCs/>
        </w:rPr>
        <w:t xml:space="preserve">What this is not</w:t>
      </w:r>
    </w:p>
    <w:p>
      <w:pPr>
        <w:pStyle w:val="ListParagraph"/>
        <w:numPr>
          <w:ilvl w:val="0"/>
          <w:numId w:val="2"/>
        </w:numPr>
        <w:spacing w:after="80" w:line="290"/>
      </w:pPr>
      <w:r>
        <w:rPr>
          <w:b/>
          <w:bCs/>
        </w:rPr>
        <w:t xml:space="preserve">It is not a content library. </w:t>
      </w:r>
      <w:r>
        <w:t xml:space="preserve">The lectures are generated and adapted, not pre-recorded. Curated primary sources exist in the substrate, but the surface the learner touches is dynamic.</w:t>
      </w:r>
    </w:p>
    <w:p>
      <w:pPr>
        <w:pStyle w:val="ListParagraph"/>
        <w:numPr>
          <w:ilvl w:val="0"/>
          <w:numId w:val="2"/>
        </w:numPr>
        <w:spacing w:after="80" w:line="290"/>
      </w:pPr>
      <w:r>
        <w:rPr>
          <w:b/>
          <w:bCs/>
        </w:rPr>
        <w:t xml:space="preserve">It is not a chatbot. </w:t>
      </w:r>
      <w:r>
        <w:t xml:space="preserve">Free-form conversation with a single model is one mode among many, and by itself does not produce learning. The tutorial mode is structured, evaluated, and remembered.</w:t>
      </w:r>
    </w:p>
    <w:p>
      <w:pPr>
        <w:pStyle w:val="ListParagraph"/>
        <w:numPr>
          <w:ilvl w:val="0"/>
          <w:numId w:val="2"/>
        </w:numPr>
        <w:spacing w:after="80" w:line="290"/>
      </w:pPr>
      <w:r>
        <w:rPr>
          <w:b/>
          <w:bCs/>
        </w:rPr>
        <w:t xml:space="preserve">It is not gamified. </w:t>
      </w:r>
      <w:r>
        <w:t xml:space="preserve">Streaks and badges are optimized for retention, not learning. The system treats its users as adults undertaking serious work.</w:t>
      </w:r>
    </w:p>
    <w:p>
      <w:pPr>
        <w:pStyle w:val="ListParagraph"/>
        <w:numPr>
          <w:ilvl w:val="0"/>
          <w:numId w:val="2"/>
        </w:numPr>
        <w:spacing w:after="80" w:line="290"/>
      </w:pPr>
      <w:r>
        <w:rPr>
          <w:b/>
          <w:bCs/>
        </w:rPr>
        <w:t xml:space="preserve">It is not credential-first. </w:t>
      </w:r>
      <w:r>
        <w:t xml:space="preserve">Certification is a downstream product, not the point. The point is that people actually learn the subject.</w:t>
      </w:r>
    </w:p>
    <w:p>
      <w:pPr>
        <w:pStyle w:val="Heading2"/>
        <w:spacing w:after="140" w:before="280"/>
      </w:pPr>
      <w:r>
        <w:rPr>
          <w:b/>
          <w:bCs/>
        </w:rPr>
        <w:t xml:space="preserve">The kind of user this is for</w:t>
      </w:r>
    </w:p>
    <w:p>
      <w:pPr>
        <w:spacing w:after="120" w:line="300"/>
      </w:pPr>
      <w:r>
        <w:t xml:space="preserve">The primary user is a motivated adult learner: someone who wants to actually understand a subject, is willing to spend hours in serious work, and does not have — or does not want — the institutional context to get it. This includes career changers, self-taught technologists, hobbyist scholars, and students whose home institution does not teach the subject they need. The secondary user is the institutional student, using the system to augment lectures they have already attended or replace ones they cannot access. Both users share the trait that separates them from the mass ed-tech market: they show up already wanting to learn, and are hindered by the absence of good instruction, not by the absence of motivation.</w:t>
      </w:r>
    </w:p>
    <w:p>
      <w:r>
        <w:br w:type="page"/>
      </w:r>
    </w:p>
    <w:p>
      <w:pPr>
        <w:pStyle w:val="Heading1"/>
        <w:spacing w:after="140" w:before="0"/>
      </w:pPr>
      <w:r>
        <w:rPr>
          <w:b/>
          <w:bCs/>
        </w:rPr>
        <w:t xml:space="preserve">3.  Pedagogical foundations</w:t>
      </w:r>
    </w:p>
    <w:p>
      <w:pPr>
        <w:spacing w:after="120" w:line="300"/>
      </w:pPr>
      <w:r>
        <w:t xml:space="preserve">Every feature in this document is downstream of a small number of well-established findings about how people learn. Setting them out explicitly forces the product to be answerable to them; every proposed feature should be traceable to at least one.</w:t>
      </w:r>
    </w:p>
    <w:p>
      <w:pPr>
        <w:pStyle w:val="Heading2"/>
        <w:spacing w:after="140" w:before="280"/>
      </w:pPr>
      <w:r>
        <w:rPr>
          <w:b/>
          <w:bCs/>
        </w:rPr>
        <w:t xml:space="preserve">The generative principle</w:t>
      </w:r>
    </w:p>
    <w:p>
      <w:pPr>
        <w:spacing w:after="120" w:line="300"/>
      </w:pPr>
      <w:r>
        <w:t xml:space="preserve">Reading, highlighting, and watching lectures produce a feeling of understanding that is almost entirely uncorrelated with actual understanding. The activity that produces durable knowledge is generation: working problems from scratch, closing the book and reconstructing an argument, explaining a concept aloud to an imagined listener, deriving a result before looking up the proof. Karpicke and Roediger’s work on the testing effect is the canonical result here; retrieval practice outperforms restudy by wide margins, and does so more reliably as the delay before the final test lengthens.</w:t>
      </w:r>
    </w:p>
    <w:p>
      <w:pPr>
        <w:spacing w:after="120" w:line="300"/>
      </w:pPr>
      <w:r>
        <w:t xml:space="preserve">The design consequence is severe. Any feature whose interaction model is dominated by the learner receiving content — reading, watching, listening — is suspect. Features that require the learner to produce something are preferred by default, even when the produced thing is only an attempted explanation.</w:t>
      </w:r>
    </w:p>
    <w:p>
      <w:pPr>
        <w:pStyle w:val="Heading2"/>
        <w:spacing w:after="140" w:before="280"/>
      </w:pPr>
      <w:r>
        <w:rPr>
          <w:b/>
          <w:bCs/>
        </w:rPr>
        <w:t xml:space="preserve">The two-sigma finding</w:t>
      </w:r>
    </w:p>
    <w:p>
      <w:pPr>
        <w:spacing w:after="120" w:line="300"/>
      </w:pPr>
      <w:r>
        <w:t xml:space="preserve">Bloom’s 1984 result compared mastery learning under one-on-one tutoring to conventional classroom instruction and found a two-standard-deviation improvement, meaning the average tutored student outperformed 98% of conventionally taught students. The finding has been sharpened and contested since, but the qualitative point survives: individualized dialogue with an attentive expert is dramatically more effective than broadcast instruction, and the gap is large enough to be worth substantial engineering effort to close. This is the number the system exists to chase.</w:t>
      </w:r>
    </w:p>
    <w:p>
      <w:pPr>
        <w:pStyle w:val="Heading2"/>
        <w:spacing w:after="140" w:before="280"/>
      </w:pPr>
      <w:r>
        <w:rPr>
          <w:b/>
          <w:bCs/>
        </w:rPr>
        <w:t xml:space="preserve">The zone of proximal development</w:t>
      </w:r>
    </w:p>
    <w:p>
      <w:pPr>
        <w:spacing w:after="120" w:line="300"/>
      </w:pPr>
      <w:r>
        <w:t xml:space="preserve">Vygotsky’s observation was that learners make the most progress when working on tasks that are slightly beyond their current independent ability but reachable with support. This is the design target for problem generation, question difficulty, and dialogue depth. It is also why fixed curricula fail the individual learner: the level that is proximal for one student is boring or unreachable for another. Adaptive difficulty is not a nice-to-have; it is the mechanism by which the system stays in the productive zone.</w:t>
      </w:r>
    </w:p>
    <w:p>
      <w:pPr>
        <w:pStyle w:val="Heading2"/>
        <w:spacing w:after="140" w:before="280"/>
      </w:pPr>
      <w:r>
        <w:rPr>
          <w:b/>
          <w:bCs/>
        </w:rPr>
        <w:t xml:space="preserve">Spacing and interleaving</w:t>
      </w:r>
    </w:p>
    <w:p>
      <w:pPr>
        <w:spacing w:after="120" w:line="300"/>
      </w:pPr>
      <w:r>
        <w:t xml:space="preserve">Ebbinghaus established, and Bjork’s more recent work has extended, that memory decays predictably and that retrieval spaced across increasing intervals produces retention that massed practice cannot match. Interleaving — mixing problem types within a session rather than blocking them — makes practice harder in the short term and more effective in the long term. The system’s review architecture is a direct implementation of both findings.</w:t>
      </w:r>
    </w:p>
    <w:p>
      <w:pPr>
        <w:pStyle w:val="Heading2"/>
        <w:spacing w:after="140" w:before="280"/>
      </w:pPr>
      <w:r>
        <w:rPr>
          <w:b/>
          <w:bCs/>
        </w:rPr>
        <w:t xml:space="preserve">Cognitive load</w:t>
      </w:r>
    </w:p>
    <w:p>
      <w:pPr>
        <w:spacing w:after="120" w:line="300"/>
      </w:pPr>
      <w:r>
        <w:t xml:space="preserve">Sweller’s cognitive load theory frames instruction as a resource allocation problem: working memory is small, and instruction that overloads it produces confusion rather than learning. This has three design consequences. First, worked examples should precede independent practice for genuinely novel material. Second, the aerial view — orientation before immersion — is not a nice-to-have but a way of pre-loading the schema into which details can be placed. Third, the interface itself should be visually quiet, because the load imposed by decorative complexity is drawn from the same pool as the load available for learning.</w:t>
      </w:r>
    </w:p>
    <w:p>
      <w:pPr>
        <w:pStyle w:val="Heading2"/>
        <w:spacing w:after="140" w:before="280"/>
      </w:pPr>
      <w:r>
        <w:rPr>
          <w:b/>
          <w:bCs/>
        </w:rPr>
        <w:t xml:space="preserve">Elaborative interrogation and self-explanation</w:t>
      </w:r>
    </w:p>
    <w:p>
      <w:pPr>
        <w:spacing w:after="120" w:line="300"/>
      </w:pPr>
      <w:r>
        <w:t xml:space="preserve">Asking learners to explain why a fact is true, or to connect a new concept to what they already know, produces sharper and more transferable understanding than passive acceptance. This is the mechanism behind the tutorial mode: not "did you get it," but "why does this follow," "where would this fail," "what would change if we removed that assumption."</w:t>
      </w:r>
    </w:p>
    <w:p>
      <w:pPr>
        <w:pStyle w:val="Heading2"/>
        <w:spacing w:after="140" w:before="280"/>
      </w:pPr>
      <w:r>
        <w:rPr>
          <w:b/>
          <w:bCs/>
        </w:rPr>
        <w:t xml:space="preserve">The vocabulary trap</w:t>
      </w:r>
    </w:p>
    <w:p>
      <w:pPr>
        <w:spacing w:after="120" w:line="300"/>
      </w:pPr>
      <w:r>
        <w:t xml:space="preserve">A substantial fraction of early confusion in any new field is terminological, not conceptual. Learners often believe themselves to be struggling with ideas when they are actually struggling with an unfamiliar labelling of ideas they would recognize in plain language. The system should be able to distinguish these cases and handle them differently: a vocabulary problem calls for a glossary and a paraphrase; a substance problem calls for a Socratic sequence.</w:t>
      </w:r>
    </w:p>
    <w:p>
      <w:r>
        <w:br w:type="page"/>
      </w:r>
    </w:p>
    <w:p>
      <w:pPr>
        <w:pStyle w:val="Heading1"/>
        <w:spacing w:after="140" w:before="0"/>
      </w:pPr>
      <w:r>
        <w:rPr>
          <w:b/>
          <w:bCs/>
        </w:rPr>
        <w:t xml:space="preserve">4.  Core features</w:t>
      </w:r>
    </w:p>
    <w:p>
      <w:pPr>
        <w:spacing w:after="120" w:line="300"/>
      </w:pPr>
      <w:r>
        <w:t xml:space="preserve">This section describes the modules that make up the product. Each module is defined by what it does for the learner, why it matters pedagogically, how the learner interacts with it, and what the system does behind the surface.</w:t>
      </w:r>
    </w:p>
    <w:p>
      <w:pPr>
        <w:pStyle w:val="Heading2"/>
        <w:spacing w:after="140" w:before="280"/>
      </w:pPr>
      <w:r>
        <w:rPr>
          <w:b/>
          <w:bCs/>
        </w:rPr>
        <w:t xml:space="preserve">4.1  Chapter 0: the orientation phase</w:t>
      </w:r>
    </w:p>
    <w:p>
      <w:pPr>
        <w:spacing w:after="120" w:line="300"/>
      </w:pPr>
      <w:r>
        <w:t xml:space="preserve">Before the first proper lecture, every subject begins with an orientation phase whose purpose is to give the learner the aerial view. What is this field for? What problem does it exist to solve? What are its major landmarks and how did they arrive? What can someone who has mastered it now do that they could not do before? This is the single most under-served phase in existing learning products, and it is the one that determines whether the details you encounter later have anywhere to sit.</w:t>
      </w:r>
    </w:p>
    <w:p>
      <w:pPr>
        <w:spacing w:after="120" w:line="300"/>
      </w:pPr>
      <w:r>
        <w:rPr>
          <w:b/>
          <w:bCs/>
        </w:rPr>
        <w:t xml:space="preserve">Interaction. </w:t>
      </w:r>
      <w:r>
        <w:t xml:space="preserve">The learner enters a short intake dialogue in which the system establishes prior background, stated goals, available time, and preferred pace. The orientation itself is delivered as a narrated tour of the field — a fifteen-to-forty-minute session that walks through motivating problems, historical arc, key figures, and the shape of what is to come, with the learner encouraged to interrupt at any point.</w:t>
      </w:r>
    </w:p>
    <w:p>
      <w:pPr>
        <w:spacing w:after="120" w:line="300"/>
      </w:pPr>
      <w:r>
        <w:rPr>
          <w:b/>
          <w:bCs/>
        </w:rPr>
        <w:t xml:space="preserve">Behind the surface. </w:t>
      </w:r>
      <w:r>
        <w:t xml:space="preserve">The orchestrator instantiates a subject-specific Curator agent that assembles a personalized syllabus from the curriculum graph, calibrated to the learner’s intake profile. The syllabus is not fixed; it is a plan that will be revised as the system observes the learner’s actual performance and confusions.</w:t>
      </w:r>
    </w:p>
    <w:p>
      <w:pPr>
        <w:pStyle w:val="Heading2"/>
        <w:spacing w:after="140" w:before="280"/>
      </w:pPr>
      <w:r>
        <w:rPr>
          <w:b/>
          <w:bCs/>
        </w:rPr>
        <w:t xml:space="preserve">4.2  The lecture engine</w:t>
      </w:r>
    </w:p>
    <w:p>
      <w:pPr>
        <w:spacing w:after="120" w:line="300"/>
      </w:pPr>
      <w:r>
        <w:t xml:space="preserve">The lecture module delivers structured exposition of a topic. It is closer to a well-prepared lecturer than to a video: it explains concepts in an intentional order, foregrounds what matters, uses examples calibrated to the learner’s prior knowledge, and pauses for comprehension checks. Unlike a video, it can be interrupted and it adapts to what the learner already knows.</w:t>
      </w:r>
    </w:p>
    <w:p>
      <w:pPr>
        <w:pStyle w:val="ListParagraph"/>
        <w:numPr>
          <w:ilvl w:val="0"/>
          <w:numId w:val="2"/>
        </w:numPr>
        <w:spacing w:after="80" w:line="290"/>
      </w:pPr>
      <w:r>
        <w:rPr>
          <w:b/>
          <w:bCs/>
        </w:rPr>
        <w:t xml:space="preserve">Delivery. </w:t>
      </w:r>
      <w:r>
        <w:t xml:space="preserve">Voice by default, with a synchronized text transcript and generated visuals — diagrams, worked derivations, historical images, code samples — appearing in a side panel as the lecture references them.</w:t>
      </w:r>
    </w:p>
    <w:p>
      <w:pPr>
        <w:pStyle w:val="ListParagraph"/>
        <w:numPr>
          <w:ilvl w:val="0"/>
          <w:numId w:val="2"/>
        </w:numPr>
        <w:spacing w:after="80" w:line="290"/>
      </w:pPr>
      <w:r>
        <w:rPr>
          <w:b/>
          <w:bCs/>
        </w:rPr>
        <w:t xml:space="preserve">Interruption. </w:t>
      </w:r>
      <w:r>
        <w:t xml:space="preserve">The learner can raise a hand at any point (a voice command, a keyboard shortcut, or a screen gesture) to ask a clarification, request a different angle, or request that the lecturer slow down. The lecture resumes from the interruption point once the exchange is resolved.</w:t>
      </w:r>
    </w:p>
    <w:p>
      <w:pPr>
        <w:pStyle w:val="ListParagraph"/>
        <w:numPr>
          <w:ilvl w:val="0"/>
          <w:numId w:val="2"/>
        </w:numPr>
        <w:spacing w:after="80" w:line="290"/>
      </w:pPr>
      <w:r>
        <w:rPr>
          <w:b/>
          <w:bCs/>
        </w:rPr>
        <w:t xml:space="preserve">Comprehension checks. </w:t>
      </w:r>
      <w:r>
        <w:t xml:space="preserve">Periodic short questions verify understanding before the lecture proceeds to material that depends on the current segment. A wrong answer branches to a short remediation exchange, not to a red X.</w:t>
      </w:r>
    </w:p>
    <w:p>
      <w:pPr>
        <w:pStyle w:val="ListParagraph"/>
        <w:numPr>
          <w:ilvl w:val="0"/>
          <w:numId w:val="2"/>
        </w:numPr>
        <w:spacing w:after="80" w:line="290"/>
      </w:pPr>
      <w:r>
        <w:rPr>
          <w:b/>
          <w:bCs/>
        </w:rPr>
        <w:t xml:space="preserve">Multiple voices. </w:t>
      </w:r>
      <w:r>
        <w:t xml:space="preserve">For each topic, the learner can request an alternate explanation from a different pedagogical stance — the historical account, the applied-engineer account, the formal-mathematical account, the intuitive-analogy account. These are distinct lectures generated on the same material, not the same text with a filter.</w:t>
      </w:r>
    </w:p>
    <w:p>
      <w:pPr>
        <w:spacing w:after="120" w:line="300"/>
      </w:pPr>
      <w:r>
        <w:t xml:space="preserve">Behind the surface, the Lecturer agent works from a topic node in the curriculum graph and pulls source material from the retrieval layer to ground its exposition. Every non-trivial claim in a generated lecture is cited to a source in the corpus and, at the learner’s request, can be expanded to the passage it draws from.</w:t>
      </w:r>
    </w:p>
    <w:p>
      <w:pPr>
        <w:pStyle w:val="Heading2"/>
        <w:spacing w:after="140" w:before="280"/>
      </w:pPr>
      <w:r>
        <w:rPr>
          <w:b/>
          <w:bCs/>
        </w:rPr>
        <w:t xml:space="preserve">4.3  The tutorial room</w:t>
      </w:r>
    </w:p>
    <w:p>
      <w:pPr>
        <w:spacing w:after="120" w:line="300"/>
      </w:pPr>
      <w:r>
        <w:t xml:space="preserve">The tutorial module is the heart of the product and the mode that other learning apps do not attempt. It is a Socratic dialogue between the learner and a Tutor agent whose job is not to explain but to ask — to draw the learner into producing an argument, to notice where the argument breaks, and to push the learner past that specific point.</w:t>
      </w:r>
    </w:p>
    <w:p>
      <w:pPr>
        <w:spacing w:after="120" w:line="300"/>
      </w:pPr>
      <w:r>
        <w:t xml:space="preserve">The tutorial is structured around a topic or problem, and the Tutor holds a working model of what the learner does and does not yet understand. It follows well-established Socratic sequences: elicit the learner’s current position, probe it with counterexamples or edge cases, ask them to reconcile a tension, and let them arrive at the refinement themselves. When the learner is stuck, the Tutor offers scaffolding — a hint, a sub-question, a change of representation — rather than the answer.</w:t>
      </w:r>
    </w:p>
    <w:p>
      <w:pPr>
        <w:pStyle w:val="Heading3"/>
        <w:spacing w:after="140" w:before="280"/>
      </w:pPr>
      <w:r>
        <w:rPr>
          <w:b/>
          <w:bCs/>
        </w:rPr>
        <w:t xml:space="preserve">The interaction primitives</w:t>
      </w:r>
    </w:p>
    <w:p>
      <w:pPr>
        <w:spacing w:after="120" w:line="300"/>
      </w:pPr>
      <w:r>
        <w:t xml:space="preserve">A student in a real tutorial has a small vocabulary of ways to push the conversation forward. The system exposes these as first-class primitives, accessible by voice, by button, or by natural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4D9" w:color="auto" w:val="clear"/>
            <w:tcMar>
              <w:top w:type="dxa" w:w="120"/>
              <w:left w:type="dxa" w:w="140"/>
              <w:bottom w:type="dxa" w:w="120"/>
              <w:right w:type="dxa" w:w="140"/>
            </w:tcMar>
          </w:tcPr>
          <w:p>
            <w:pPr>
              <w:spacing w:after="0" w:line="280"/>
            </w:pPr>
            <w:r>
              <w:rPr>
                <w:b/>
                <w:bCs/>
                <w:sz w:val="20"/>
                <w:szCs w:val="20"/>
              </w:rPr>
              <w:t xml:space="preserve">Primitive</w:t>
            </w:r>
          </w:p>
        </w:tc>
        <w:tc>
          <w:tcPr>
            <w:tcW w:type="dxa" w:w="6400"/>
            <w:shd w:fill="E8E4D9" w:color="auto" w:val="clear"/>
            <w:tcMar>
              <w:top w:type="dxa" w:w="120"/>
              <w:left w:type="dxa" w:w="140"/>
              <w:bottom w:type="dxa" w:w="120"/>
              <w:right w:type="dxa" w:w="140"/>
            </w:tcMar>
          </w:tcPr>
          <w:p>
            <w:pPr>
              <w:spacing w:after="0" w:line="280"/>
            </w:pPr>
            <w:r>
              <w:rPr>
                <w:b/>
                <w:bCs/>
                <w:sz w:val="20"/>
                <w:szCs w:val="20"/>
              </w:rPr>
              <w:t xml:space="preserve">What it does</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Explain differently</w:t>
            </w:r>
          </w:p>
        </w:tc>
        <w:tc>
          <w:tcPr>
            <w:tcW w:type="dxa" w:w="6400"/>
            <w:tcMar>
              <w:top w:type="dxa" w:w="120"/>
              <w:left w:type="dxa" w:w="140"/>
              <w:bottom w:type="dxa" w:w="120"/>
              <w:right w:type="dxa" w:w="140"/>
            </w:tcMar>
          </w:tcPr>
          <w:p>
            <w:pPr>
              <w:spacing w:after="0" w:line="280"/>
            </w:pPr>
            <w:r>
              <w:rPr>
                <w:b w:val="false"/>
                <w:bCs w:val="false"/>
                <w:sz w:val="20"/>
                <w:szCs w:val="20"/>
              </w:rPr>
              <w:t xml:space="preserve">Regenerates the current explanation from a different pedagogical stance (historical, formal, intuitive, applied). The Tutor first asks what about the current explanation is not landing.</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Prove it to me</w:t>
            </w:r>
          </w:p>
        </w:tc>
        <w:tc>
          <w:tcPr>
            <w:tcW w:type="dxa" w:w="6400"/>
            <w:tcMar>
              <w:top w:type="dxa" w:w="120"/>
              <w:left w:type="dxa" w:w="140"/>
              <w:bottom w:type="dxa" w:w="120"/>
              <w:right w:type="dxa" w:w="140"/>
            </w:tcMar>
          </w:tcPr>
          <w:p>
            <w:pPr>
              <w:spacing w:after="0" w:line="280"/>
            </w:pPr>
            <w:r>
              <w:rPr>
                <w:b w:val="false"/>
                <w:bCs w:val="false"/>
                <w:sz w:val="20"/>
                <w:szCs w:val="20"/>
              </w:rPr>
              <w:t xml:space="preserve">Requests a derivation or argument for a claim the Tutor has stated. The Tutor may respond by asking the learner to attempt it first.</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Where does this fit</w:t>
            </w:r>
          </w:p>
        </w:tc>
        <w:tc>
          <w:tcPr>
            <w:tcW w:type="dxa" w:w="6400"/>
            <w:tcMar>
              <w:top w:type="dxa" w:w="120"/>
              <w:left w:type="dxa" w:w="140"/>
              <w:bottom w:type="dxa" w:w="120"/>
              <w:right w:type="dxa" w:w="140"/>
            </w:tcMar>
          </w:tcPr>
          <w:p>
            <w:pPr>
              <w:spacing w:after="0" w:line="280"/>
            </w:pPr>
            <w:r>
              <w:rPr>
                <w:b w:val="false"/>
                <w:bCs w:val="false"/>
                <w:sz w:val="20"/>
                <w:szCs w:val="20"/>
              </w:rPr>
              <w:t xml:space="preserve">Places the current idea in the concept graph and explains its relationship to what has come before and what will come after.</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I don’t know what this word means</w:t>
            </w:r>
          </w:p>
        </w:tc>
        <w:tc>
          <w:tcPr>
            <w:tcW w:type="dxa" w:w="6400"/>
            <w:tcMar>
              <w:top w:type="dxa" w:w="120"/>
              <w:left w:type="dxa" w:w="140"/>
              <w:bottom w:type="dxa" w:w="120"/>
              <w:right w:type="dxa" w:w="140"/>
            </w:tcMar>
          </w:tcPr>
          <w:p>
            <w:pPr>
              <w:spacing w:after="0" w:line="280"/>
            </w:pPr>
            <w:r>
              <w:rPr>
                <w:b w:val="false"/>
                <w:bCs w:val="false"/>
                <w:sz w:val="20"/>
                <w:szCs w:val="20"/>
              </w:rPr>
              <w:t xml:space="preserve">Vocabulary-mode: a paraphrase and a plain-language definition, with the Tutor checking whether the confusion was terminological or substantive.</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Show me a worked example</w:t>
            </w:r>
          </w:p>
        </w:tc>
        <w:tc>
          <w:tcPr>
            <w:tcW w:type="dxa" w:w="6400"/>
            <w:tcMar>
              <w:top w:type="dxa" w:w="120"/>
              <w:left w:type="dxa" w:w="140"/>
              <w:bottom w:type="dxa" w:w="120"/>
              <w:right w:type="dxa" w:w="140"/>
            </w:tcMar>
          </w:tcPr>
          <w:p>
            <w:pPr>
              <w:spacing w:after="0" w:line="280"/>
            </w:pPr>
            <w:r>
              <w:rPr>
                <w:b w:val="false"/>
                <w:bCs w:val="false"/>
                <w:sz w:val="20"/>
                <w:szCs w:val="20"/>
              </w:rPr>
              <w:t xml:space="preserve">Generates a fully worked example of the current technique, narrated step by step, with each step justified.</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Let me try one</w:t>
            </w:r>
          </w:p>
        </w:tc>
        <w:tc>
          <w:tcPr>
            <w:tcW w:type="dxa" w:w="6400"/>
            <w:tcMar>
              <w:top w:type="dxa" w:w="120"/>
              <w:left w:type="dxa" w:w="140"/>
              <w:bottom w:type="dxa" w:w="120"/>
              <w:right w:type="dxa" w:w="140"/>
            </w:tcMar>
          </w:tcPr>
          <w:p>
            <w:pPr>
              <w:spacing w:after="0" w:line="280"/>
            </w:pPr>
            <w:r>
              <w:rPr>
                <w:b w:val="false"/>
                <w:bCs w:val="false"/>
                <w:sz w:val="20"/>
                <w:szCs w:val="20"/>
              </w:rPr>
              <w:t xml:space="preserve">Generates a fresh problem at the current mastery level; the Tutor watches the attempt and intervenes only when the learner is genuinely stuck.</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Why does this matter</w:t>
            </w:r>
          </w:p>
        </w:tc>
        <w:tc>
          <w:tcPr>
            <w:tcW w:type="dxa" w:w="6400"/>
            <w:tcMar>
              <w:top w:type="dxa" w:w="120"/>
              <w:left w:type="dxa" w:w="140"/>
              <w:bottom w:type="dxa" w:w="120"/>
              <w:right w:type="dxa" w:w="140"/>
            </w:tcMar>
          </w:tcPr>
          <w:p>
            <w:pPr>
              <w:spacing w:after="0" w:line="280"/>
            </w:pPr>
            <w:r>
              <w:rPr>
                <w:b w:val="false"/>
                <w:bCs w:val="false"/>
                <w:sz w:val="20"/>
                <w:szCs w:val="20"/>
              </w:rPr>
              <w:t xml:space="preserve">Explains what the current concept enables downstream — what problems it lets you solve, what more advanced ideas depend on it.</w:t>
            </w:r>
          </w:p>
        </w:tc>
      </w:tr>
      <w:tr>
        <w:tc>
          <w:tcPr>
            <w:tcW w:type="dxa" w:w="2600"/>
            <w:tcMar>
              <w:top w:type="dxa" w:w="120"/>
              <w:left w:type="dxa" w:w="140"/>
              <w:bottom w:type="dxa" w:w="120"/>
              <w:right w:type="dxa" w:w="140"/>
            </w:tcMar>
          </w:tcPr>
          <w:p>
            <w:pPr>
              <w:spacing w:after="0" w:line="280"/>
            </w:pPr>
            <w:r>
              <w:rPr>
                <w:b w:val="false"/>
                <w:bCs w:val="false"/>
                <w:sz w:val="20"/>
                <w:szCs w:val="20"/>
              </w:rPr>
              <w:t xml:space="preserve">I’m lost</w:t>
            </w:r>
          </w:p>
        </w:tc>
        <w:tc>
          <w:tcPr>
            <w:tcW w:type="dxa" w:w="6400"/>
            <w:tcMar>
              <w:top w:type="dxa" w:w="120"/>
              <w:left w:type="dxa" w:w="140"/>
              <w:bottom w:type="dxa" w:w="120"/>
              <w:right w:type="dxa" w:w="140"/>
            </w:tcMar>
          </w:tcPr>
          <w:p>
            <w:pPr>
              <w:spacing w:after="0" w:line="280"/>
            </w:pPr>
            <w:r>
              <w:rPr>
                <w:b w:val="false"/>
                <w:bCs w:val="false"/>
                <w:sz w:val="20"/>
                <w:szCs w:val="20"/>
              </w:rPr>
              <w:t xml:space="preserve">Rewinds to the last point at which the learner was confident and rebuilds from there.</w:t>
            </w:r>
          </w:p>
        </w:tc>
      </w:tr>
    </w:tbl>
    <w:p>
      <w:pPr>
        <w:spacing w:after="120" w:line="300"/>
      </w:pPr>
      <w:r>
        <w:t xml:space="preserve">These primitives are not just UI shortcuts. Each one changes the internal prompt structure and the agents involved. "Prove it to me" instantiates a more formal chain of reasoning; "Explain differently" triggers a diagnostic exchange before regeneration; "Let me try one" hands control to the Evaluator agent.</w:t>
      </w:r>
    </w:p>
    <w:p>
      <w:pPr>
        <w:pStyle w:val="Heading2"/>
        <w:spacing w:after="140" w:before="280"/>
      </w:pPr>
      <w:r>
        <w:rPr>
          <w:b/>
          <w:bCs/>
        </w:rPr>
        <w:t xml:space="preserve">4.4  The laboratory</w:t>
      </w:r>
    </w:p>
    <w:p>
      <w:pPr>
        <w:spacing w:after="120" w:line="300"/>
      </w:pPr>
      <w:r>
        <w:t xml:space="preserve">The lab module is where the learner produces work: solves problems, writes proofs, executes code, runs simulations, or drafts arguments, depending on the subject. Its purpose is generative practice under conditions where feedback is fast and mistakes are cheap.</w:t>
      </w:r>
    </w:p>
    <w:p>
      <w:pPr>
        <w:pStyle w:val="ListParagraph"/>
        <w:numPr>
          <w:ilvl w:val="0"/>
          <w:numId w:val="2"/>
        </w:numPr>
        <w:spacing w:after="80" w:line="290"/>
      </w:pPr>
      <w:r>
        <w:rPr>
          <w:b/>
          <w:bCs/>
        </w:rPr>
        <w:t xml:space="preserve">Problem generation. </w:t>
      </w:r>
      <w:r>
        <w:t xml:space="preserve">The system generates problems calibrated to the learner’s current mastery, with difficulty tuned to stay in the productive zone — hard enough to require effort, not so hard as to be defeating. Problems come with worked solutions revealed only after an honest attempt.</w:t>
      </w:r>
    </w:p>
    <w:p>
      <w:pPr>
        <w:pStyle w:val="ListParagraph"/>
        <w:numPr>
          <w:ilvl w:val="0"/>
          <w:numId w:val="2"/>
        </w:numPr>
        <w:spacing w:after="80" w:line="290"/>
      </w:pPr>
      <w:r>
        <w:rPr>
          <w:b/>
          <w:bCs/>
        </w:rPr>
        <w:t xml:space="preserve">Live evaluation. </w:t>
      </w:r>
      <w:r>
        <w:t xml:space="preserve">For subjects where correctness is machine-verifiable — mathematics, programming, formal logic — the Evaluator agent checks work step by step and can catch errors as they happen. For subjects where correctness is judgemental, the Evaluator provides rubric-based feedback and highlights specific weaknesses.</w:t>
      </w:r>
    </w:p>
    <w:p>
      <w:pPr>
        <w:pStyle w:val="ListParagraph"/>
        <w:numPr>
          <w:ilvl w:val="0"/>
          <w:numId w:val="2"/>
        </w:numPr>
        <w:spacing w:after="80" w:line="290"/>
      </w:pPr>
      <w:r>
        <w:rPr>
          <w:b/>
          <w:bCs/>
        </w:rPr>
        <w:t xml:space="preserve">Executable environments. </w:t>
      </w:r>
      <w:r>
        <w:t xml:space="preserve">Programming subjects run in a sandboxed execution environment; mathematics uses a symbolic engine and a proof assistant; sciences use simulation libraries or notebook environments; writing subjects use draft-and-comment tooling with structured revision passes.</w:t>
      </w:r>
    </w:p>
    <w:p>
      <w:pPr>
        <w:pStyle w:val="ListParagraph"/>
        <w:numPr>
          <w:ilvl w:val="0"/>
          <w:numId w:val="2"/>
        </w:numPr>
        <w:spacing w:after="80" w:line="290"/>
      </w:pPr>
      <w:r>
        <w:rPr>
          <w:b/>
          <w:bCs/>
        </w:rPr>
        <w:t xml:space="preserve">Interleaved practice. </w:t>
      </w:r>
      <w:r>
        <w:t xml:space="preserve">Later in a course, practice sessions interleave problem types from across the syllabus rather than drilling one technique at a time. This is deliberately harder and produces more transferable skill.</w:t>
      </w:r>
    </w:p>
    <w:p>
      <w:pPr>
        <w:pStyle w:val="Heading2"/>
        <w:spacing w:after="140" w:before="280"/>
      </w:pPr>
      <w:r>
        <w:rPr>
          <w:b/>
          <w:bCs/>
        </w:rPr>
        <w:t xml:space="preserve">4.5  The confusion journal</w:t>
      </w:r>
    </w:p>
    <w:p>
      <w:pPr>
        <w:spacing w:after="120" w:line="300"/>
      </w:pPr>
      <w:r>
        <w:t xml:space="preserve">One of the highest-leverage artifacts in any serious study project is the running document of things you cannot yet do. The confusion journal is a first-class object in the system: every time the learner marks confusion, fails a check, or asks a question that reveals a gap, an entry is created. Each entry captures the topic, the specific point of confusion, the context in which it arose, and the current status: unresolved, partially resolved, or resolved.</w:t>
      </w:r>
    </w:p>
    <w:p>
      <w:pPr>
        <w:spacing w:after="120" w:line="300"/>
      </w:pPr>
      <w:r>
        <w:t xml:space="preserve">The journal is not a passive log. It is surfaced at the start of each session as a set of open questions, drives the selection of review material, and is used by the Tutor to open sessions with prompts like "last week you were unsure whether this generalizes to non-commutative cases — should we work through that now?" Resolved entries are not deleted; they become part of the record of what the learner has understood.</w:t>
      </w:r>
    </w:p>
    <w:p>
      <w:pPr>
        <w:spacing w:after="120" w:line="300"/>
      </w:pPr>
      <w:r>
        <w:t xml:space="preserve">Behind the surface, a Confusion-Tracker agent monitors every interaction for signals of gap — hesitation in voice sessions, incorrect answers to checks, questions with a certain form, requests to re-explain, contradictory answers to related probes. These are logged into the journal with the Tracker’s hypothesis about what the underlying gap is, and the Tutor uses those hypotheses to plan follow-up.</w:t>
      </w:r>
    </w:p>
    <w:p>
      <w:pPr>
        <w:pStyle w:val="Heading2"/>
        <w:spacing w:after="140" w:before="280"/>
      </w:pPr>
      <w:r>
        <w:rPr>
          <w:b/>
          <w:bCs/>
        </w:rPr>
        <w:t xml:space="preserve">4.6  The concept graph</w:t>
      </w:r>
    </w:p>
    <w:p>
      <w:pPr>
        <w:spacing w:after="120" w:line="300"/>
      </w:pPr>
      <w:r>
        <w:t xml:space="preserve">Every subject is represented internally as a directed graph of concepts, with prerequisite edges, dependency edges, and semantic clustering. This graph is the substrate that everything else runs on: the syllabus is a path through it, the confusion journal is annotated against it, mastery is tracked per node, and the "where does this fit" primitive renders the local neighbourhood.</w:t>
      </w:r>
    </w:p>
    <w:p>
      <w:pPr>
        <w:spacing w:after="120" w:line="300"/>
      </w:pPr>
      <w:r>
        <w:t xml:space="preserve">The learner has read access to the graph as a navigable map — a visual index of the subject that grows in color as their mastery grows, with the load-bearing concepts (the small number of nodes on which most others depend) visibly weighted. This is one of the most important interface elements in the product: it makes the learner’s progress and their remaining terrain legible in a way that a linear course cannot.</w:t>
      </w:r>
    </w:p>
    <w:p>
      <w:pPr>
        <w:pStyle w:val="Heading2"/>
        <w:spacing w:after="140" w:before="280"/>
      </w:pPr>
      <w:r>
        <w:rPr>
          <w:b/>
          <w:bCs/>
        </w:rPr>
        <w:t xml:space="preserve">4.7  The multi-voice library</w:t>
      </w:r>
    </w:p>
    <w:p>
      <w:pPr>
        <w:spacing w:after="120" w:line="300"/>
      </w:pPr>
      <w:r>
        <w:t xml:space="preserve">The system exposes, for any concept, alternate expositions drawn from the primary sources in its corpus and generated by the Lecturer in different pedagogical stances. The pedagogical justification is that two or three explanations of the same idea, seen in parallel, produce sharper understanding than any single explanation of it — and that they inoculate against the failure mode where the learner has memorized one author’s framing without understanding the underlying idea.</w:t>
      </w:r>
    </w:p>
    <w:p>
      <w:pPr>
        <w:spacing w:after="120" w:line="300"/>
      </w:pPr>
      <w:r>
        <w:t xml:space="preserve">Practically, the learner can, on any topic, ask to see the original textbook passage (from one of two or three curated textbooks in the subject), the lecturer’s reformulation, and one or more alternate stances. Disagreements between sources are surfaced as such — "these two authors define this differently, here is what turns on the difference" — rather than smoothed over.</w:t>
      </w:r>
    </w:p>
    <w:p>
      <w:pPr>
        <w:pStyle w:val="Heading2"/>
        <w:spacing w:after="140" w:before="280"/>
      </w:pPr>
      <w:r>
        <w:rPr>
          <w:b/>
          <w:bCs/>
        </w:rPr>
        <w:t xml:space="preserve">4.8  The review cycle</w:t>
      </w:r>
    </w:p>
    <w:p>
      <w:pPr>
        <w:spacing w:after="120" w:line="300"/>
      </w:pPr>
      <w:r>
        <w:t xml:space="preserve">Review is a scheduled, first-class part of the product, not an optional extra. Every concept mastered enters a spaced-repetition schedule tuned to the learner’s demonstrated retention curve, with review sessions weaving retrieval practice across topics. A daily or weekly review session, of the learner’s chosen length, presents a mixed set of retrievals from across the syllabus, calibrated to catch what is most in danger of decaying.</w:t>
      </w:r>
    </w:p>
    <w:p>
      <w:pPr>
        <w:spacing w:after="120" w:line="300"/>
      </w:pPr>
      <w:r>
        <w:t xml:space="preserve">The interesting design decision here is that review is not flashcards. It is short generative exercises: "state, in your own words, what the Church-Rosser theorem says and why it matters"; "given this small program, reduce it and explain each step"; "sketch, in two sentences, why the halting problem is undecidable." The Evaluator scores the response against a rubric and, when it is weak, hands control to the Tutor for a brief remediation.</w:t>
      </w:r>
    </w:p>
    <w:p>
      <w:pPr>
        <w:pStyle w:val="Heading2"/>
        <w:spacing w:after="140" w:before="280"/>
      </w:pPr>
      <w:r>
        <w:rPr>
          <w:b/>
          <w:bCs/>
        </w:rPr>
        <w:t xml:space="preserve">4.9  The assessment engine</w:t>
      </w:r>
    </w:p>
    <w:p>
      <w:pPr>
        <w:spacing w:after="120" w:line="300"/>
      </w:pPr>
      <w:r>
        <w:t xml:space="preserve">Assessment in the system is continuous and formative by default. Every interaction — every lecture check, every tutorial exchange, every lab attempt, every review — updates a mastery model for the concepts involved. This model is what drives the Tutor’s knowledge of where the learner is, what drives problem difficulty in the lab, and what drives the review schedule.</w:t>
      </w:r>
    </w:p>
    <w:p>
      <w:pPr>
        <w:spacing w:after="120" w:line="300"/>
      </w:pPr>
      <w:r>
        <w:t xml:space="preserve">Summative assessment — the kind that produces a grade or a credential — is a separate mode, entered explicitly by the learner and conducted under stricter conditions (a proctored session, a locked-down environment, a novel problem set generated for the occasion). This separation matters: the ordinary interaction should be low-stakes enough that the learner can be genuinely honest about what they do not know.</w:t>
      </w:r>
    </w:p>
    <w:p>
      <w:r>
        <w:br w:type="page"/>
      </w:r>
    </w:p>
    <w:p>
      <w:pPr>
        <w:pStyle w:val="Heading1"/>
        <w:spacing w:after="140" w:before="0"/>
      </w:pPr>
      <w:r>
        <w:rPr>
          <w:b/>
          <w:bCs/>
        </w:rPr>
        <w:t xml:space="preserve">5.  The interaction model</w:t>
      </w:r>
    </w:p>
    <w:p>
      <w:pPr>
        <w:spacing w:after="120" w:line="300"/>
      </w:pPr>
      <w:r>
        <w:t xml:space="preserve">The interaction model deserves its own section because it is where the product either succeeds or fails at feeling like real instruction rather than a chat interface with academic content. This section describes how a learner actually spends time inside the product and how the "student prompting further questions" affordance is implemented in depth.</w:t>
      </w:r>
    </w:p>
    <w:p>
      <w:pPr>
        <w:pStyle w:val="Heading2"/>
        <w:spacing w:after="140" w:before="280"/>
      </w:pPr>
      <w:r>
        <w:rPr>
          <w:b/>
          <w:bCs/>
        </w:rPr>
        <w:t xml:space="preserve">5.1  Voice-first, text-parallel</w:t>
      </w:r>
    </w:p>
    <w:p>
      <w:pPr>
        <w:spacing w:after="120" w:line="300"/>
      </w:pPr>
      <w:r>
        <w:t xml:space="preserve">The default interaction mode for lectures and tutorials is voice. The pedagogical reason is that spoken dialogue engages different cognitive resources than reading and typing, more closely resembles the conditions of a real tutorial, and lowers the friction of interruption. The practical reason is that a learner listening to a lecture with their hands free can take notes, sketch diagrams, or work at a whiteboard in a way that a chat window makes awkward.</w:t>
      </w:r>
    </w:p>
    <w:p>
      <w:pPr>
        <w:spacing w:after="120" w:line="300"/>
      </w:pPr>
      <w:r>
        <w:t xml:space="preserve">Text runs in parallel with the voice channel: a synchronized transcript scrolls in a side panel, generated visuals appear inline, and the learner can switch to text-only at any time (in a quiet environment, on transit, when working alongside code). Every voice interaction produces a text record, and every text interaction can be replayed as voice if the learner wants to review it while walking.</w:t>
      </w:r>
    </w:p>
    <w:p>
      <w:pPr>
        <w:pStyle w:val="Heading2"/>
        <w:spacing w:after="140" w:before="280"/>
      </w:pPr>
      <w:r>
        <w:rPr>
          <w:b/>
          <w:bCs/>
        </w:rPr>
        <w:t xml:space="preserve">5.2  The "raise your hand" pattern</w:t>
      </w:r>
    </w:p>
    <w:p>
      <w:pPr>
        <w:spacing w:after="120" w:line="300"/>
      </w:pPr>
      <w:r>
        <w:t xml:space="preserve">In a real lecture, a student who has a question can raise their hand and have the lecturer stop mid-sentence to address it. This is a small interaction with large pedagogical consequences: it means confusion is caught at the point of arising rather than after it has compounded, and it means the student does not have to hold a question in working memory through the rest of the lecture.</w:t>
      </w:r>
    </w:p>
    <w:p>
      <w:pPr>
        <w:spacing w:after="120" w:line="300"/>
      </w:pPr>
      <w:r>
        <w:t xml:space="preserve">The system implements this literally. During any lecture or tutorial, the learner can:</w:t>
      </w:r>
    </w:p>
    <w:p>
      <w:pPr>
        <w:pStyle w:val="ListParagraph"/>
        <w:numPr>
          <w:ilvl w:val="0"/>
          <w:numId w:val="2"/>
        </w:numPr>
        <w:spacing w:after="80" w:line="290"/>
      </w:pPr>
      <w:r>
        <w:rPr>
          <w:b/>
          <w:bCs/>
        </w:rPr>
        <w:t xml:space="preserve">Interrupt by voice </w:t>
      </w:r>
      <w:r>
        <w:t xml:space="preserve">— saying "wait," "hold on," "can I ask something," or simply beginning to speak — which pauses the lecture instantly and hands the floor to the learner.</w:t>
      </w:r>
    </w:p>
    <w:p>
      <w:pPr>
        <w:pStyle w:val="ListParagraph"/>
        <w:numPr>
          <w:ilvl w:val="0"/>
          <w:numId w:val="2"/>
        </w:numPr>
        <w:spacing w:after="80" w:line="290"/>
      </w:pPr>
      <w:r>
        <w:rPr>
          <w:b/>
          <w:bCs/>
        </w:rPr>
        <w:t xml:space="preserve">Interrupt by gesture </w:t>
      </w:r>
      <w:r>
        <w:t xml:space="preserve">— tapping a persistent "hand" button on screen, or a keyboard shortcut, which pauses the lecture and opens a text input.</w:t>
      </w:r>
    </w:p>
    <w:p>
      <w:pPr>
        <w:pStyle w:val="ListParagraph"/>
        <w:numPr>
          <w:ilvl w:val="0"/>
          <w:numId w:val="2"/>
        </w:numPr>
        <w:spacing w:after="80" w:line="290"/>
      </w:pPr>
      <w:r>
        <w:rPr>
          <w:b/>
          <w:bCs/>
        </w:rPr>
        <w:t xml:space="preserve">Interrupt by annotation </w:t>
      </w:r>
      <w:r>
        <w:t xml:space="preserve">— highlighting a passage of the running transcript and attaching a question to it, which either pauses the current lecture or queues the question for after the current segment, depending on the learner’s preference.</w:t>
      </w:r>
    </w:p>
    <w:p>
      <w:pPr>
        <w:spacing w:after="120" w:line="300"/>
      </w:pPr>
      <w:r>
        <w:t xml:space="preserve">Once the question is resolved — which may take one exchange or a fifteen-minute detour — the lecture resumes from the point of interruption, with a brief recap if the detour was substantial. The interruption is logged in the confusion journal along with what triggered it and what resolved it.</w:t>
      </w:r>
    </w:p>
    <w:p>
      <w:pPr>
        <w:pStyle w:val="Heading2"/>
        <w:spacing w:after="140" w:before="280"/>
      </w:pPr>
      <w:r>
        <w:rPr>
          <w:b/>
          <w:bCs/>
        </w:rPr>
        <w:t xml:space="preserve">5.3  Office hours</w:t>
      </w:r>
    </w:p>
    <w:p>
      <w:pPr>
        <w:spacing w:after="120" w:line="300"/>
      </w:pPr>
      <w:r>
        <w:t xml:space="preserve">Office hours is a distinct mode from the in-lecture tutorial: a dedicated session in which the learner brings a specific question, problem, or piece of confusion, and works through it with the Tutor without a lecture in the background. This is where deeper struggles are worked out — the ones that cannot be resolved in a two-minute interruption.</w:t>
      </w:r>
    </w:p>
    <w:p>
      <w:pPr>
        <w:spacing w:after="120" w:line="300"/>
      </w:pPr>
      <w:r>
        <w:t xml:space="preserve">Office hours sessions are unstructured but bounded. The learner opens the session with a question or a piece of work; the Tutor engages, and the exchange proceeds until the learner declares themselves satisfied or agrees to return to it later. The session is summarized on exit — what was worked on, what was concluded, what remains open — and the summary is written to the confusion journal.</w:t>
      </w:r>
    </w:p>
    <w:p>
      <w:pPr>
        <w:pStyle w:val="Heading2"/>
        <w:spacing w:after="140" w:before="280"/>
      </w:pPr>
      <w:r>
        <w:rPr>
          <w:b/>
          <w:bCs/>
        </w:rPr>
        <w:t xml:space="preserve">5.4  How the Tutor handles a question</w:t>
      </w:r>
    </w:p>
    <w:p>
      <w:pPr>
        <w:spacing w:after="120" w:line="300"/>
      </w:pPr>
      <w:r>
        <w:t xml:space="preserve">When the learner asks a question, the Tutor does not simply answer it. It runs a small diagnostic sequence:</w:t>
      </w:r>
    </w:p>
    <w:p>
      <w:pPr>
        <w:pStyle w:val="ListParagraph"/>
        <w:numPr>
          <w:ilvl w:val="0"/>
          <w:numId w:val="3"/>
        </w:numPr>
        <w:spacing w:after="80" w:line="290"/>
      </w:pPr>
      <w:r>
        <w:t xml:space="preserve">It classifies the question. Is this a vocabulary question, a substance question, a question about scope or applicability, a request for justification, or a request for connection to other material? Each of these calls for a different response.</w:t>
      </w:r>
    </w:p>
    <w:p>
      <w:pPr>
        <w:pStyle w:val="ListParagraph"/>
        <w:numPr>
          <w:ilvl w:val="0"/>
          <w:numId w:val="3"/>
        </w:numPr>
        <w:spacing w:after="80" w:line="290"/>
      </w:pPr>
      <w:r>
        <w:t xml:space="preserve">It checks context. What is the learner currently working on, what have they recently struggled with, what does their mastery model say about their preparedness for the answer they are asking for?</w:t>
      </w:r>
    </w:p>
    <w:p>
      <w:pPr>
        <w:pStyle w:val="ListParagraph"/>
        <w:numPr>
          <w:ilvl w:val="0"/>
          <w:numId w:val="3"/>
        </w:numPr>
        <w:spacing w:after="80" w:line="290"/>
      </w:pPr>
      <w:r>
        <w:t xml:space="preserve">It considers the pedagogical move. Sometimes the right response is a direct answer; often it is a return question, a request that the learner state what they already think, or a suggestion to try a small example first.</w:t>
      </w:r>
    </w:p>
    <w:p>
      <w:pPr>
        <w:pStyle w:val="ListParagraph"/>
        <w:numPr>
          <w:ilvl w:val="0"/>
          <w:numId w:val="3"/>
        </w:numPr>
        <w:spacing w:after="80" w:line="290"/>
      </w:pPr>
      <w:r>
        <w:t xml:space="preserve">It responds. If a direct answer, it is grounded in the corpus and cited. If a return question, it is calibrated to what the Tutor believes the learner can produce.</w:t>
      </w:r>
    </w:p>
    <w:p>
      <w:pPr>
        <w:pStyle w:val="ListParagraph"/>
        <w:numPr>
          <w:ilvl w:val="0"/>
          <w:numId w:val="3"/>
        </w:numPr>
        <w:spacing w:after="80" w:line="290"/>
      </w:pPr>
      <w:r>
        <w:t xml:space="preserve">It closes the loop. It checks that the answer landed: "does that make sense," "can you now state it back," "shall we try one." The answer to this check updates the mastery model and, if relevant, the confusion journal.</w:t>
      </w:r>
    </w:p>
    <w:p>
      <w:pPr>
        <w:spacing w:after="120" w:line="300"/>
      </w:pPr>
      <w:r>
        <w:t xml:space="preserve">This sequence is the reason the tutorial mode is not simply "a chatbot with a system prompt." Each of these steps is an explicit call in the agent orchestration, and each one is what separates a productive tutorial from an exchange that feels helpful in the moment and produces nothing durable.</w:t>
      </w:r>
    </w:p>
    <w:p>
      <w:pPr>
        <w:pStyle w:val="Heading2"/>
        <w:spacing w:after="140" w:before="280"/>
      </w:pPr>
      <w:r>
        <w:rPr>
          <w:b/>
          <w:bCs/>
        </w:rPr>
        <w:t xml:space="preserve">5.5  Session shape and rhythm</w:t>
      </w:r>
    </w:p>
    <w:p>
      <w:pPr>
        <w:spacing w:after="120" w:line="300"/>
      </w:pPr>
      <w:r>
        <w:t xml:space="preserve">A typical study session, once the learner is past orientation, looks like this. The learner arrives at the app; a brief opening surfaces the review queue, any open items from the confusion journal, and the next topic in the syllabus. The learner chooses whether to review, to continue the syllabus, or to spend the session on office hours. If continuing, the session begins with a short review of relevant prior material — five to ten minutes — followed by the lecture segment for the day’s topic, followed by a lab segment in which the learner practices what the lecture covered. The session closes with a brief summary of what was covered, an update to the confusion journal, and a note about what the next session will begin with.</w:t>
      </w:r>
    </w:p>
    <w:p>
      <w:pPr>
        <w:spacing w:after="120" w:line="300"/>
      </w:pPr>
      <w:r>
        <w:t xml:space="preserve">The session is bounded by the learner’s stated available time; the system will not push past that boundary. This matters more than it seems. A learner who trusts the system to respect their time will return; one who does not, will not.</w:t>
      </w:r>
    </w:p>
    <w:p>
      <w:r>
        <w:br w:type="page"/>
      </w:r>
    </w:p>
    <w:p>
      <w:pPr>
        <w:pStyle w:val="Heading1"/>
        <w:spacing w:after="140" w:before="0"/>
      </w:pPr>
      <w:r>
        <w:rPr>
          <w:b/>
          <w:bCs/>
        </w:rPr>
        <w:t xml:space="preserve">6.  Technical architecture</w:t>
      </w:r>
    </w:p>
    <w:p>
      <w:pPr>
        <w:spacing w:after="120" w:line="300"/>
      </w:pPr>
      <w:r>
        <w:t xml:space="preserve">The system is built as a multi-agent architecture with a clear separation between the agents that face the learner, the substrate that gives them context, and the infrastructure that runs them. This section describes each layer.</w:t>
      </w:r>
    </w:p>
    <w:p>
      <w:pPr>
        <w:pStyle w:val="Heading2"/>
        <w:spacing w:after="140" w:before="280"/>
      </w:pPr>
      <w:r>
        <w:rPr>
          <w:b/>
          <w:bCs/>
        </w:rPr>
        <w:t xml:space="preserve">6.1  The agent group</w:t>
      </w:r>
    </w:p>
    <w:p>
      <w:pPr>
        <w:spacing w:after="120" w:line="300"/>
      </w:pPr>
      <w:r>
        <w:t xml:space="preserve">The choice to build this as a multi-agent system rather than a single-agent one is deliberate. A single agent conditioned on a very long system prompt can, in principle, do all of these jobs, but in practice it performs each of them worse than a specialized agent would, and it makes the system’s behavior harder to reason about and to improve. The following agents are separate services with distinct prompts, distinct evaluation harnesses, and, where warranted, distinct underlying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c>
          <w:tcPr>
            <w:tcW w:type="dxa" w:w="2100"/>
            <w:shd w:fill="E8E4D9" w:color="auto" w:val="clear"/>
            <w:tcMar>
              <w:top w:type="dxa" w:w="120"/>
              <w:left w:type="dxa" w:w="140"/>
              <w:bottom w:type="dxa" w:w="120"/>
              <w:right w:type="dxa" w:w="140"/>
            </w:tcMar>
          </w:tcPr>
          <w:p>
            <w:pPr>
              <w:spacing w:after="0" w:line="280"/>
            </w:pPr>
            <w:r>
              <w:rPr>
                <w:b/>
                <w:bCs/>
                <w:sz w:val="20"/>
                <w:szCs w:val="20"/>
              </w:rPr>
              <w:t xml:space="preserve">Agent</w:t>
            </w:r>
          </w:p>
        </w:tc>
        <w:tc>
          <w:tcPr>
            <w:tcW w:type="dxa" w:w="6900"/>
            <w:shd w:fill="E8E4D9" w:color="auto" w:val="clear"/>
            <w:tcMar>
              <w:top w:type="dxa" w:w="120"/>
              <w:left w:type="dxa" w:w="140"/>
              <w:bottom w:type="dxa" w:w="120"/>
              <w:right w:type="dxa" w:w="140"/>
            </w:tcMar>
          </w:tcPr>
          <w:p>
            <w:pPr>
              <w:spacing w:after="0" w:line="280"/>
            </w:pPr>
            <w:r>
              <w:rPr>
                <w:b/>
                <w:bCs/>
                <w:sz w:val="20"/>
                <w:szCs w:val="20"/>
              </w:rPr>
              <w:t xml:space="preserve">Role</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Orchestrator</w:t>
            </w:r>
          </w:p>
        </w:tc>
        <w:tc>
          <w:tcPr>
            <w:tcW w:type="dxa" w:w="6900"/>
            <w:tcMar>
              <w:top w:type="dxa" w:w="120"/>
              <w:left w:type="dxa" w:w="140"/>
              <w:bottom w:type="dxa" w:w="120"/>
              <w:right w:type="dxa" w:w="140"/>
            </w:tcMar>
          </w:tcPr>
          <w:p>
            <w:pPr>
              <w:spacing w:after="0" w:line="280"/>
            </w:pPr>
            <w:r>
              <w:rPr>
                <w:b w:val="false"/>
                <w:bCs w:val="false"/>
                <w:sz w:val="20"/>
                <w:szCs w:val="20"/>
              </w:rPr>
              <w:t xml:space="preserve">Routes learner input to the right agent, manages the session state machine, and coordinates handoffs between agents. Owns the current session context and decides which agent has the floor.</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Curator</w:t>
            </w:r>
          </w:p>
        </w:tc>
        <w:tc>
          <w:tcPr>
            <w:tcW w:type="dxa" w:w="6900"/>
            <w:tcMar>
              <w:top w:type="dxa" w:w="120"/>
              <w:left w:type="dxa" w:w="140"/>
              <w:bottom w:type="dxa" w:w="120"/>
              <w:right w:type="dxa" w:w="140"/>
            </w:tcMar>
          </w:tcPr>
          <w:p>
            <w:pPr>
              <w:spacing w:after="0" w:line="280"/>
            </w:pPr>
            <w:r>
              <w:rPr>
                <w:b w:val="false"/>
                <w:bCs w:val="false"/>
                <w:sz w:val="20"/>
                <w:szCs w:val="20"/>
              </w:rPr>
              <w:t xml:space="preserve">Owns the curriculum graph for the subject. Constructs and revises the personalized syllabus, decides what topic comes next, and selects which primary sources to surface for a given lecture.</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Lecturer</w:t>
            </w:r>
          </w:p>
        </w:tc>
        <w:tc>
          <w:tcPr>
            <w:tcW w:type="dxa" w:w="6900"/>
            <w:tcMar>
              <w:top w:type="dxa" w:w="120"/>
              <w:left w:type="dxa" w:w="140"/>
              <w:bottom w:type="dxa" w:w="120"/>
              <w:right w:type="dxa" w:w="140"/>
            </w:tcMar>
          </w:tcPr>
          <w:p>
            <w:pPr>
              <w:spacing w:after="0" w:line="280"/>
            </w:pPr>
            <w:r>
              <w:rPr>
                <w:b w:val="false"/>
                <w:bCs w:val="false"/>
                <w:sz w:val="20"/>
                <w:szCs w:val="20"/>
              </w:rPr>
              <w:t xml:space="preserve">Delivers structured exposition of a topic. Grounded in the corpus, cites its sources, generates the accompanying visuals, and produces the comprehension checks.</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Tutor</w:t>
            </w:r>
          </w:p>
        </w:tc>
        <w:tc>
          <w:tcPr>
            <w:tcW w:type="dxa" w:w="6900"/>
            <w:tcMar>
              <w:top w:type="dxa" w:w="120"/>
              <w:left w:type="dxa" w:w="140"/>
              <w:bottom w:type="dxa" w:w="120"/>
              <w:right w:type="dxa" w:w="140"/>
            </w:tcMar>
          </w:tcPr>
          <w:p>
            <w:pPr>
              <w:spacing w:after="0" w:line="280"/>
            </w:pPr>
            <w:r>
              <w:rPr>
                <w:b w:val="false"/>
                <w:bCs w:val="false"/>
                <w:sz w:val="20"/>
                <w:szCs w:val="20"/>
              </w:rPr>
              <w:t xml:space="preserve">Conducts Socratic dialogue. Holds the working model of the learner’s understanding for the current session and executes the diagnostic sequence described in §5.4.</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Evaluator</w:t>
            </w:r>
          </w:p>
        </w:tc>
        <w:tc>
          <w:tcPr>
            <w:tcW w:type="dxa" w:w="6900"/>
            <w:tcMar>
              <w:top w:type="dxa" w:w="120"/>
              <w:left w:type="dxa" w:w="140"/>
              <w:bottom w:type="dxa" w:w="120"/>
              <w:right w:type="dxa" w:w="140"/>
            </w:tcMar>
          </w:tcPr>
          <w:p>
            <w:pPr>
              <w:spacing w:after="0" w:line="280"/>
            </w:pPr>
            <w:r>
              <w:rPr>
                <w:b w:val="false"/>
                <w:bCs w:val="false"/>
                <w:sz w:val="20"/>
                <w:szCs w:val="20"/>
              </w:rPr>
              <w:t xml:space="preserve">Grades produced work — code, proofs, prose, exercise answers. Owns the rubrics for each subject and produces the feedback that goes back to the learner and to the mastery model.</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Confusion-Tracker</w:t>
            </w:r>
          </w:p>
        </w:tc>
        <w:tc>
          <w:tcPr>
            <w:tcW w:type="dxa" w:w="6900"/>
            <w:tcMar>
              <w:top w:type="dxa" w:w="120"/>
              <w:left w:type="dxa" w:w="140"/>
              <w:bottom w:type="dxa" w:w="120"/>
              <w:right w:type="dxa" w:w="140"/>
            </w:tcMar>
          </w:tcPr>
          <w:p>
            <w:pPr>
              <w:spacing w:after="0" w:line="280"/>
            </w:pPr>
            <w:r>
              <w:rPr>
                <w:b w:val="false"/>
                <w:bCs w:val="false"/>
                <w:sz w:val="20"/>
                <w:szCs w:val="20"/>
              </w:rPr>
              <w:t xml:space="preserve">Monitors every interaction for signals of gap and writes entries to the confusion journal. Runs asynchronously, does not appear directly to the learner.</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Mastery-Model</w:t>
            </w:r>
          </w:p>
        </w:tc>
        <w:tc>
          <w:tcPr>
            <w:tcW w:type="dxa" w:w="6900"/>
            <w:tcMar>
              <w:top w:type="dxa" w:w="120"/>
              <w:left w:type="dxa" w:w="140"/>
              <w:bottom w:type="dxa" w:w="120"/>
              <w:right w:type="dxa" w:w="140"/>
            </w:tcMar>
          </w:tcPr>
          <w:p>
            <w:pPr>
              <w:spacing w:after="0" w:line="280"/>
            </w:pPr>
            <w:r>
              <w:rPr>
                <w:b w:val="false"/>
                <w:bCs w:val="false"/>
                <w:sz w:val="20"/>
                <w:szCs w:val="20"/>
              </w:rPr>
              <w:t xml:space="preserve">Not a language model but a stateful service. Maintains per-concept mastery estimates, updates them on each interaction, and drives review scheduling and problem difficulty.</w:t>
            </w:r>
          </w:p>
        </w:tc>
      </w:tr>
      <w:tr>
        <w:tc>
          <w:tcPr>
            <w:tcW w:type="dxa" w:w="2100"/>
            <w:tcMar>
              <w:top w:type="dxa" w:w="120"/>
              <w:left w:type="dxa" w:w="140"/>
              <w:bottom w:type="dxa" w:w="120"/>
              <w:right w:type="dxa" w:w="140"/>
            </w:tcMar>
          </w:tcPr>
          <w:p>
            <w:pPr>
              <w:spacing w:after="0" w:line="280"/>
            </w:pPr>
            <w:r>
              <w:rPr>
                <w:b w:val="false"/>
                <w:bCs w:val="false"/>
                <w:sz w:val="20"/>
                <w:szCs w:val="20"/>
              </w:rPr>
              <w:t xml:space="preserve">Reviewer</w:t>
            </w:r>
          </w:p>
        </w:tc>
        <w:tc>
          <w:tcPr>
            <w:tcW w:type="dxa" w:w="6900"/>
            <w:tcMar>
              <w:top w:type="dxa" w:w="120"/>
              <w:left w:type="dxa" w:w="140"/>
              <w:bottom w:type="dxa" w:w="120"/>
              <w:right w:type="dxa" w:w="140"/>
            </w:tcMar>
          </w:tcPr>
          <w:p>
            <w:pPr>
              <w:spacing w:after="0" w:line="280"/>
            </w:pPr>
            <w:r>
              <w:rPr>
                <w:b w:val="false"/>
                <w:bCs w:val="false"/>
                <w:sz w:val="20"/>
                <w:szCs w:val="20"/>
              </w:rPr>
              <w:t xml:space="preserve">Assembles review sessions from the mastery model and the schedule; generates fresh retrieval prompts each time rather than replaying cards.</w:t>
            </w:r>
          </w:p>
        </w:tc>
      </w:tr>
    </w:tbl>
    <w:p>
      <w:pPr>
        <w:pStyle w:val="Heading2"/>
        <w:spacing w:after="140" w:before="280"/>
      </w:pPr>
      <w:r>
        <w:rPr>
          <w:b/>
          <w:bCs/>
        </w:rPr>
        <w:t xml:space="preserve">6.2  Model routing</w:t>
      </w:r>
    </w:p>
    <w:p>
      <w:pPr>
        <w:spacing w:after="120" w:line="300"/>
      </w:pPr>
      <w:r>
        <w:t xml:space="preserve">The system uses a mixed model stack rather than committing to one provider. The Tutor and Lecturer, which do the heaviest reasoning and produce the learner-facing output, run on frontier models where quality dominates cost — Claude Opus or an equivalent, with the ability to swap between them as the frontier moves. The Evaluator and Confusion-Tracker, which run frequently on shorter inputs, can run on smaller and cheaper models. Voice synthesis and recognition run on dedicated providers optimized for that task.</w:t>
      </w:r>
    </w:p>
    <w:p>
      <w:pPr>
        <w:spacing w:after="120" w:line="300"/>
      </w:pPr>
      <w:r>
        <w:t xml:space="preserve">Model routing is abstracted behind an internal interface so that any agent can be re-pointed at a different model without changing the agent’s prompts or the calling code. This is important both for cost management and for benchmarking new models against the current stack in a controlled way.</w:t>
      </w:r>
    </w:p>
    <w:p>
      <w:pPr>
        <w:pStyle w:val="Heading2"/>
        <w:spacing w:after="140" w:before="280"/>
      </w:pPr>
      <w:r>
        <w:rPr>
          <w:b/>
          <w:bCs/>
        </w:rPr>
        <w:t xml:space="preserve">6.3  Knowledge representation</w:t>
      </w:r>
    </w:p>
    <w:p>
      <w:pPr>
        <w:spacing w:after="120" w:line="300"/>
      </w:pPr>
      <w:r>
        <w:t xml:space="preserve">The knowledge substrate is a hybrid: a structured concept graph for each subject and a retrieval-augmented corpus of primary sources against which agents ground their output.</w:t>
      </w:r>
    </w:p>
    <w:p>
      <w:pPr>
        <w:spacing w:after="120" w:line="300"/>
      </w:pPr>
      <w:r>
        <w:t xml:space="preserve">The concept graph is a curated artifact, initially assembled by a domain expert and iterated as the system observes what learners actually struggle with. Nodes are concepts, edges carry types (prerequisite, dependency, generalization, application), and each node carries metadata: canonical primary sources, a set of representative problems at graded difficulty, and links to the corpus passages that ground its exposition. The graph is versioned and diffable, because it will change and change frequently.</w:t>
      </w:r>
    </w:p>
    <w:p>
      <w:pPr>
        <w:spacing w:after="120" w:line="300"/>
      </w:pPr>
      <w:r>
        <w:t xml:space="preserve">The corpus is a set of curated primary sources for each subject: two or three canonical textbooks, a set of foundational papers, historical primary sources where relevant. Everything in the corpus is chunked, embedded, and indexed in a vector store, but retrieval is not naïve nearest-neighbour: the concept graph constrains retrieval to the current topic’s neighbourhood, and the Lecturer’s prompts specify what kind of source it is looking for (a definition, a worked example, a proof, a motivating problem).</w:t>
      </w:r>
    </w:p>
    <w:p>
      <w:pPr>
        <w:pStyle w:val="Heading2"/>
        <w:spacing w:after="140" w:before="280"/>
      </w:pPr>
      <w:r>
        <w:rPr>
          <w:b/>
          <w:bCs/>
        </w:rPr>
        <w:t xml:space="preserve">6.4  Memory layers</w:t>
      </w:r>
    </w:p>
    <w:p>
      <w:pPr>
        <w:spacing w:after="120" w:line="300"/>
      </w:pPr>
      <w:r>
        <w:t xml:space="preserve">The system maintains three memory layers with distinct semantics:</w:t>
      </w:r>
    </w:p>
    <w:p>
      <w:pPr>
        <w:pStyle w:val="ListParagraph"/>
        <w:numPr>
          <w:ilvl w:val="0"/>
          <w:numId w:val="2"/>
        </w:numPr>
        <w:spacing w:after="80" w:line="290"/>
      </w:pPr>
      <w:r>
        <w:rPr>
          <w:b/>
          <w:bCs/>
        </w:rPr>
        <w:t xml:space="preserve">Session memory </w:t>
      </w:r>
      <w:r>
        <w:t xml:space="preserve">is the working context of the current session. It is the transcript, the current position in the syllabus, and the state of the current problem or dialogue. It expires when the session ends.</w:t>
      </w:r>
    </w:p>
    <w:p>
      <w:pPr>
        <w:pStyle w:val="ListParagraph"/>
        <w:numPr>
          <w:ilvl w:val="0"/>
          <w:numId w:val="2"/>
        </w:numPr>
        <w:spacing w:after="80" w:line="290"/>
      </w:pPr>
      <w:r>
        <w:rPr>
          <w:b/>
          <w:bCs/>
        </w:rPr>
        <w:t xml:space="preserve">Course memory </w:t>
      </w:r>
      <w:r>
        <w:t xml:space="preserve">is per-learner-per-subject. It is the mastery model, the confusion journal, the personalized syllabus, and a summarized history of prior sessions. It persists as long as the learner is studying that subject.</w:t>
      </w:r>
    </w:p>
    <w:p>
      <w:pPr>
        <w:pStyle w:val="ListParagraph"/>
        <w:numPr>
          <w:ilvl w:val="0"/>
          <w:numId w:val="2"/>
        </w:numPr>
        <w:spacing w:after="80" w:line="290"/>
      </w:pPr>
      <w:r>
        <w:rPr>
          <w:b/>
          <w:bCs/>
        </w:rPr>
        <w:t xml:space="preserve">Learner memory </w:t>
      </w:r>
      <w:r>
        <w:t xml:space="preserve">is cross-subject: stated goals, preferred pace and style, background context volunteered by the learner. It shapes how new subjects are introduced.</w:t>
      </w:r>
    </w:p>
    <w:p>
      <w:pPr>
        <w:spacing w:after="120" w:line="300"/>
      </w:pPr>
      <w:r>
        <w:t xml:space="preserve">Handling memory well is the difference between a system that feels like it knows the learner and one that feels like it is starting from zero each time. This is directly analogous to the memory design in ARIA and can borrow that architecture where sensible.</w:t>
      </w:r>
    </w:p>
    <w:p>
      <w:pPr>
        <w:pStyle w:val="Heading2"/>
        <w:spacing w:after="140" w:before="280"/>
      </w:pPr>
      <w:r>
        <w:rPr>
          <w:b/>
          <w:bCs/>
        </w:rPr>
        <w:t xml:space="preserve">6.5  Execution environments</w:t>
      </w:r>
    </w:p>
    <w:p>
      <w:pPr>
        <w:spacing w:after="120" w:line="300"/>
      </w:pPr>
      <w:r>
        <w:t xml:space="preserve">For any subject that involves the learner producing executable or verifiable work, the system provides an appropriate environment:</w:t>
      </w:r>
    </w:p>
    <w:p>
      <w:pPr>
        <w:pStyle w:val="ListParagraph"/>
        <w:numPr>
          <w:ilvl w:val="0"/>
          <w:numId w:val="2"/>
        </w:numPr>
        <w:spacing w:after="80" w:line="290"/>
      </w:pPr>
      <w:r>
        <w:rPr>
          <w:b/>
          <w:bCs/>
        </w:rPr>
        <w:t xml:space="preserve">Programming </w:t>
      </w:r>
      <w:r>
        <w:t xml:space="preserve">— containerized sandboxes with the relevant language and libraries; language-server integration so the Evaluator sees the same errors the learner sees.</w:t>
      </w:r>
    </w:p>
    <w:p>
      <w:pPr>
        <w:pStyle w:val="ListParagraph"/>
        <w:numPr>
          <w:ilvl w:val="0"/>
          <w:numId w:val="2"/>
        </w:numPr>
        <w:spacing w:after="80" w:line="290"/>
      </w:pPr>
      <w:r>
        <w:rPr>
          <w:b/>
          <w:bCs/>
        </w:rPr>
        <w:t xml:space="preserve">Mathematics </w:t>
      </w:r>
      <w:r>
        <w:t xml:space="preserve">— a symbolic engine (SymPy at minimum) and an optional proof assistant (Lean, Coq) for advanced subjects; a rendered whiteboard for hand-derivations transcribed from tablet input.</w:t>
      </w:r>
    </w:p>
    <w:p>
      <w:pPr>
        <w:pStyle w:val="ListParagraph"/>
        <w:numPr>
          <w:ilvl w:val="0"/>
          <w:numId w:val="2"/>
        </w:numPr>
        <w:spacing w:after="80" w:line="290"/>
      </w:pPr>
      <w:r>
        <w:rPr>
          <w:b/>
          <w:bCs/>
        </w:rPr>
        <w:t xml:space="preserve">Sciences </w:t>
      </w:r>
      <w:r>
        <w:t xml:space="preserve">— notebook environments with domain-relevant libraries; simulation environments for topics like circuits, dynamics, or population models.</w:t>
      </w:r>
    </w:p>
    <w:p>
      <w:pPr>
        <w:pStyle w:val="ListParagraph"/>
        <w:numPr>
          <w:ilvl w:val="0"/>
          <w:numId w:val="2"/>
        </w:numPr>
        <w:spacing w:after="80" w:line="290"/>
      </w:pPr>
      <w:r>
        <w:rPr>
          <w:b/>
          <w:bCs/>
        </w:rPr>
        <w:t xml:space="preserve">Writing and argumentation </w:t>
      </w:r>
      <w:r>
        <w:t xml:space="preserve">— a structured editor with revision-pass tooling: draft, structural critique, line critique, tightening pass.</w:t>
      </w:r>
    </w:p>
    <w:p>
      <w:pPr>
        <w:pStyle w:val="Heading2"/>
        <w:spacing w:after="140" w:before="280"/>
      </w:pPr>
      <w:r>
        <w:rPr>
          <w:b/>
          <w:bCs/>
        </w:rPr>
        <w:t xml:space="preserve">6.6  Voice stack</w:t>
      </w:r>
    </w:p>
    <w:p>
      <w:pPr>
        <w:spacing w:after="120" w:line="300"/>
      </w:pPr>
      <w:r>
        <w:t xml:space="preserve">Voice is a first-class channel and needs to be treated as such. The stack is: streaming ASR with low enough latency to permit natural interruption (sub-300ms turn-taking); a synthesis layer with a small number of tuned voices for the different agents (the Lecturer voice is different from the Tutor voice; this is not a gimmick but a way of making role transitions audible); a barge-in mechanism that allows the learner to interrupt synthesis without waiting for the current utterance to finish. Providers for each layer are pluggable and the interfaces are chosen so that swapping a provider does not require agent changes.</w:t>
      </w:r>
    </w:p>
    <w:p>
      <w:pPr>
        <w:pStyle w:val="Heading2"/>
        <w:spacing w:after="140" w:before="280"/>
      </w:pPr>
      <w:r>
        <w:rPr>
          <w:b/>
          <w:bCs/>
        </w:rPr>
        <w:t xml:space="preserve">6.7  Reference technical stack</w:t>
      </w:r>
    </w:p>
    <w:p>
      <w:pPr>
        <w:spacing w:after="120" w:line="300"/>
      </w:pPr>
      <w:r>
        <w:t xml:space="preserve">The following is a concrete stack recommendation, chosen to align with tools the builder is already fluent in and to minimize the surface area of unfamiliar technology in the early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c>
          <w:tcPr>
            <w:tcW w:type="dxa" w:w="1800"/>
            <w:shd w:fill="E8E4D9" w:color="auto" w:val="clear"/>
            <w:tcMar>
              <w:top w:type="dxa" w:w="120"/>
              <w:left w:type="dxa" w:w="140"/>
              <w:bottom w:type="dxa" w:w="120"/>
              <w:right w:type="dxa" w:w="140"/>
            </w:tcMar>
          </w:tcPr>
          <w:p>
            <w:pPr>
              <w:spacing w:after="0" w:line="280"/>
            </w:pPr>
            <w:r>
              <w:rPr>
                <w:b/>
                <w:bCs/>
                <w:sz w:val="20"/>
                <w:szCs w:val="20"/>
              </w:rPr>
              <w:t xml:space="preserve">Layer</w:t>
            </w:r>
          </w:p>
        </w:tc>
        <w:tc>
          <w:tcPr>
            <w:tcW w:type="dxa" w:w="3000"/>
            <w:shd w:fill="E8E4D9" w:color="auto" w:val="clear"/>
            <w:tcMar>
              <w:top w:type="dxa" w:w="120"/>
              <w:left w:type="dxa" w:w="140"/>
              <w:bottom w:type="dxa" w:w="120"/>
              <w:right w:type="dxa" w:w="140"/>
            </w:tcMar>
          </w:tcPr>
          <w:p>
            <w:pPr>
              <w:spacing w:after="0" w:line="280"/>
            </w:pPr>
            <w:r>
              <w:rPr>
                <w:b/>
                <w:bCs/>
                <w:sz w:val="20"/>
                <w:szCs w:val="20"/>
              </w:rPr>
              <w:t xml:space="preserve">Choice</w:t>
            </w:r>
          </w:p>
        </w:tc>
        <w:tc>
          <w:tcPr>
            <w:tcW w:type="dxa" w:w="4200"/>
            <w:shd w:fill="E8E4D9" w:color="auto" w:val="clear"/>
            <w:tcMar>
              <w:top w:type="dxa" w:w="120"/>
              <w:left w:type="dxa" w:w="140"/>
              <w:bottom w:type="dxa" w:w="120"/>
              <w:right w:type="dxa" w:w="140"/>
            </w:tcMar>
          </w:tcPr>
          <w:p>
            <w:pPr>
              <w:spacing w:after="0" w:line="280"/>
            </w:pPr>
            <w:r>
              <w:rPr>
                <w:b/>
                <w:bCs/>
                <w:sz w:val="20"/>
                <w:szCs w:val="20"/>
              </w:rPr>
              <w:t xml:space="preserve">Rationale</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Frontend</w:t>
            </w:r>
          </w:p>
        </w:tc>
        <w:tc>
          <w:tcPr>
            <w:tcW w:type="dxa" w:w="3000"/>
            <w:tcMar>
              <w:top w:type="dxa" w:w="120"/>
              <w:left w:type="dxa" w:w="140"/>
              <w:bottom w:type="dxa" w:w="120"/>
              <w:right w:type="dxa" w:w="140"/>
            </w:tcMar>
          </w:tcPr>
          <w:p>
            <w:pPr>
              <w:spacing w:after="0" w:line="280"/>
            </w:pPr>
            <w:r>
              <w:rPr>
                <w:b w:val="false"/>
                <w:bCs w:val="false"/>
                <w:sz w:val="20"/>
                <w:szCs w:val="20"/>
              </w:rPr>
              <w:t xml:space="preserve">Next.js + React + TypeScript</w:t>
            </w:r>
          </w:p>
        </w:tc>
        <w:tc>
          <w:tcPr>
            <w:tcW w:type="dxa" w:w="4200"/>
            <w:tcMar>
              <w:top w:type="dxa" w:w="120"/>
              <w:left w:type="dxa" w:w="140"/>
              <w:bottom w:type="dxa" w:w="120"/>
              <w:right w:type="dxa" w:w="140"/>
            </w:tcMar>
          </w:tcPr>
          <w:p>
            <w:pPr>
              <w:spacing w:after="0" w:line="280"/>
            </w:pPr>
            <w:r>
              <w:rPr>
                <w:b w:val="false"/>
                <w:bCs w:val="false"/>
                <w:sz w:val="20"/>
                <w:szCs w:val="20"/>
              </w:rPr>
              <w:t xml:space="preserve">Fluency; server components help with streaming</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Styling</w:t>
            </w:r>
          </w:p>
        </w:tc>
        <w:tc>
          <w:tcPr>
            <w:tcW w:type="dxa" w:w="3000"/>
            <w:tcMar>
              <w:top w:type="dxa" w:w="120"/>
              <w:left w:type="dxa" w:w="140"/>
              <w:bottom w:type="dxa" w:w="120"/>
              <w:right w:type="dxa" w:w="140"/>
            </w:tcMar>
          </w:tcPr>
          <w:p>
            <w:pPr>
              <w:spacing w:after="0" w:line="280"/>
            </w:pPr>
            <w:r>
              <w:rPr>
                <w:b w:val="false"/>
                <w:bCs w:val="false"/>
                <w:sz w:val="20"/>
                <w:szCs w:val="20"/>
              </w:rPr>
              <w:t xml:space="preserve">Tailwind + a designed component layer</w:t>
            </w:r>
          </w:p>
        </w:tc>
        <w:tc>
          <w:tcPr>
            <w:tcW w:type="dxa" w:w="4200"/>
            <w:tcMar>
              <w:top w:type="dxa" w:w="120"/>
              <w:left w:type="dxa" w:w="140"/>
              <w:bottom w:type="dxa" w:w="120"/>
              <w:right w:type="dxa" w:w="140"/>
            </w:tcMar>
          </w:tcPr>
          <w:p>
            <w:pPr>
              <w:spacing w:after="0" w:line="280"/>
            </w:pPr>
            <w:r>
              <w:rPr>
                <w:b w:val="false"/>
                <w:bCs w:val="false"/>
                <w:sz w:val="20"/>
                <w:szCs w:val="20"/>
              </w:rPr>
              <w:t xml:space="preserve">Fast iteration without a design system fight</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Backend</w:t>
            </w:r>
          </w:p>
        </w:tc>
        <w:tc>
          <w:tcPr>
            <w:tcW w:type="dxa" w:w="3000"/>
            <w:tcMar>
              <w:top w:type="dxa" w:w="120"/>
              <w:left w:type="dxa" w:w="140"/>
              <w:bottom w:type="dxa" w:w="120"/>
              <w:right w:type="dxa" w:w="140"/>
            </w:tcMar>
          </w:tcPr>
          <w:p>
            <w:pPr>
              <w:spacing w:after="0" w:line="280"/>
            </w:pPr>
            <w:r>
              <w:rPr>
                <w:b w:val="false"/>
                <w:bCs w:val="false"/>
                <w:sz w:val="20"/>
                <w:szCs w:val="20"/>
              </w:rPr>
              <w:t xml:space="preserve">FastAPI (Python) for agent orchestration; Node for the voice edge</w:t>
            </w:r>
          </w:p>
        </w:tc>
        <w:tc>
          <w:tcPr>
            <w:tcW w:type="dxa" w:w="4200"/>
            <w:tcMar>
              <w:top w:type="dxa" w:w="120"/>
              <w:left w:type="dxa" w:w="140"/>
              <w:bottom w:type="dxa" w:w="120"/>
              <w:right w:type="dxa" w:w="140"/>
            </w:tcMar>
          </w:tcPr>
          <w:p>
            <w:pPr>
              <w:spacing w:after="0" w:line="280"/>
            </w:pPr>
            <w:r>
              <w:rPr>
                <w:b w:val="false"/>
                <w:bCs w:val="false"/>
                <w:sz w:val="20"/>
                <w:szCs w:val="20"/>
              </w:rPr>
              <w:t xml:space="preserve">Python for LLM tooling maturity; Node for lower-latency edges</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Agent runtime</w:t>
            </w:r>
          </w:p>
        </w:tc>
        <w:tc>
          <w:tcPr>
            <w:tcW w:type="dxa" w:w="3000"/>
            <w:tcMar>
              <w:top w:type="dxa" w:w="120"/>
              <w:left w:type="dxa" w:w="140"/>
              <w:bottom w:type="dxa" w:w="120"/>
              <w:right w:type="dxa" w:w="140"/>
            </w:tcMar>
          </w:tcPr>
          <w:p>
            <w:pPr>
              <w:spacing w:after="0" w:line="280"/>
            </w:pPr>
            <w:r>
              <w:rPr>
                <w:b w:val="false"/>
                <w:bCs w:val="false"/>
                <w:sz w:val="20"/>
                <w:szCs w:val="20"/>
              </w:rPr>
              <w:t xml:space="preserve">Custom orchestrator on top of the Claude API + secondary providers</w:t>
            </w:r>
          </w:p>
        </w:tc>
        <w:tc>
          <w:tcPr>
            <w:tcW w:type="dxa" w:w="4200"/>
            <w:tcMar>
              <w:top w:type="dxa" w:w="120"/>
              <w:left w:type="dxa" w:w="140"/>
              <w:bottom w:type="dxa" w:w="120"/>
              <w:right w:type="dxa" w:w="140"/>
            </w:tcMar>
          </w:tcPr>
          <w:p>
            <w:pPr>
              <w:spacing w:after="0" w:line="280"/>
            </w:pPr>
            <w:r>
              <w:rPr>
                <w:b w:val="false"/>
                <w:bCs w:val="false"/>
                <w:sz w:val="20"/>
                <w:szCs w:val="20"/>
              </w:rPr>
              <w:t xml:space="preserve">ARIA’s harness patterns transfer directly</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Vector store</w:t>
            </w:r>
          </w:p>
        </w:tc>
        <w:tc>
          <w:tcPr>
            <w:tcW w:type="dxa" w:w="3000"/>
            <w:tcMar>
              <w:top w:type="dxa" w:w="120"/>
              <w:left w:type="dxa" w:w="140"/>
              <w:bottom w:type="dxa" w:w="120"/>
              <w:right w:type="dxa" w:w="140"/>
            </w:tcMar>
          </w:tcPr>
          <w:p>
            <w:pPr>
              <w:spacing w:after="0" w:line="280"/>
            </w:pPr>
            <w:r>
              <w:rPr>
                <w:b w:val="false"/>
                <w:bCs w:val="false"/>
                <w:sz w:val="20"/>
                <w:szCs w:val="20"/>
              </w:rPr>
              <w:t xml:space="preserve">Chroma for MVP; Weaviate or pgvector as it grows</w:t>
            </w:r>
          </w:p>
        </w:tc>
        <w:tc>
          <w:tcPr>
            <w:tcW w:type="dxa" w:w="4200"/>
            <w:tcMar>
              <w:top w:type="dxa" w:w="120"/>
              <w:left w:type="dxa" w:w="140"/>
              <w:bottom w:type="dxa" w:w="120"/>
              <w:right w:type="dxa" w:w="140"/>
            </w:tcMar>
          </w:tcPr>
          <w:p>
            <w:pPr>
              <w:spacing w:after="0" w:line="280"/>
            </w:pPr>
            <w:r>
              <w:rPr>
                <w:b w:val="false"/>
                <w:bCs w:val="false"/>
                <w:sz w:val="20"/>
                <w:szCs w:val="20"/>
              </w:rPr>
              <w:t xml:space="preserve">Chroma is fast to stand up; migrate under pressure</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Structured store</w:t>
            </w:r>
          </w:p>
        </w:tc>
        <w:tc>
          <w:tcPr>
            <w:tcW w:type="dxa" w:w="3000"/>
            <w:tcMar>
              <w:top w:type="dxa" w:w="120"/>
              <w:left w:type="dxa" w:w="140"/>
              <w:bottom w:type="dxa" w:w="120"/>
              <w:right w:type="dxa" w:w="140"/>
            </w:tcMar>
          </w:tcPr>
          <w:p>
            <w:pPr>
              <w:spacing w:after="0" w:line="280"/>
            </w:pPr>
            <w:r>
              <w:rPr>
                <w:b w:val="false"/>
                <w:bCs w:val="false"/>
                <w:sz w:val="20"/>
                <w:szCs w:val="20"/>
              </w:rPr>
              <w:t xml:space="preserve">Postgres</w:t>
            </w:r>
          </w:p>
        </w:tc>
        <w:tc>
          <w:tcPr>
            <w:tcW w:type="dxa" w:w="4200"/>
            <w:tcMar>
              <w:top w:type="dxa" w:w="120"/>
              <w:left w:type="dxa" w:w="140"/>
              <w:bottom w:type="dxa" w:w="120"/>
              <w:right w:type="dxa" w:w="140"/>
            </w:tcMar>
          </w:tcPr>
          <w:p>
            <w:pPr>
              <w:spacing w:after="0" w:line="280"/>
            </w:pPr>
            <w:r>
              <w:rPr>
                <w:b w:val="false"/>
                <w:bCs w:val="false"/>
                <w:sz w:val="20"/>
                <w:szCs w:val="20"/>
              </w:rPr>
              <w:t xml:space="preserve">Concept graph, mastery model, journal, users</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Object store</w:t>
            </w:r>
          </w:p>
        </w:tc>
        <w:tc>
          <w:tcPr>
            <w:tcW w:type="dxa" w:w="3000"/>
            <w:tcMar>
              <w:top w:type="dxa" w:w="120"/>
              <w:left w:type="dxa" w:w="140"/>
              <w:bottom w:type="dxa" w:w="120"/>
              <w:right w:type="dxa" w:w="140"/>
            </w:tcMar>
          </w:tcPr>
          <w:p>
            <w:pPr>
              <w:spacing w:after="0" w:line="280"/>
            </w:pPr>
            <w:r>
              <w:rPr>
                <w:b w:val="false"/>
                <w:bCs w:val="false"/>
                <w:sz w:val="20"/>
                <w:szCs w:val="20"/>
              </w:rPr>
              <w:t xml:space="preserve">S3 or R2</w:t>
            </w:r>
          </w:p>
        </w:tc>
        <w:tc>
          <w:tcPr>
            <w:tcW w:type="dxa" w:w="4200"/>
            <w:tcMar>
              <w:top w:type="dxa" w:w="120"/>
              <w:left w:type="dxa" w:w="140"/>
              <w:bottom w:type="dxa" w:w="120"/>
              <w:right w:type="dxa" w:w="140"/>
            </w:tcMar>
          </w:tcPr>
          <w:p>
            <w:pPr>
              <w:spacing w:after="0" w:line="280"/>
            </w:pPr>
            <w:r>
              <w:rPr>
                <w:b w:val="false"/>
                <w:bCs w:val="false"/>
                <w:sz w:val="20"/>
                <w:szCs w:val="20"/>
              </w:rPr>
              <w:t xml:space="preserve">Corpus, generated visuals, session recordings</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Voice</w:t>
            </w:r>
          </w:p>
        </w:tc>
        <w:tc>
          <w:tcPr>
            <w:tcW w:type="dxa" w:w="3000"/>
            <w:tcMar>
              <w:top w:type="dxa" w:w="120"/>
              <w:left w:type="dxa" w:w="140"/>
              <w:bottom w:type="dxa" w:w="120"/>
              <w:right w:type="dxa" w:w="140"/>
            </w:tcMar>
          </w:tcPr>
          <w:p>
            <w:pPr>
              <w:spacing w:after="0" w:line="280"/>
            </w:pPr>
            <w:r>
              <w:rPr>
                <w:b w:val="false"/>
                <w:bCs w:val="false"/>
                <w:sz w:val="20"/>
                <w:szCs w:val="20"/>
              </w:rPr>
              <w:t xml:space="preserve">Deepgram (ASR) + ElevenLabs (TTS) as initial pair</w:t>
            </w:r>
          </w:p>
        </w:tc>
        <w:tc>
          <w:tcPr>
            <w:tcW w:type="dxa" w:w="4200"/>
            <w:tcMar>
              <w:top w:type="dxa" w:w="120"/>
              <w:left w:type="dxa" w:w="140"/>
              <w:bottom w:type="dxa" w:w="120"/>
              <w:right w:type="dxa" w:w="140"/>
            </w:tcMar>
          </w:tcPr>
          <w:p>
            <w:pPr>
              <w:spacing w:after="0" w:line="280"/>
            </w:pPr>
            <w:r>
              <w:rPr>
                <w:b w:val="false"/>
                <w:bCs w:val="false"/>
                <w:sz w:val="20"/>
                <w:szCs w:val="20"/>
              </w:rPr>
              <w:t xml:space="preserve">Latency and quality both acceptable; both pluggable</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Execution</w:t>
            </w:r>
          </w:p>
        </w:tc>
        <w:tc>
          <w:tcPr>
            <w:tcW w:type="dxa" w:w="3000"/>
            <w:tcMar>
              <w:top w:type="dxa" w:w="120"/>
              <w:left w:type="dxa" w:w="140"/>
              <w:bottom w:type="dxa" w:w="120"/>
              <w:right w:type="dxa" w:w="140"/>
            </w:tcMar>
          </w:tcPr>
          <w:p>
            <w:pPr>
              <w:spacing w:after="0" w:line="280"/>
            </w:pPr>
            <w:r>
              <w:rPr>
                <w:b w:val="false"/>
                <w:bCs w:val="false"/>
                <w:sz w:val="20"/>
                <w:szCs w:val="20"/>
              </w:rPr>
              <w:t xml:space="preserve">Firecracker microVMs or containerd sandboxes</w:t>
            </w:r>
          </w:p>
        </w:tc>
        <w:tc>
          <w:tcPr>
            <w:tcW w:type="dxa" w:w="4200"/>
            <w:tcMar>
              <w:top w:type="dxa" w:w="120"/>
              <w:left w:type="dxa" w:w="140"/>
              <w:bottom w:type="dxa" w:w="120"/>
              <w:right w:type="dxa" w:w="140"/>
            </w:tcMar>
          </w:tcPr>
          <w:p>
            <w:pPr>
              <w:spacing w:after="0" w:line="280"/>
            </w:pPr>
            <w:r>
              <w:rPr>
                <w:b w:val="false"/>
                <w:bCs w:val="false"/>
                <w:sz w:val="20"/>
                <w:szCs w:val="20"/>
              </w:rPr>
              <w:t xml:space="preserve">Fast startup, tight isolation for learner code</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Observability</w:t>
            </w:r>
          </w:p>
        </w:tc>
        <w:tc>
          <w:tcPr>
            <w:tcW w:type="dxa" w:w="3000"/>
            <w:tcMar>
              <w:top w:type="dxa" w:w="120"/>
              <w:left w:type="dxa" w:w="140"/>
              <w:bottom w:type="dxa" w:w="120"/>
              <w:right w:type="dxa" w:w="140"/>
            </w:tcMar>
          </w:tcPr>
          <w:p>
            <w:pPr>
              <w:spacing w:after="0" w:line="280"/>
            </w:pPr>
            <w:r>
              <w:rPr>
                <w:b w:val="false"/>
                <w:bCs w:val="false"/>
                <w:sz w:val="20"/>
                <w:szCs w:val="20"/>
              </w:rPr>
              <w:t xml:space="preserve">OpenTelemetry + a dedicated LLM observability tool (Langfuse or similar)</w:t>
            </w:r>
          </w:p>
        </w:tc>
        <w:tc>
          <w:tcPr>
            <w:tcW w:type="dxa" w:w="4200"/>
            <w:tcMar>
              <w:top w:type="dxa" w:w="120"/>
              <w:left w:type="dxa" w:w="140"/>
              <w:bottom w:type="dxa" w:w="120"/>
              <w:right w:type="dxa" w:w="140"/>
            </w:tcMar>
          </w:tcPr>
          <w:p>
            <w:pPr>
              <w:spacing w:after="0" w:line="280"/>
            </w:pPr>
            <w:r>
              <w:rPr>
                <w:b w:val="false"/>
                <w:bCs w:val="false"/>
                <w:sz w:val="20"/>
                <w:szCs w:val="20"/>
              </w:rPr>
              <w:t xml:space="preserve">Every agent call needs to be traceable end-to-end</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Auth</w:t>
            </w:r>
          </w:p>
        </w:tc>
        <w:tc>
          <w:tcPr>
            <w:tcW w:type="dxa" w:w="3000"/>
            <w:tcMar>
              <w:top w:type="dxa" w:w="120"/>
              <w:left w:type="dxa" w:w="140"/>
              <w:bottom w:type="dxa" w:w="120"/>
              <w:right w:type="dxa" w:w="140"/>
            </w:tcMar>
          </w:tcPr>
          <w:p>
            <w:pPr>
              <w:spacing w:after="0" w:line="280"/>
            </w:pPr>
            <w:r>
              <w:rPr>
                <w:b w:val="false"/>
                <w:bCs w:val="false"/>
                <w:sz w:val="20"/>
                <w:szCs w:val="20"/>
              </w:rPr>
              <w:t xml:space="preserve">Clerk or Auth.js</w:t>
            </w:r>
          </w:p>
        </w:tc>
        <w:tc>
          <w:tcPr>
            <w:tcW w:type="dxa" w:w="4200"/>
            <w:tcMar>
              <w:top w:type="dxa" w:w="120"/>
              <w:left w:type="dxa" w:w="140"/>
              <w:bottom w:type="dxa" w:w="120"/>
              <w:right w:type="dxa" w:w="140"/>
            </w:tcMar>
          </w:tcPr>
          <w:p>
            <w:pPr>
              <w:spacing w:after="0" w:line="280"/>
            </w:pPr>
            <w:r>
              <w:rPr>
                <w:b w:val="false"/>
                <w:bCs w:val="false"/>
                <w:sz w:val="20"/>
                <w:szCs w:val="20"/>
              </w:rPr>
              <w:t xml:space="preserve">Do not build this</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Payments</w:t>
            </w:r>
          </w:p>
        </w:tc>
        <w:tc>
          <w:tcPr>
            <w:tcW w:type="dxa" w:w="3000"/>
            <w:tcMar>
              <w:top w:type="dxa" w:w="120"/>
              <w:left w:type="dxa" w:w="140"/>
              <w:bottom w:type="dxa" w:w="120"/>
              <w:right w:type="dxa" w:w="140"/>
            </w:tcMar>
          </w:tcPr>
          <w:p>
            <w:pPr>
              <w:spacing w:after="0" w:line="280"/>
            </w:pPr>
            <w:r>
              <w:rPr>
                <w:b w:val="false"/>
                <w:bCs w:val="false"/>
                <w:sz w:val="20"/>
                <w:szCs w:val="20"/>
              </w:rPr>
              <w:t xml:space="preserve">Stripe</w:t>
            </w:r>
          </w:p>
        </w:tc>
        <w:tc>
          <w:tcPr>
            <w:tcW w:type="dxa" w:w="4200"/>
            <w:tcMar>
              <w:top w:type="dxa" w:w="120"/>
              <w:left w:type="dxa" w:w="140"/>
              <w:bottom w:type="dxa" w:w="120"/>
              <w:right w:type="dxa" w:w="140"/>
            </w:tcMar>
          </w:tcPr>
          <w:p>
            <w:pPr>
              <w:spacing w:after="0" w:line="280"/>
            </w:pPr>
            <w:r>
              <w:rPr>
                <w:b w:val="false"/>
                <w:bCs w:val="false"/>
                <w:sz w:val="20"/>
                <w:szCs w:val="20"/>
              </w:rPr>
              <w:t xml:space="preserve">Do not build this either</w:t>
            </w:r>
          </w:p>
        </w:tc>
      </w:tr>
    </w:tbl>
    <w:p>
      <w:r>
        <w:br w:type="page"/>
      </w:r>
    </w:p>
    <w:p>
      <w:pPr>
        <w:pStyle w:val="Heading1"/>
        <w:spacing w:after="140" w:before="0"/>
      </w:pPr>
      <w:r>
        <w:rPr>
          <w:b/>
          <w:bCs/>
        </w:rPr>
        <w:t xml:space="preserve">7.  Content and curriculum strategy</w:t>
      </w:r>
    </w:p>
    <w:p>
      <w:pPr>
        <w:spacing w:after="120" w:line="300"/>
      </w:pPr>
      <w:r>
        <w:t xml:space="preserve">A system of this shape lives or dies on the quality of its curriculum graphs and its source corpus. This is the least glamorous part of the product and the part most likely to be underestimated. The strategy proposed here is to start narrow and go deep.</w:t>
      </w:r>
    </w:p>
    <w:p>
      <w:pPr>
        <w:pStyle w:val="Heading2"/>
        <w:spacing w:after="140" w:before="280"/>
      </w:pPr>
      <w:r>
        <w:rPr>
          <w:b/>
          <w:bCs/>
        </w:rPr>
        <w:t xml:space="preserve">7.1  Bootstrap subjects</w:t>
      </w:r>
    </w:p>
    <w:p>
      <w:pPr>
        <w:spacing w:after="120" w:line="300"/>
      </w:pPr>
      <w:r>
        <w:t xml:space="preserve">The MVP should ship with a single subject, chosen so that the pedagogical machinery gets a fair test and so that the corpus is manageable. Good candidates share three properties: the subject is well-taught by existing textbooks (so the corpus quality is high), correctness is machine-verifiable (so the Evaluator has traction), and there is a clear community of self-directed learners already trying to study it independently (so the demand is legible).</w:t>
      </w:r>
    </w:p>
    <w:p>
      <w:pPr>
        <w:spacing w:after="120" w:line="300"/>
      </w:pPr>
      <w:r>
        <w:t xml:space="preserve">Strong first candidates by these criteria include: introductory formal logic and proof, discrete mathematics for computer science, the theory of computation, linear algebra, or the theory of programming languages. Lambda calculus is, incidentally, a nearly ideal test subject: bounded scope, extraordinary depth, formal enough for the Evaluator to be strict, and a live personal interest of the builder that will produce honest first-user feedback.</w:t>
      </w:r>
    </w:p>
    <w:p>
      <w:pPr>
        <w:pStyle w:val="Heading2"/>
        <w:spacing w:after="140" w:before="280"/>
      </w:pPr>
      <w:r>
        <w:rPr>
          <w:b/>
          <w:bCs/>
        </w:rPr>
        <w:t xml:space="preserve">7.2  Corpus construction</w:t>
      </w:r>
    </w:p>
    <w:p>
      <w:pPr>
        <w:spacing w:after="120" w:line="300"/>
      </w:pPr>
      <w:r>
        <w:t xml:space="preserve">For each subject the corpus should include two or three canonical textbooks, a small set of foundational papers, and a curated set of problem sets from historical courses. Licensing is a live issue: for the MVP, restrict the corpus to public-domain and openly-licensed sources (of which there are excellent options for the candidate subjects above). At scale, negotiate direct licensing agreements with major textbook publishers, whose incentive to participate improves as the system’s user base grows.</w:t>
      </w:r>
    </w:p>
    <w:p>
      <w:pPr>
        <w:pStyle w:val="Heading2"/>
        <w:spacing w:after="140" w:before="280"/>
      </w:pPr>
      <w:r>
        <w:rPr>
          <w:b/>
          <w:bCs/>
        </w:rPr>
        <w:t xml:space="preserve">7.3  Concept graphs</w:t>
      </w:r>
    </w:p>
    <w:p>
      <w:pPr>
        <w:spacing w:after="120" w:line="300"/>
      </w:pPr>
      <w:r>
        <w:t xml:space="preserve">Each subject’s concept graph is built by a domain expert working with the system. This is a real cost — a mid-career expert building a well-shaped graph for a semester-length subject is a several-week engagement — but it is the artifact around which everything else runs, and it is a durable investment: the graph gets better as the system observes learner behaviour, but its rough shape is set at construction. Do not attempt to synthesize these graphs from scratch with an LLM in the early phases. That will come, but not yet.</w:t>
      </w:r>
    </w:p>
    <w:p>
      <w:pPr>
        <w:pStyle w:val="Heading2"/>
        <w:spacing w:after="140" w:before="280"/>
      </w:pPr>
      <w:r>
        <w:rPr>
          <w:b/>
          <w:bCs/>
        </w:rPr>
        <w:t xml:space="preserve">7.4  Subject-specific tuning</w:t>
      </w:r>
    </w:p>
    <w:p>
      <w:pPr>
        <w:spacing w:after="120" w:line="300"/>
      </w:pPr>
      <w:r>
        <w:t xml:space="preserve">Later — not in the MVP — subject-specific fine-tuning becomes a competitive advantage. A Lecturer or Tutor model tuned on high-quality instructional dialogues in a specific subject will outperform a general-purpose frontier model at that subject, at a fraction of the inference cost. This is the point at which the system’s data flywheel (its collected corpus of successful tutorial interactions) becomes a durable moat.</w:t>
      </w:r>
    </w:p>
    <w:p>
      <w:r>
        <w:br w:type="page"/>
      </w:r>
    </w:p>
    <w:p>
      <w:pPr>
        <w:pStyle w:val="Heading1"/>
        <w:spacing w:after="140" w:before="0"/>
      </w:pPr>
      <w:r>
        <w:rPr>
          <w:b/>
          <w:bCs/>
        </w:rPr>
        <w:t xml:space="preserve">8.  Assessment and credentialing</w:t>
      </w:r>
    </w:p>
    <w:p>
      <w:pPr>
        <w:spacing w:after="120" w:line="300"/>
      </w:pPr>
      <w:r>
        <w:t xml:space="preserve">The system’s core promise is that learners actually learn the subject. It needs to be able to demonstrate this — to the learner themselves, and eventually to third parties who care whether the learning happened.</w:t>
      </w:r>
    </w:p>
    <w:p>
      <w:pPr>
        <w:pStyle w:val="Heading2"/>
        <w:spacing w:after="140" w:before="280"/>
      </w:pPr>
      <w:r>
        <w:rPr>
          <w:b/>
          <w:bCs/>
        </w:rPr>
        <w:t xml:space="preserve">8.1  Formative assessment</w:t>
      </w:r>
    </w:p>
    <w:p>
      <w:pPr>
        <w:spacing w:after="120" w:line="300"/>
      </w:pPr>
      <w:r>
        <w:t xml:space="preserve">The ordinary mode of assessment is continuous and formative. Every interaction updates the mastery model, and the mastery model is legible to the learner: they can see, for any concept in the subject, an estimate of their mastery and the evidence that supports it. This is a serious accountability mechanism. A learner cannot fool themselves about their progress when the evidence sits in front of them.</w:t>
      </w:r>
    </w:p>
    <w:p>
      <w:pPr>
        <w:pStyle w:val="Heading2"/>
        <w:spacing w:after="140" w:before="280"/>
      </w:pPr>
      <w:r>
        <w:rPr>
          <w:b/>
          <w:bCs/>
        </w:rPr>
        <w:t xml:space="preserve">8.2  Summative assessment</w:t>
      </w:r>
    </w:p>
    <w:p>
      <w:pPr>
        <w:spacing w:after="120" w:line="300"/>
      </w:pPr>
      <w:r>
        <w:t xml:space="preserve">Summative assessment is separate. When the learner is ready — or when they wish to test themselves against a fixed standard — they can enter an examination mode: a proctored session in a locked-down environment, working on a novel problem set generated for the occasion, with results reported both as a score and as a set of demonstrated competencies. This mode is optional, priced separately, and the results are portable.</w:t>
      </w:r>
    </w:p>
    <w:p>
      <w:pPr>
        <w:pStyle w:val="Heading2"/>
        <w:spacing w:after="140" w:before="280"/>
      </w:pPr>
      <w:r>
        <w:rPr>
          <w:b/>
          <w:bCs/>
        </w:rPr>
        <w:t xml:space="preserve">8.3  Portfolio and provenance</w:t>
      </w:r>
    </w:p>
    <w:p>
      <w:pPr>
        <w:spacing w:after="120" w:line="300"/>
      </w:pPr>
      <w:r>
        <w:t xml:space="preserve">Alongside scores, the system produces a portfolio: the actual work the learner has done during study — the proofs they have written, the programs they have built, the arguments they have constructed. This portfolio is provenance-signed by the system, so that a third party evaluating it can trust that it was produced by the learner in the course of their study, not generated after the fact. For technical subjects, this portfolio is more informative than a score: it shows what the learner actually did.</w:t>
      </w:r>
    </w:p>
    <w:p>
      <w:pPr>
        <w:pStyle w:val="Heading2"/>
        <w:spacing w:after="140" w:before="280"/>
      </w:pPr>
      <w:r>
        <w:rPr>
          <w:b/>
          <w:bCs/>
        </w:rPr>
        <w:t xml:space="preserve">8.4  The signaling problem</w:t>
      </w:r>
    </w:p>
    <w:p>
      <w:pPr>
        <w:spacing w:after="120" w:line="300"/>
      </w:pPr>
      <w:r>
        <w:t xml:space="preserve">Credentials are only useful if someone trusts them. The path to trust is: start with subjects where the market already accepts demonstrated ability over accreditation (software engineering is the archetype), publish detailed evaluations of the system’s learners against standard benchmarks (Putnam problems, LeetCode contests, formalization competitions), and build institutional partnerships in which a university course accepts the system’s certification for credit. Do not attempt to compete with degree accreditation directly; compete with it obliquely, by producing learners whose demonstrated ability speaks for itself.</w:t>
      </w:r>
    </w:p>
    <w:p>
      <w:r>
        <w:br w:type="page"/>
      </w:r>
    </w:p>
    <w:p>
      <w:pPr>
        <w:pStyle w:val="Heading1"/>
        <w:spacing w:after="140" w:before="0"/>
      </w:pPr>
      <w:r>
        <w:rPr>
          <w:b/>
          <w:bCs/>
        </w:rPr>
        <w:t xml:space="preserve">9.  Interface and aesthetic</w:t>
      </w:r>
    </w:p>
    <w:p>
      <w:pPr>
        <w:spacing w:after="120" w:line="300"/>
      </w:pPr>
      <w:r>
        <w:t xml:space="preserve">The interface should feel like a well-kept study, not an app. The aesthetic proposition is that serious work deserves serious surroundings; that the visual language of Duolingo — bright, animated, gamified — is optimized for a different problem than this one; and that a learner opening the app to spend two hours on functional analysis should be met with something that respects the gravity of what they are doing.</w:t>
      </w:r>
    </w:p>
    <w:p>
      <w:pPr>
        <w:pStyle w:val="Heading2"/>
        <w:spacing w:after="140" w:before="280"/>
      </w:pPr>
      <w:r>
        <w:rPr>
          <w:b/>
          <w:bCs/>
        </w:rPr>
        <w:t xml:space="preserve">9.1  Aesthetic direction</w:t>
      </w:r>
    </w:p>
    <w:p>
      <w:pPr>
        <w:spacing w:after="120" w:line="300"/>
      </w:pPr>
      <w:r>
        <w:t xml:space="preserve">The reference points are academic more than they are consumer software: the visual quiet of a good publisher’s book design, the typographic care of a well-set journal, the spatial calm of a library reading room. Serif type for long-form reading; a restrained neutral palette (deep ink, warm off-white, one accent used sparingly); generous line spacing and comfortable measure; motion used only where it carries meaning. This is a design system in the tradition of Old Style academic publishing, not one in the tradition of contemporary SaaS.</w:t>
      </w:r>
    </w:p>
    <w:p>
      <w:pPr>
        <w:pStyle w:val="Heading2"/>
        <w:spacing w:after="140" w:before="280"/>
      </w:pPr>
      <w:r>
        <w:rPr>
          <w:b/>
          <w:bCs/>
        </w:rPr>
        <w:t xml:space="preserve">9.2  Core surfaces</w:t>
      </w:r>
    </w:p>
    <w:p>
      <w:pPr>
        <w:pStyle w:val="ListParagraph"/>
        <w:numPr>
          <w:ilvl w:val="0"/>
          <w:numId w:val="2"/>
        </w:numPr>
        <w:spacing w:after="80" w:line="290"/>
      </w:pPr>
      <w:r>
        <w:rPr>
          <w:b/>
          <w:bCs/>
        </w:rPr>
        <w:t xml:space="preserve">The desk. </w:t>
      </w:r>
      <w:r>
        <w:t xml:space="preserve">The default surface when the learner opens the app. Shows the current position in the syllabus, the review queue, the open items in the confusion journal, and a single prominent affordance to begin the day’s session.</w:t>
      </w:r>
    </w:p>
    <w:p>
      <w:pPr>
        <w:pStyle w:val="ListParagraph"/>
        <w:numPr>
          <w:ilvl w:val="0"/>
          <w:numId w:val="2"/>
        </w:numPr>
        <w:spacing w:after="80" w:line="290"/>
      </w:pPr>
      <w:r>
        <w:rPr>
          <w:b/>
          <w:bCs/>
        </w:rPr>
        <w:t xml:space="preserve">The classroom. </w:t>
      </w:r>
      <w:r>
        <w:t xml:space="preserve">The lecture and tutorial surface. Central content area — the transcript, the visuals, the whiteboard — with a persistent side panel for the concept graph and a discreet control strip for the interaction primitives.</w:t>
      </w:r>
    </w:p>
    <w:p>
      <w:pPr>
        <w:pStyle w:val="ListParagraph"/>
        <w:numPr>
          <w:ilvl w:val="0"/>
          <w:numId w:val="2"/>
        </w:numPr>
        <w:spacing w:after="80" w:line="290"/>
      </w:pPr>
      <w:r>
        <w:rPr>
          <w:b/>
          <w:bCs/>
        </w:rPr>
        <w:t xml:space="preserve">The bench. </w:t>
      </w:r>
      <w:r>
        <w:t xml:space="preserve">The lab surface. Whatever execution environment the subject requires, with the Evaluator’s feedback in a companion pane.</w:t>
      </w:r>
    </w:p>
    <w:p>
      <w:pPr>
        <w:pStyle w:val="ListParagraph"/>
        <w:numPr>
          <w:ilvl w:val="0"/>
          <w:numId w:val="2"/>
        </w:numPr>
        <w:spacing w:after="80" w:line="290"/>
      </w:pPr>
      <w:r>
        <w:rPr>
          <w:b/>
          <w:bCs/>
        </w:rPr>
        <w:t xml:space="preserve">The journal. </w:t>
      </w:r>
      <w:r>
        <w:t xml:space="preserve">The confusion journal, browsable and searchable, with each entry linked to the session in which it arose and to any subsequent work that addressed it.</w:t>
      </w:r>
    </w:p>
    <w:p>
      <w:pPr>
        <w:pStyle w:val="ListParagraph"/>
        <w:numPr>
          <w:ilvl w:val="0"/>
          <w:numId w:val="2"/>
        </w:numPr>
        <w:spacing w:after="80" w:line="290"/>
      </w:pPr>
      <w:r>
        <w:rPr>
          <w:b/>
          <w:bCs/>
        </w:rPr>
        <w:t xml:space="preserve">The map. </w:t>
      </w:r>
      <w:r>
        <w:t xml:space="preserve">The concept graph, rendered as a navigable map with mastery visualized by color and load-bearing nodes visibly weighted.</w:t>
      </w:r>
    </w:p>
    <w:p>
      <w:pPr>
        <w:pStyle w:val="Heading2"/>
        <w:spacing w:after="140" w:before="280"/>
      </w:pPr>
      <w:r>
        <w:rPr>
          <w:b/>
          <w:bCs/>
        </w:rPr>
        <w:t xml:space="preserve">9.3  Interaction language</w:t>
      </w:r>
    </w:p>
    <w:p>
      <w:pPr>
        <w:spacing w:after="120" w:line="300"/>
      </w:pPr>
      <w:r>
        <w:t xml:space="preserve">The vocabulary the interface uses matters. The system uses "session," not "lesson"; "the tutor" or "the lecturer," not "the AI"; "you asked," not "your query"; "the syllabus," not "the learning path." This is not affectation. Naming things in the register of serious study rather than the register of consumer software conditions the learner to bring the seriousness with them.</w:t>
      </w:r>
    </w:p>
    <w:p>
      <w:r>
        <w:br w:type="page"/>
      </w:r>
    </w:p>
    <w:p>
      <w:pPr>
        <w:pStyle w:val="Heading1"/>
        <w:spacing w:after="140" w:before="0"/>
      </w:pPr>
      <w:r>
        <w:rPr>
          <w:b/>
          <w:bCs/>
        </w:rPr>
        <w:t xml:space="preserve">10.  Roadmap</w:t>
      </w:r>
    </w:p>
    <w:p>
      <w:pPr>
        <w:spacing w:after="120" w:line="300"/>
      </w:pPr>
      <w:r>
        <w:t xml:space="preserve">The roadmap is structured to prove the pedagogical thesis before scaling the surrounding infrastructure. The order is: prove the tutorial works, prove the three modes cohere, prove the system produces measurable learning, then scale.</w:t>
      </w:r>
    </w:p>
    <w:p>
      <w:pPr>
        <w:pStyle w:val="Heading2"/>
        <w:spacing w:after="140" w:before="280"/>
      </w:pPr>
      <w:r>
        <w:rPr>
          <w:b/>
          <w:bCs/>
        </w:rPr>
        <w:t xml:space="preserve">10.1  Phase 1 — MVP (months 0–3)</w:t>
      </w:r>
    </w:p>
    <w:p>
      <w:pPr>
        <w:spacing w:after="120" w:line="300"/>
      </w:pPr>
      <w:r>
        <w:t xml:space="preserve">One subject end-to-end. Lambda calculus is a strong candidate given the builder’s current study and the fit to formal verification. Ship the lecture engine, the tutorial mode, the lab (with a small-step reducer and a proof assistant integration), the confusion journal, and a basic mastery model. Skip: voice (text-only is fine), the concept graph as a visible surface (keep it internal), spaced repetition, multi-source library, credentialing. Recruit twenty motivated learners and study their sessions in depth.</w:t>
      </w:r>
    </w:p>
    <w:p>
      <w:pPr>
        <w:pStyle w:val="Heading2"/>
        <w:spacing w:after="140" w:before="280"/>
      </w:pPr>
      <w:r>
        <w:rPr>
          <w:b/>
          <w:bCs/>
        </w:rPr>
        <w:t xml:space="preserve">10.2  Phase 2 — V1 (months 3–9)</w:t>
      </w:r>
    </w:p>
    <w:p>
      <w:pPr>
        <w:spacing w:after="120" w:line="300"/>
      </w:pPr>
      <w:r>
        <w:t xml:space="preserve">Add voice. Add the concept graph as a learner-facing surface. Add spaced repetition and the review mode. Expand to three subjects (add one mathematics subject, one computer science subject beyond lambda calculus). Ship a public launch with a paid tier. Target: several hundred paying learners, measurable retention and demonstrated learning outcomes worth publishing.</w:t>
      </w:r>
    </w:p>
    <w:p>
      <w:pPr>
        <w:pStyle w:val="Heading2"/>
        <w:spacing w:after="140" w:before="280"/>
      </w:pPr>
      <w:r>
        <w:rPr>
          <w:b/>
          <w:bCs/>
        </w:rPr>
        <w:t xml:space="preserve">10.3  Phase 3 — V2 (months 9–18)</w:t>
      </w:r>
    </w:p>
    <w:p>
      <w:pPr>
        <w:spacing w:after="120" w:line="300"/>
      </w:pPr>
      <w:r>
        <w:t xml:space="preserve">Add summative assessment and the first credentialing offer. Expand to ten subjects across mathematics, computer science, physics, and philosophy. Institutional pilot: one university course using the system as a supplement, with structured evaluation of learning outcomes against the control group. Begin work on subject-specific fine-tuning for the two most-used subjects.</w:t>
      </w:r>
    </w:p>
    <w:p>
      <w:pPr>
        <w:pStyle w:val="Heading2"/>
        <w:spacing w:after="140" w:before="280"/>
      </w:pPr>
      <w:r>
        <w:rPr>
          <w:b/>
          <w:bCs/>
        </w:rPr>
        <w:t xml:space="preserve">10.4  Phase 4 — V3 (months 18+)</w:t>
      </w:r>
    </w:p>
    <w:p>
      <w:pPr>
        <w:spacing w:after="120" w:line="300"/>
      </w:pPr>
      <w:r>
        <w:t xml:space="preserve">Institutional partnerships mature. Credentialing has enough uptake and demonstrated rigor to matter in downstream markets. Fine-tuned Lecturer and Tutor models are in production for high-traffic subjects. The catalogue is broad enough to cover the first two years of an undergraduate curriculum in the sciences.</w:t>
      </w:r>
    </w:p>
    <w:p>
      <w:r>
        <w:br w:type="page"/>
      </w:r>
    </w:p>
    <w:p>
      <w:pPr>
        <w:pStyle w:val="Heading1"/>
        <w:spacing w:after="140" w:before="0"/>
      </w:pPr>
      <w:r>
        <w:rPr>
          <w:b/>
          <w:bCs/>
        </w:rPr>
        <w:t xml:space="preserve">11.  Business model</w:t>
      </w:r>
    </w:p>
    <w:p>
      <w:pPr>
        <w:spacing w:after="120" w:line="300"/>
      </w:pPr>
      <w:r>
        <w:t xml:space="preserve">Three revenue lines, staged.</w:t>
      </w:r>
    </w:p>
    <w:p>
      <w:pPr>
        <w:pStyle w:val="Heading2"/>
        <w:spacing w:after="140" w:before="280"/>
      </w:pPr>
      <w:r>
        <w:rPr>
          <w:b/>
          <w:bCs/>
        </w:rPr>
        <w:t xml:space="preserve">11.1  Consumer subscription</w:t>
      </w:r>
    </w:p>
    <w:p>
      <w:pPr>
        <w:spacing w:after="120" w:line="300"/>
      </w:pPr>
      <w:r>
        <w:t xml:space="preserve">A monthly subscription that gives access to the catalogue, with usage limits generous enough not to shape learner behaviour. The price point should be materially above the ed-tech norm (tens of dollars per month, not a few) because the value proposition is different: this is instruction, not a video library, and the cost structure is heavier. The comparable is a tutor, not a Netflix account, and a serious tutor costs an order of magnitude more than the price envisioned here.</w:t>
      </w:r>
    </w:p>
    <w:p>
      <w:pPr>
        <w:pStyle w:val="Heading2"/>
        <w:spacing w:after="140" w:before="280"/>
      </w:pPr>
      <w:r>
        <w:rPr>
          <w:b/>
          <w:bCs/>
        </w:rPr>
        <w:t xml:space="preserve">11.2  Institutional tier</w:t>
      </w:r>
    </w:p>
    <w:p>
      <w:pPr>
        <w:spacing w:after="120" w:line="300"/>
      </w:pPr>
      <w:r>
        <w:t xml:space="preserve">A B2B tier for universities and coding bootcamps that integrates with existing courses. Pricing is per-seat with volume discount, and the offering includes an admin dashboard showing aggregate learning outcomes without violating individual learner privacy. The pitch to institutions is that the system takes over the tutorial function they currently cannot afford to staff well, freeing their faculty to concentrate on lectures and research.</w:t>
      </w:r>
    </w:p>
    <w:p>
      <w:pPr>
        <w:pStyle w:val="Heading2"/>
        <w:spacing w:after="140" w:before="280"/>
      </w:pPr>
      <w:r>
        <w:rPr>
          <w:b/>
          <w:bCs/>
        </w:rPr>
        <w:t xml:space="preserve">11.3  Certification</w:t>
      </w:r>
    </w:p>
    <w:p>
      <w:pPr>
        <w:spacing w:after="120" w:line="300"/>
      </w:pPr>
      <w:r>
        <w:t xml:space="preserve">A per-examination fee for the summative assessment mode. This is a modest line initially but becomes significant as institutional partners begin accepting the certification for credit. The margin is high because the marginal cost of a proctored exam is small once the infrastructure exists.</w:t>
      </w:r>
    </w:p>
    <w:p>
      <w:r>
        <w:br w:type="page"/>
      </w:r>
    </w:p>
    <w:p>
      <w:pPr>
        <w:pStyle w:val="Heading1"/>
        <w:spacing w:after="140" w:before="0"/>
      </w:pPr>
      <w:r>
        <w:rPr>
          <w:b/>
          <w:bCs/>
        </w:rPr>
        <w:t xml:space="preserve">12.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E8E4D9" w:color="auto" w:val="clear"/>
            <w:tcMar>
              <w:top w:type="dxa" w:w="120"/>
              <w:left w:type="dxa" w:w="140"/>
              <w:bottom w:type="dxa" w:w="120"/>
              <w:right w:type="dxa" w:w="140"/>
            </w:tcMar>
          </w:tcPr>
          <w:p>
            <w:pPr>
              <w:spacing w:after="0" w:line="280"/>
            </w:pPr>
            <w:r>
              <w:rPr>
                <w:b/>
                <w:bCs/>
                <w:sz w:val="20"/>
                <w:szCs w:val="20"/>
              </w:rPr>
              <w:t xml:space="preserve">Risk</w:t>
            </w:r>
          </w:p>
        </w:tc>
        <w:tc>
          <w:tcPr>
            <w:tcW w:type="dxa" w:w="5600"/>
            <w:shd w:fill="E8E4D9" w:color="auto" w:val="clear"/>
            <w:tcMar>
              <w:top w:type="dxa" w:w="120"/>
              <w:left w:type="dxa" w:w="140"/>
              <w:bottom w:type="dxa" w:w="120"/>
              <w:right w:type="dxa" w:w="140"/>
            </w:tcMar>
          </w:tcPr>
          <w:p>
            <w:pPr>
              <w:spacing w:after="0" w:line="280"/>
            </w:pPr>
            <w:r>
              <w:rPr>
                <w:b/>
                <w:bCs/>
                <w:sz w:val="20"/>
                <w:szCs w:val="20"/>
              </w:rPr>
              <w:t xml:space="preserve">Mitigation</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Hallucination in technical exposition undermines trust</w:t>
            </w:r>
          </w:p>
        </w:tc>
        <w:tc>
          <w:tcPr>
            <w:tcW w:type="dxa" w:w="5600"/>
            <w:tcMar>
              <w:top w:type="dxa" w:w="120"/>
              <w:left w:type="dxa" w:w="140"/>
              <w:bottom w:type="dxa" w:w="120"/>
              <w:right w:type="dxa" w:w="140"/>
            </w:tcMar>
          </w:tcPr>
          <w:p>
            <w:pPr>
              <w:spacing w:after="0" w:line="280"/>
            </w:pPr>
            <w:r>
              <w:rPr>
                <w:b w:val="false"/>
                <w:bCs w:val="false"/>
                <w:sz w:val="20"/>
                <w:szCs w:val="20"/>
              </w:rPr>
              <w:t xml:space="preserve">Every non-trivial claim in generated content is grounded in the corpus and cited; the Evaluator independently checks formal claims where machine-verifiable; a domain expert reviews the concept graph and canonical explanations per subject; publish an honest error-rate against a standard benchmark rather than pretending the problem does not exist.</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Learners disengage because it is hard</w:t>
            </w:r>
          </w:p>
        </w:tc>
        <w:tc>
          <w:tcPr>
            <w:tcW w:type="dxa" w:w="5600"/>
            <w:tcMar>
              <w:top w:type="dxa" w:w="120"/>
              <w:left w:type="dxa" w:w="140"/>
              <w:bottom w:type="dxa" w:w="120"/>
              <w:right w:type="dxa" w:w="140"/>
            </w:tcMar>
          </w:tcPr>
          <w:p>
            <w:pPr>
              <w:spacing w:after="0" w:line="280"/>
            </w:pPr>
            <w:r>
              <w:rPr>
                <w:b w:val="false"/>
                <w:bCs w:val="false"/>
                <w:sz w:val="20"/>
                <w:szCs w:val="20"/>
              </w:rPr>
              <w:t xml:space="preserve">The system is designed for people who show up wanting to learn, not to manufacture engagement from those who do not. Retention metrics are calibrated to serious study, not to daily-active-user maxima. But interaction primitives ("I’m lost," "explain differently") lower the cost of sticking with a difficult passage.</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Per-learner inference costs erode margin</w:t>
            </w:r>
          </w:p>
        </w:tc>
        <w:tc>
          <w:tcPr>
            <w:tcW w:type="dxa" w:w="5600"/>
            <w:tcMar>
              <w:top w:type="dxa" w:w="120"/>
              <w:left w:type="dxa" w:w="140"/>
              <w:bottom w:type="dxa" w:w="120"/>
              <w:right w:type="dxa" w:w="140"/>
            </w:tcMar>
          </w:tcPr>
          <w:p>
            <w:pPr>
              <w:spacing w:after="0" w:line="280"/>
            </w:pPr>
            <w:r>
              <w:rPr>
                <w:b w:val="false"/>
                <w:bCs w:val="false"/>
                <w:sz w:val="20"/>
                <w:szCs w:val="20"/>
              </w:rPr>
              <w:t xml:space="preserve">Model routing sends the routine work to cheaper models and reserves frontier models for the Lecturer and Tutor. Aggressive caching of Lecturer outputs at the topic level. Fine-tuning of smaller models on collected dialogues over time.</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Content licensing blocks scale</w:t>
            </w:r>
          </w:p>
        </w:tc>
        <w:tc>
          <w:tcPr>
            <w:tcW w:type="dxa" w:w="5600"/>
            <w:tcMar>
              <w:top w:type="dxa" w:w="120"/>
              <w:left w:type="dxa" w:w="140"/>
              <w:bottom w:type="dxa" w:w="120"/>
              <w:right w:type="dxa" w:w="140"/>
            </w:tcMar>
          </w:tcPr>
          <w:p>
            <w:pPr>
              <w:spacing w:after="0" w:line="280"/>
            </w:pPr>
            <w:r>
              <w:rPr>
                <w:b w:val="false"/>
                <w:bCs w:val="false"/>
                <w:sz w:val="20"/>
                <w:szCs w:val="20"/>
              </w:rPr>
              <w:t xml:space="preserve">Bootstrap on open corpora. Structure licensing agreements around the learning outcomes the system produces, giving publishers a share of certification revenue rather than a flat license fee.</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Accreditation and regulatory friction</w:t>
            </w:r>
          </w:p>
        </w:tc>
        <w:tc>
          <w:tcPr>
            <w:tcW w:type="dxa" w:w="5600"/>
            <w:tcMar>
              <w:top w:type="dxa" w:w="120"/>
              <w:left w:type="dxa" w:w="140"/>
              <w:bottom w:type="dxa" w:w="120"/>
              <w:right w:type="dxa" w:w="140"/>
            </w:tcMar>
          </w:tcPr>
          <w:p>
            <w:pPr>
              <w:spacing w:after="0" w:line="280"/>
            </w:pPr>
            <w:r>
              <w:rPr>
                <w:b w:val="false"/>
                <w:bCs w:val="false"/>
                <w:sz w:val="20"/>
                <w:szCs w:val="20"/>
              </w:rPr>
              <w:t xml:space="preserve">Do not compete with accredited degrees head-on. Position credentials as competency demonstrations valued by specific labour markets (software engineering, quantitative finance) whose signal-to-noise ratio on formal credentials is already low.</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A frontier lab ships this themselves</w:t>
            </w:r>
          </w:p>
        </w:tc>
        <w:tc>
          <w:tcPr>
            <w:tcW w:type="dxa" w:w="5600"/>
            <w:tcMar>
              <w:top w:type="dxa" w:w="120"/>
              <w:left w:type="dxa" w:w="140"/>
              <w:bottom w:type="dxa" w:w="120"/>
              <w:right w:type="dxa" w:w="140"/>
            </w:tcMar>
          </w:tcPr>
          <w:p>
            <w:pPr>
              <w:spacing w:after="0" w:line="280"/>
            </w:pPr>
            <w:r>
              <w:rPr>
                <w:b w:val="false"/>
                <w:bCs w:val="false"/>
                <w:sz w:val="20"/>
                <w:szCs w:val="20"/>
              </w:rPr>
              <w:t xml:space="preserve">Real risk. Mitigate by moving fast on curriculum depth and instructional design — the parts of the product that are not "prompt an LLM" and that require sustained investment. The moat is pedagogy and corpus, not model access.</w:t>
            </w:r>
          </w:p>
        </w:tc>
      </w:tr>
      <w:tr>
        <w:tc>
          <w:tcPr>
            <w:tcW w:type="dxa" w:w="3400"/>
            <w:tcMar>
              <w:top w:type="dxa" w:w="120"/>
              <w:left w:type="dxa" w:w="140"/>
              <w:bottom w:type="dxa" w:w="120"/>
              <w:right w:type="dxa" w:w="140"/>
            </w:tcMar>
          </w:tcPr>
          <w:p>
            <w:pPr>
              <w:spacing w:after="0" w:line="280"/>
            </w:pPr>
            <w:r>
              <w:rPr>
                <w:b w:val="false"/>
                <w:bCs w:val="false"/>
                <w:sz w:val="20"/>
                <w:szCs w:val="20"/>
              </w:rPr>
              <w:t xml:space="preserve">Academic integrity concerns in institutional deployments</w:t>
            </w:r>
          </w:p>
        </w:tc>
        <w:tc>
          <w:tcPr>
            <w:tcW w:type="dxa" w:w="5600"/>
            <w:tcMar>
              <w:top w:type="dxa" w:w="120"/>
              <w:left w:type="dxa" w:w="140"/>
              <w:bottom w:type="dxa" w:w="120"/>
              <w:right w:type="dxa" w:w="140"/>
            </w:tcMar>
          </w:tcPr>
          <w:p>
            <w:pPr>
              <w:spacing w:after="0" w:line="280"/>
            </w:pPr>
            <w:r>
              <w:rPr>
                <w:b w:val="false"/>
                <w:bCs w:val="false"/>
                <w:sz w:val="20"/>
                <w:szCs w:val="20"/>
              </w:rPr>
              <w:t xml:space="preserve">Session provenance is signed and auditable; portfolio work is timestamped and attributable; summative assessment is proctored. The system’s design makes it easier, not harder, for an institution to trust that the credited work is the learner’s own.</w:t>
            </w:r>
          </w:p>
        </w:tc>
      </w:tr>
    </w:tbl>
    <w:p>
      <w:r>
        <w:br w:type="page"/>
      </w:r>
    </w:p>
    <w:p>
      <w:pPr>
        <w:pStyle w:val="Heading1"/>
        <w:spacing w:after="140" w:before="0"/>
      </w:pPr>
      <w:r>
        <w:rPr>
          <w:b/>
          <w:bCs/>
        </w:rPr>
        <w:t xml:space="preserve">13.  Naming (tentative)</w:t>
      </w:r>
    </w:p>
    <w:p>
      <w:pPr>
        <w:spacing w:after="120" w:line="300"/>
      </w:pPr>
      <w:r>
        <w:t xml:space="preserve">The name should carry the seriousness of the product and, ideally, resonate with the academic tradition it draws on rather than the app tradition it does not. A shortlist: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E8E4D9" w:color="auto" w:val="clear"/>
            <w:tcMar>
              <w:top w:type="dxa" w:w="120"/>
              <w:left w:type="dxa" w:w="140"/>
              <w:bottom w:type="dxa" w:w="120"/>
              <w:right w:type="dxa" w:w="140"/>
            </w:tcMar>
          </w:tcPr>
          <w:p>
            <w:pPr>
              <w:spacing w:after="0" w:line="280"/>
            </w:pPr>
            <w:r>
              <w:rPr>
                <w:b/>
                <w:bCs/>
                <w:sz w:val="20"/>
                <w:szCs w:val="20"/>
              </w:rPr>
              <w:t xml:space="preserve">Name</w:t>
            </w:r>
          </w:p>
        </w:tc>
        <w:tc>
          <w:tcPr>
            <w:tcW w:type="dxa" w:w="4200"/>
            <w:shd w:fill="E8E4D9" w:color="auto" w:val="clear"/>
            <w:tcMar>
              <w:top w:type="dxa" w:w="120"/>
              <w:left w:type="dxa" w:w="140"/>
              <w:bottom w:type="dxa" w:w="120"/>
              <w:right w:type="dxa" w:w="140"/>
            </w:tcMar>
          </w:tcPr>
          <w:p>
            <w:pPr>
              <w:spacing w:after="0" w:line="280"/>
            </w:pPr>
            <w:r>
              <w:rPr>
                <w:b/>
                <w:bCs/>
                <w:sz w:val="20"/>
                <w:szCs w:val="20"/>
              </w:rPr>
              <w:t xml:space="preserve">Origin</w:t>
            </w:r>
          </w:p>
        </w:tc>
        <w:tc>
          <w:tcPr>
            <w:tcW w:type="dxa" w:w="3000"/>
            <w:shd w:fill="E8E4D9" w:color="auto" w:val="clear"/>
            <w:tcMar>
              <w:top w:type="dxa" w:w="120"/>
              <w:left w:type="dxa" w:w="140"/>
              <w:bottom w:type="dxa" w:w="120"/>
              <w:right w:type="dxa" w:w="140"/>
            </w:tcMar>
          </w:tcPr>
          <w:p>
            <w:pPr>
              <w:spacing w:after="0" w:line="280"/>
            </w:pPr>
            <w:r>
              <w:rPr>
                <w:b/>
                <w:bCs/>
                <w:sz w:val="20"/>
                <w:szCs w:val="20"/>
              </w:rPr>
              <w:t xml:space="preserve">Note</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Praelector</w:t>
            </w:r>
          </w:p>
        </w:tc>
        <w:tc>
          <w:tcPr>
            <w:tcW w:type="dxa" w:w="4200"/>
            <w:tcMar>
              <w:top w:type="dxa" w:w="120"/>
              <w:left w:type="dxa" w:w="140"/>
              <w:bottom w:type="dxa" w:w="120"/>
              <w:right w:type="dxa" w:w="140"/>
            </w:tcMar>
          </w:tcPr>
          <w:p>
            <w:pPr>
              <w:spacing w:after="0" w:line="280"/>
            </w:pPr>
            <w:r>
              <w:rPr>
                <w:b w:val="false"/>
                <w:bCs w:val="false"/>
                <w:sz w:val="20"/>
                <w:szCs w:val="20"/>
              </w:rPr>
              <w:t xml:space="preserve">Latin: "one who reads before others." Historically the title of a college lecturer at Oxford and Cambridge.</w:t>
            </w:r>
          </w:p>
        </w:tc>
        <w:tc>
          <w:tcPr>
            <w:tcW w:type="dxa" w:w="3000"/>
            <w:tcMar>
              <w:top w:type="dxa" w:w="120"/>
              <w:left w:type="dxa" w:w="140"/>
              <w:bottom w:type="dxa" w:w="120"/>
              <w:right w:type="dxa" w:w="140"/>
            </w:tcMar>
          </w:tcPr>
          <w:p>
            <w:pPr>
              <w:spacing w:after="0" w:line="280"/>
            </w:pPr>
            <w:r>
              <w:rPr>
                <w:b w:val="false"/>
                <w:bCs w:val="false"/>
                <w:sz w:val="20"/>
                <w:szCs w:val="20"/>
              </w:rPr>
              <w:t xml:space="preserve">Direct, dignified, obscure enough to be ownable. Slightly long.</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Scholē</w:t>
            </w:r>
          </w:p>
        </w:tc>
        <w:tc>
          <w:tcPr>
            <w:tcW w:type="dxa" w:w="4200"/>
            <w:tcMar>
              <w:top w:type="dxa" w:w="120"/>
              <w:left w:type="dxa" w:w="140"/>
              <w:bottom w:type="dxa" w:w="120"/>
              <w:right w:type="dxa" w:w="140"/>
            </w:tcMar>
          </w:tcPr>
          <w:p>
            <w:pPr>
              <w:spacing w:after="0" w:line="280"/>
            </w:pPr>
            <w:r>
              <w:rPr>
                <w:b w:val="false"/>
                <w:bCs w:val="false"/>
                <w:sz w:val="20"/>
                <w:szCs w:val="20"/>
              </w:rPr>
              <w:t xml:space="preserve">Greek: the leisure that enables philosophical study. The root of "school."</w:t>
            </w:r>
          </w:p>
        </w:tc>
        <w:tc>
          <w:tcPr>
            <w:tcW w:type="dxa" w:w="3000"/>
            <w:tcMar>
              <w:top w:type="dxa" w:w="120"/>
              <w:left w:type="dxa" w:w="140"/>
              <w:bottom w:type="dxa" w:w="120"/>
              <w:right w:type="dxa" w:w="140"/>
            </w:tcMar>
          </w:tcPr>
          <w:p>
            <w:pPr>
              <w:spacing w:after="0" w:line="280"/>
            </w:pPr>
            <w:r>
              <w:rPr>
                <w:b w:val="false"/>
                <w:bCs w:val="false"/>
                <w:sz w:val="20"/>
                <w:szCs w:val="20"/>
              </w:rPr>
              <w:t xml:space="preserve">Beautiful etymology; the diacritic complicates typing.</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Studium</w:t>
            </w:r>
          </w:p>
        </w:tc>
        <w:tc>
          <w:tcPr>
            <w:tcW w:type="dxa" w:w="4200"/>
            <w:tcMar>
              <w:top w:type="dxa" w:w="120"/>
              <w:left w:type="dxa" w:w="140"/>
              <w:bottom w:type="dxa" w:w="120"/>
              <w:right w:type="dxa" w:w="140"/>
            </w:tcMar>
          </w:tcPr>
          <w:p>
            <w:pPr>
              <w:spacing w:after="0" w:line="280"/>
            </w:pPr>
            <w:r>
              <w:rPr>
                <w:b w:val="false"/>
                <w:bCs w:val="false"/>
                <w:sz w:val="20"/>
                <w:szCs w:val="20"/>
              </w:rPr>
              <w:t xml:space="preserve">Latin: eagerness, application, study. The root of "studio," "student," and the medieval "studium generale," the ancestor of the university.</w:t>
            </w:r>
          </w:p>
        </w:tc>
        <w:tc>
          <w:tcPr>
            <w:tcW w:type="dxa" w:w="3000"/>
            <w:tcMar>
              <w:top w:type="dxa" w:w="120"/>
              <w:left w:type="dxa" w:w="140"/>
              <w:bottom w:type="dxa" w:w="120"/>
              <w:right w:type="dxa" w:w="140"/>
            </w:tcMar>
          </w:tcPr>
          <w:p>
            <w:pPr>
              <w:spacing w:after="0" w:line="280"/>
            </w:pPr>
            <w:r>
              <w:rPr>
                <w:b w:val="false"/>
                <w:bCs w:val="false"/>
                <w:sz w:val="20"/>
                <w:szCs w:val="20"/>
              </w:rPr>
              <w:t xml:space="preserve">Clean, three syllables, historically loaded.</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Athenaeum</w:t>
            </w:r>
          </w:p>
        </w:tc>
        <w:tc>
          <w:tcPr>
            <w:tcW w:type="dxa" w:w="4200"/>
            <w:tcMar>
              <w:top w:type="dxa" w:w="120"/>
              <w:left w:type="dxa" w:w="140"/>
              <w:bottom w:type="dxa" w:w="120"/>
              <w:right w:type="dxa" w:w="140"/>
            </w:tcMar>
          </w:tcPr>
          <w:p>
            <w:pPr>
              <w:spacing w:after="0" w:line="280"/>
            </w:pPr>
            <w:r>
              <w:rPr>
                <w:b w:val="false"/>
                <w:bCs w:val="false"/>
                <w:sz w:val="20"/>
                <w:szCs w:val="20"/>
              </w:rPr>
              <w:t xml:space="preserve">The temple of Athena in Rome where poets and orators read their work.</w:t>
            </w:r>
          </w:p>
        </w:tc>
        <w:tc>
          <w:tcPr>
            <w:tcW w:type="dxa" w:w="3000"/>
            <w:tcMar>
              <w:top w:type="dxa" w:w="120"/>
              <w:left w:type="dxa" w:w="140"/>
              <w:bottom w:type="dxa" w:w="120"/>
              <w:right w:type="dxa" w:w="140"/>
            </w:tcMar>
          </w:tcPr>
          <w:p>
            <w:pPr>
              <w:spacing w:after="0" w:line="280"/>
            </w:pPr>
            <w:r>
              <w:rPr>
                <w:b w:val="false"/>
                <w:bCs w:val="false"/>
                <w:sz w:val="20"/>
                <w:szCs w:val="20"/>
              </w:rPr>
              <w:t xml:space="preserve">Familiar to educated readers, associated with libraries and learned societies.</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Peripatetic</w:t>
            </w:r>
          </w:p>
        </w:tc>
        <w:tc>
          <w:tcPr>
            <w:tcW w:type="dxa" w:w="4200"/>
            <w:tcMar>
              <w:top w:type="dxa" w:w="120"/>
              <w:left w:type="dxa" w:w="140"/>
              <w:bottom w:type="dxa" w:w="120"/>
              <w:right w:type="dxa" w:w="140"/>
            </w:tcMar>
          </w:tcPr>
          <w:p>
            <w:pPr>
              <w:spacing w:after="0" w:line="280"/>
            </w:pPr>
            <w:r>
              <w:rPr>
                <w:b w:val="false"/>
                <w:bCs w:val="false"/>
                <w:sz w:val="20"/>
                <w:szCs w:val="20"/>
              </w:rPr>
              <w:t xml:space="preserve">Aristotle’s school, from the covered walkway where he taught while walking.</w:t>
            </w:r>
          </w:p>
        </w:tc>
        <w:tc>
          <w:tcPr>
            <w:tcW w:type="dxa" w:w="3000"/>
            <w:tcMar>
              <w:top w:type="dxa" w:w="120"/>
              <w:left w:type="dxa" w:w="140"/>
              <w:bottom w:type="dxa" w:w="120"/>
              <w:right w:type="dxa" w:w="140"/>
            </w:tcMar>
          </w:tcPr>
          <w:p>
            <w:pPr>
              <w:spacing w:after="0" w:line="280"/>
            </w:pPr>
            <w:r>
              <w:rPr>
                <w:b w:val="false"/>
                <w:bCs w:val="false"/>
                <w:sz w:val="20"/>
                <w:szCs w:val="20"/>
              </w:rPr>
              <w:t xml:space="preserve">Beautiful reference; risks being read as "wandering" rather than "learned."</w:t>
            </w:r>
          </w:p>
        </w:tc>
      </w:tr>
      <w:tr>
        <w:tc>
          <w:tcPr>
            <w:tcW w:type="dxa" w:w="1800"/>
            <w:tcMar>
              <w:top w:type="dxa" w:w="120"/>
              <w:left w:type="dxa" w:w="140"/>
              <w:bottom w:type="dxa" w:w="120"/>
              <w:right w:type="dxa" w:w="140"/>
            </w:tcMar>
          </w:tcPr>
          <w:p>
            <w:pPr>
              <w:spacing w:after="0" w:line="280"/>
            </w:pPr>
            <w:r>
              <w:rPr>
                <w:b w:val="false"/>
                <w:bCs w:val="false"/>
                <w:sz w:val="20"/>
                <w:szCs w:val="20"/>
              </w:rPr>
              <w:t xml:space="preserve">Trivium</w:t>
            </w:r>
          </w:p>
        </w:tc>
        <w:tc>
          <w:tcPr>
            <w:tcW w:type="dxa" w:w="4200"/>
            <w:tcMar>
              <w:top w:type="dxa" w:w="120"/>
              <w:left w:type="dxa" w:w="140"/>
              <w:bottom w:type="dxa" w:w="120"/>
              <w:right w:type="dxa" w:w="140"/>
            </w:tcMar>
          </w:tcPr>
          <w:p>
            <w:pPr>
              <w:spacing w:after="0" w:line="280"/>
            </w:pPr>
            <w:r>
              <w:rPr>
                <w:b w:val="false"/>
                <w:bCs w:val="false"/>
                <w:sz w:val="20"/>
                <w:szCs w:val="20"/>
              </w:rPr>
              <w:t xml:space="preserve">The first three of the medieval liberal arts (grammar, logic, rhetoric).</w:t>
            </w:r>
          </w:p>
        </w:tc>
        <w:tc>
          <w:tcPr>
            <w:tcW w:type="dxa" w:w="3000"/>
            <w:tcMar>
              <w:top w:type="dxa" w:w="120"/>
              <w:left w:type="dxa" w:w="140"/>
              <w:bottom w:type="dxa" w:w="120"/>
              <w:right w:type="dxa" w:w="140"/>
            </w:tcMar>
          </w:tcPr>
          <w:p>
            <w:pPr>
              <w:spacing w:after="0" w:line="280"/>
            </w:pPr>
            <w:r>
              <w:rPr>
                <w:b w:val="false"/>
                <w:bCs w:val="false"/>
                <w:sz w:val="20"/>
                <w:szCs w:val="20"/>
              </w:rPr>
              <w:t xml:space="preserve">Elegant but connotes only the humanities.</w:t>
            </w:r>
          </w:p>
        </w:tc>
      </w:tr>
    </w:tbl>
    <w:p>
      <w:pPr>
        <w:spacing w:after="120" w:line="300"/>
      </w:pPr>
      <w:r>
        <w:t xml:space="preserve">Of these, Studium and Praelector are the strongest. Studium is shorter, easier to type, and connects the product directly to the deepest root of university education. Praelector is more distinctive but demands more of the reader. Either would carry the aesthetic well.</w:t>
      </w:r>
    </w:p>
    <w:p>
      <w:r>
        <w:br w:type="page"/>
      </w:r>
    </w:p>
    <w:p>
      <w:pPr>
        <w:pStyle w:val="Heading1"/>
        <w:spacing w:after="140" w:before="0"/>
      </w:pPr>
      <w:r>
        <w:rPr>
          <w:b/>
          <w:bCs/>
        </w:rPr>
        <w:t xml:space="preserve">14.  Immediate next steps</w:t>
      </w:r>
    </w:p>
    <w:p>
      <w:pPr>
        <w:spacing w:after="120" w:line="300"/>
      </w:pPr>
      <w:r>
        <w:t xml:space="preserve">If you decided today to build this, the ordered set of moves for the first month would look like this:</w:t>
      </w:r>
    </w:p>
    <w:p>
      <w:pPr>
        <w:pStyle w:val="ListParagraph"/>
        <w:numPr>
          <w:ilvl w:val="0"/>
          <w:numId w:val="3"/>
        </w:numPr>
        <w:spacing w:after="80" w:line="290"/>
      </w:pPr>
      <w:r>
        <w:t xml:space="preserve">Choose the MVP subject. Lambda calculus is a strong candidate for reasons already argued. Fix this decision and do not revisit it during the MVP.</w:t>
      </w:r>
    </w:p>
    <w:p>
      <w:pPr>
        <w:pStyle w:val="ListParagraph"/>
        <w:numPr>
          <w:ilvl w:val="0"/>
          <w:numId w:val="3"/>
        </w:numPr>
        <w:spacing w:after="80" w:line="290"/>
      </w:pPr>
      <w:r>
        <w:t xml:space="preserve">Assemble the corpus. For lambda calculus: Barendregt’s reference text, Pierce’s TAPL for the practical grounding, Selinger’s lecture notes, the historical Church papers. Chunk, embed, index.</w:t>
      </w:r>
    </w:p>
    <w:p>
      <w:pPr>
        <w:pStyle w:val="ListParagraph"/>
        <w:numPr>
          <w:ilvl w:val="0"/>
          <w:numId w:val="3"/>
        </w:numPr>
        <w:spacing w:after="80" w:line="290"/>
      </w:pPr>
      <w:r>
        <w:t xml:space="preserve">Build the concept graph. Yourself, over one focused week. This is not a task to delegate; the graph you build is the pedagogical thesis of the product for that subject.</w:t>
      </w:r>
    </w:p>
    <w:p>
      <w:pPr>
        <w:pStyle w:val="ListParagraph"/>
        <w:numPr>
          <w:ilvl w:val="0"/>
          <w:numId w:val="3"/>
        </w:numPr>
        <w:spacing w:after="80" w:line="290"/>
      </w:pPr>
      <w:r>
        <w:t xml:space="preserve">Ship the lecture engine and the tutorial mode against that graph. Text-only, no voice, no visuals beyond generated diagrams. Measure whether the tutorial mode actually feels like a tutorial to you.</w:t>
      </w:r>
    </w:p>
    <w:p>
      <w:pPr>
        <w:pStyle w:val="ListParagraph"/>
        <w:numPr>
          <w:ilvl w:val="0"/>
          <w:numId w:val="3"/>
        </w:numPr>
        <w:spacing w:after="80" w:line="290"/>
      </w:pPr>
      <w:r>
        <w:t xml:space="preserve">Add the lab: a small-step reducer, a type-checker, a proof assistant integration for the deeper properties. This is where the system’s Evaluator gets its first real test.</w:t>
      </w:r>
    </w:p>
    <w:p>
      <w:pPr>
        <w:pStyle w:val="ListParagraph"/>
        <w:numPr>
          <w:ilvl w:val="0"/>
          <w:numId w:val="3"/>
        </w:numPr>
        <w:spacing w:after="80" w:line="290"/>
      </w:pPr>
      <w:r>
        <w:t xml:space="preserve">Recruit twenty learners — from OTU, from your church community, from the CS Twittersphere — and run structured sessions with them. Not a survey. Sit with them, watch them use it, notice what they do that you did not expect.</w:t>
      </w:r>
    </w:p>
    <w:p>
      <w:pPr>
        <w:pStyle w:val="ListParagraph"/>
        <w:numPr>
          <w:ilvl w:val="0"/>
          <w:numId w:val="3"/>
        </w:numPr>
        <w:spacing w:after="80" w:line="290"/>
      </w:pPr>
      <w:r>
        <w:t xml:space="preserve">Iterate for a month on what those sessions reveal. Then, and only then, decide what to build next.</w:t>
      </w:r>
    </w:p>
    <w:p>
      <w:pPr>
        <w:spacing w:after="120" w:line="300"/>
      </w:pPr>
      <w:r>
        <w:t xml:space="preserve">The temptation with a product of this scope is to build a lot before shipping anything. Resist it. The pedagogical thesis — that a well-designed agent group can carry the tutorial function — is either true or it is not, and one subject and twenty learners is enough to find out. The rest is scaling a demonstration, and scaling is easier than proving.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A Learning System — Product and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40" w:before="280"/>
    </w:pPr>
    <w:rPr>
      <w:rFonts w:ascii="Georgia" w:cs="Georgia" w:eastAsia="Georgia" w:hAnsi="Georgia"/>
      <w:b/>
      <w:bCs/>
      <w:color w:val="2A2A2A"/>
      <w:sz w:val="26"/>
      <w:szCs w:val="26"/>
    </w:rPr>
  </w:style>
  <w:style w:type="paragraph" w:styleId="Heading3">
    <w:name w:val="Heading 3"/>
    <w:basedOn w:val="Normal"/>
    <w:next w:val="Normal"/>
    <w:qFormat/>
    <w:pPr>
      <w:spacing w:after="100" w:before="220"/>
    </w:pPr>
    <w:rPr>
      <w:rFonts w:ascii="Georgia" w:cs="Georgia" w:eastAsia="Georgia" w:hAnsi="Georgia"/>
      <w:b/>
      <w:bCs/>
      <w:i/>
      <w:i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Learning System for Subjects You Have Never Studied</dc:title>
  <dc:creator>Yannis Munayi</dc:creator>
  <dc:description>Product and technical plan</dc:description>
  <cp:lastModifiedBy>Un-named</cp:lastModifiedBy>
  <cp:revision>1</cp:revision>
  <dcterms:created xsi:type="dcterms:W3CDTF">2026-08-13T04:54:07.520Z</dcterms:created>
  <dcterms:modified xsi:type="dcterms:W3CDTF">2026-08-13T04:54:07.535Z</dcterms:modified>
</cp:coreProperties>
</file>

<file path=docProps/custom.xml><?xml version="1.0" encoding="utf-8"?>
<Properties xmlns="http://schemas.openxmlformats.org/officeDocument/2006/custom-properties" xmlns:vt="http://schemas.openxmlformats.org/officeDocument/2006/docPropsVTypes"/>
</file>