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536A"/>
          <w:sz w:val="17"/>
        </w:rPr>
        <w:t>STUDIUM  ·  SUBSYSTEM 1 OF 7  ·  SPEC v1.1</w:t>
      </w:r>
    </w:p>
    <w:p>
      <w:pPr>
        <w:pStyle w:val="Title"/>
      </w:pPr>
      <w:r>
        <w:rPr>
          <w:color w:val="151C26"/>
        </w:rPr>
        <w:t>Data Layer Build Report</w:t>
      </w:r>
    </w:p>
    <w:p>
      <w:r>
        <w:rPr>
          <w:i/>
          <w:color w:val="46536A"/>
          <w:sz w:val="23"/>
        </w:rPr>
        <w:t>The specification was ratified as v1.1, folding in the corrections found by the v1.0 build. The implementation has been reconciled against it across five new migrations. Three fresh defects surfaced in v1.1 itself, all in the same section, and all of the same kind: a rule stated in one place that another place cannot support.</w:t>
      </w:r>
    </w:p>
    <w:p>
      <w:r>
        <w:rPr>
          <w:color w:val="46536A"/>
          <w:sz w:val="18"/>
        </w:rPr>
        <w:t>Prepared 15 August 2026   |   Against spec v1.1 (built and ratified)   |   Status: reconciled, database verification still outstanding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Migrations</w:t>
            </w:r>
          </w:p>
        </w:tc>
        <w:tc>
          <w:tcPr>
            <w:tcW w:type="dxa" w:w="1728"/>
          </w:tcPr>
          <w:p>
            <w:r/>
            <w:r>
              <w:rPr>
                <w:b/>
                <w:sz w:val="18"/>
              </w:rPr>
              <w:t>Lines of Python</w:t>
            </w:r>
          </w:p>
        </w:tc>
        <w:tc>
          <w:tcPr>
            <w:tcW w:type="dxa" w:w="1728"/>
          </w:tcPr>
          <w:p>
            <w:r/>
            <w:r>
              <w:rPr>
                <w:b/>
                <w:sz w:val="18"/>
              </w:rPr>
              <w:t>Tests</w:t>
            </w:r>
          </w:p>
        </w:tc>
        <w:tc>
          <w:tcPr>
            <w:tcW w:type="dxa" w:w="1728"/>
          </w:tcPr>
          <w:p>
            <w:r/>
            <w:r>
              <w:rPr>
                <w:b/>
                <w:sz w:val="18"/>
              </w:rPr>
              <w:t>Offline &amp; passing</w:t>
            </w:r>
          </w:p>
        </w:tc>
        <w:tc>
          <w:tcPr>
            <w:tcW w:type="dxa" w:w="1728"/>
          </w:tcPr>
          <w:p>
            <w:r/>
            <w:r>
              <w:rPr>
                <w:b/>
                <w:sz w:val="18"/>
              </w:rPr>
              <w:t>Never run</w:t>
            </w:r>
          </w:p>
        </w:tc>
      </w:tr>
      <w:tr>
        <w:tc>
          <w:tcPr>
            <w:tcW w:type="dxa" w:w="1728"/>
          </w:tcPr>
          <w:p>
            <w:r/>
            <w:r>
              <w:rPr>
                <w:b w:val="0"/>
                <w:sz w:val="19"/>
              </w:rPr>
              <w:t>8</w:t>
            </w:r>
          </w:p>
        </w:tc>
        <w:tc>
          <w:tcPr>
            <w:tcW w:type="dxa" w:w="1728"/>
          </w:tcPr>
          <w:p>
            <w:r/>
            <w:r>
              <w:rPr>
                <w:b w:val="0"/>
                <w:sz w:val="19"/>
              </w:rPr>
              <w:t>9,658</w:t>
            </w:r>
          </w:p>
        </w:tc>
        <w:tc>
          <w:tcPr>
            <w:tcW w:type="dxa" w:w="1728"/>
          </w:tcPr>
          <w:p>
            <w:r/>
            <w:r>
              <w:rPr>
                <w:b w:val="0"/>
                <w:sz w:val="19"/>
              </w:rPr>
              <w:t>424</w:t>
            </w:r>
          </w:p>
        </w:tc>
        <w:tc>
          <w:tcPr>
            <w:tcW w:type="dxa" w:w="1728"/>
          </w:tcPr>
          <w:p>
            <w:r/>
            <w:r>
              <w:rPr>
                <w:b w:val="0"/>
                <w:sz w:val="19"/>
              </w:rPr>
              <w:t>377</w:t>
            </w:r>
          </w:p>
        </w:tc>
        <w:tc>
          <w:tcPr>
            <w:tcW w:type="dxa" w:w="1728"/>
          </w:tcPr>
          <w:p>
            <w:r/>
            <w:r>
              <w:rPr>
                <w:b w:val="0"/>
                <w:sz w:val="19"/>
              </w:rPr>
              <w:t>47</w:t>
            </w:r>
          </w:p>
        </w:tc>
      </w:tr>
    </w:tbl>
    <w:p/>
    <w:p>
      <w:pPr>
        <w:pStyle w:val="Heading1"/>
      </w:pPr>
      <w:r>
        <w:t>Contents</w:t>
      </w:r>
    </w:p>
    <w:p>
      <w:r>
        <w:fldChar w:fldCharType="begin"/>
        <w:instrText xml:space="preserve">TOC \o "1-2" \h \z \u</w:instrText>
        <w:fldChar w:fldCharType="separate">
          <w:t>Right-click here and choose Update Field to build the table of contents.</w:t>
        </w:fldChar>
        <w:fldChar w:fldCharType="end"/>
      </w:r>
    </w:p>
    <w:p>
      <w:r>
        <w:br w:type="page"/>
      </w:r>
    </w:p>
    <w:p>
      <w:pPr>
        <w:pStyle w:val="Heading1"/>
      </w:pPr>
      <w:r>
        <w:t>1.  Executive summary</w:t>
      </w:r>
    </w:p>
    <w:p>
      <w:r>
        <w:rPr>
          <w:b w:val="0"/>
        </w:rPr>
        <w:t>The v1.0 build found 29 defects in the specification and recorded every correction it made. Those corrections have now been ratified: v1.1 is the authoritative document, and it adopts substantially all of them. This report covers the work of bringing the implementation onto v1.1 and what that exercise turned up.</w:t>
      </w:r>
    </w:p>
    <w:p>
      <w:r>
        <w:rPr>
          <w:b w:val="0"/>
        </w:rPr>
        <w:t xml:space="preserve">Five new migrations (0004–0008) carry the changes. The largest is the cost model: v1.1 widened </w:t>
      </w:r>
      <w:r>
        <w:rPr>
          <w:rFonts w:ascii="Consolas" w:hAnsi="Consolas"/>
          <w:b w:val="0"/>
          <w:sz w:val="20"/>
        </w:rPr>
        <w:t>cost_ledger</w:t>
      </w:r>
      <w:r>
        <w:rPr>
          <w:b w:val="0"/>
        </w:rPr>
        <w:t xml:space="preserve"> from a single total to five attributed categories with a generated sum, which required rewriting the roll-up job around the attribution rules in §6.12. Two modules were added at the paths v1.1 names — </w:t>
      </w:r>
      <w:r>
        <w:rPr>
          <w:rFonts w:ascii="Consolas" w:hAnsi="Consolas"/>
          <w:b w:val="0"/>
          <w:sz w:val="20"/>
        </w:rPr>
        <w:t>studium.privacy</w:t>
      </w:r>
      <w:r>
        <w:rPr>
          <w:b w:val="0"/>
        </w:rPr>
        <w:t xml:space="preserve"> and </w:t>
      </w:r>
      <w:r>
        <w:rPr>
          <w:rFonts w:ascii="Consolas" w:hAnsi="Consolas"/>
          <w:b w:val="0"/>
          <w:sz w:val="20"/>
        </w:rPr>
        <w:t>studium.cost</w:t>
      </w:r>
      <w:r>
        <w:rPr>
          <w:b w:val="0"/>
        </w:rPr>
        <w:t xml:space="preserve"> — and the test suite grew from 374 to 424.</w:t>
      </w:r>
    </w:p>
    <w:p>
      <w:pPr>
        <w:pStyle w:val="IntenseQuote"/>
      </w:pPr>
      <w:r>
        <w:rPr>
          <w:b/>
          <w:color w:val="9C2F28"/>
          <w:sz w:val="18"/>
        </w:rPr>
        <w:t xml:space="preserve">THE FINDING THAT MATTERS  </w:t>
      </w:r>
      <w:r>
        <w:rPr>
          <w:b w:val="0"/>
        </w:rPr>
        <w:t>Implementing §6.12's attribution rules surfaced three defects in v1.1. Two of them make rules in that section unimplementable as written: the ledger splits cache-write tokens by TTL but the source table does not, and content cost is attributed "to the learner in whose session the generation was triggered" through a join path that does not exist. Section 4 sets them out.</w:t>
      </w:r>
    </w:p>
    <w:p>
      <w:r>
        <w:rPr>
          <w:b w:val="0"/>
        </w:rPr>
        <w:t>The material gap from the previous report is unchanged and unchanged in character: there is still no Postgres on this machine, so the 47 tests that need one — now including everything covering the new cost model — have never executed.</w:t>
      </w:r>
    </w:p>
    <w:p>
      <w:pPr>
        <w:pStyle w:val="Heading1"/>
      </w:pPr>
      <w:r>
        <w:t>2.  Where this sits</w:t>
      </w:r>
    </w:p>
    <w:p>
      <w:r>
        <w:rPr>
          <w:b w:val="0"/>
        </w:rPr>
        <w:t>Four steps so far, of which this report covers the fourth:</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8"/>
              </w:rPr>
              <w:t>Step</w:t>
            </w:r>
          </w:p>
        </w:tc>
        <w:tc>
          <w:tcPr>
            <w:tcW w:type="dxa" w:w="5616"/>
          </w:tcPr>
          <w:p>
            <w:r/>
            <w:r>
              <w:rPr>
                <w:b/>
                <w:sz w:val="18"/>
              </w:rPr>
              <w:t>Output</w:t>
            </w:r>
          </w:p>
        </w:tc>
        <w:tc>
          <w:tcPr>
            <w:tcW w:type="dxa" w:w="1440"/>
          </w:tcPr>
          <w:p>
            <w:r/>
            <w:r>
              <w:rPr>
                <w:b/>
                <w:sz w:val="18"/>
              </w:rPr>
              <w:t>Status</w:t>
            </w:r>
          </w:p>
        </w:tc>
      </w:tr>
      <w:tr>
        <w:tc>
          <w:tcPr>
            <w:tcW w:type="dxa" w:w="2016"/>
          </w:tcPr>
          <w:p>
            <w:r/>
            <w:r>
              <w:rPr>
                <w:b w:val="0"/>
                <w:sz w:val="19"/>
              </w:rPr>
              <w:t>Specification v1.0</w:t>
            </w:r>
          </w:p>
        </w:tc>
        <w:tc>
          <w:tcPr>
            <w:tcW w:type="dxa" w:w="5616"/>
          </w:tcPr>
          <w:p>
            <w:r/>
            <w:r>
              <w:rPr>
                <w:b w:val="0"/>
                <w:sz w:val="19"/>
              </w:rPr>
              <w:t>Marked build-ready</w:t>
            </w:r>
          </w:p>
        </w:tc>
        <w:tc>
          <w:tcPr>
            <w:tcW w:type="dxa" w:w="1440"/>
          </w:tcPr>
          <w:p>
            <w:r/>
            <w:r>
              <w:rPr>
                <w:b/>
                <w:color w:val="1F6B45"/>
                <w:sz w:val="18"/>
              </w:rPr>
              <w:t>RESOLVED</w:t>
            </w:r>
          </w:p>
        </w:tc>
      </w:tr>
      <w:tr>
        <w:tc>
          <w:tcPr>
            <w:tcW w:type="dxa" w:w="2016"/>
          </w:tcPr>
          <w:p>
            <w:r/>
            <w:r>
              <w:rPr>
                <w:b w:val="0"/>
                <w:sz w:val="19"/>
              </w:rPr>
              <w:t>Build and review</w:t>
            </w:r>
          </w:p>
        </w:tc>
        <w:tc>
          <w:tcPr>
            <w:tcW w:type="dxa" w:w="5616"/>
          </w:tcPr>
          <w:p>
            <w:r/>
            <w:r>
              <w:rPr>
                <w:b w:val="0"/>
                <w:sz w:val="19"/>
              </w:rPr>
              <w:t>29 defects found, 5 blocking; full data layer implemented with corrections recorded in a deviations document</w:t>
            </w:r>
          </w:p>
        </w:tc>
        <w:tc>
          <w:tcPr>
            <w:tcW w:type="dxa" w:w="1440"/>
          </w:tcPr>
          <w:p>
            <w:r/>
            <w:r>
              <w:rPr>
                <w:b/>
                <w:color w:val="1F6B45"/>
                <w:sz w:val="18"/>
              </w:rPr>
              <w:t>RESOLVED</w:t>
            </w:r>
          </w:p>
        </w:tc>
      </w:tr>
      <w:tr>
        <w:tc>
          <w:tcPr>
            <w:tcW w:type="dxa" w:w="2016"/>
          </w:tcPr>
          <w:p>
            <w:r/>
            <w:r>
              <w:rPr>
                <w:b w:val="0"/>
                <w:sz w:val="19"/>
              </w:rPr>
              <w:t>Ratification</w:t>
            </w:r>
          </w:p>
        </w:tc>
        <w:tc>
          <w:tcPr>
            <w:tcW w:type="dxa" w:w="5616"/>
          </w:tcPr>
          <w:p>
            <w:r/>
            <w:r>
              <w:rPr>
                <w:b w:val="0"/>
                <w:sz w:val="19"/>
              </w:rPr>
              <w:t>v1.1 folds the corrections into a single authoritative spec, with a version history in §17</w:t>
            </w:r>
          </w:p>
        </w:tc>
        <w:tc>
          <w:tcPr>
            <w:tcW w:type="dxa" w:w="1440"/>
          </w:tcPr>
          <w:p>
            <w:r/>
            <w:r>
              <w:rPr>
                <w:b/>
                <w:color w:val="1F6B45"/>
                <w:sz w:val="18"/>
              </w:rPr>
              <w:t>RESOLVED</w:t>
            </w:r>
          </w:p>
        </w:tc>
      </w:tr>
      <w:tr>
        <w:tc>
          <w:tcPr>
            <w:tcW w:type="dxa" w:w="2016"/>
          </w:tcPr>
          <w:p>
            <w:r/>
            <w:r>
              <w:rPr>
                <w:b w:val="0"/>
                <w:sz w:val="19"/>
              </w:rPr>
              <w:t>Reconciliation (this report)</w:t>
            </w:r>
          </w:p>
        </w:tc>
        <w:tc>
          <w:tcPr>
            <w:tcW w:type="dxa" w:w="5616"/>
          </w:tcPr>
          <w:p>
            <w:r/>
            <w:r>
              <w:rPr>
                <w:b w:val="0"/>
                <w:sz w:val="19"/>
              </w:rPr>
              <w:t>Implementation brought onto v1.1; three new defects found in v1.1</w:t>
            </w:r>
          </w:p>
        </w:tc>
        <w:tc>
          <w:tcPr>
            <w:tcW w:type="dxa" w:w="1440"/>
          </w:tcPr>
          <w:p>
            <w:r/>
            <w:r>
              <w:rPr>
                <w:b/>
                <w:color w:val="1F6B45"/>
                <w:sz w:val="18"/>
              </w:rPr>
              <w:t>DONE</w:t>
            </w:r>
          </w:p>
        </w:tc>
      </w:tr>
    </w:tbl>
    <w:p/>
    <w:p>
      <w:r>
        <w:rPr>
          <w:b w:val="0"/>
        </w:rPr>
        <w:t>The loop is working as intended. v1.0's defects were found by building against it; v1.1's were found by building against v1.1. That is the argument for keeping the two documents in step rather than letting the code drift ahead of the spec — which is what the deviations file existed to prevent and what ratification has now discharged.</w:t>
      </w:r>
    </w:p>
    <w:p>
      <w:pPr>
        <w:pStyle w:val="Heading1"/>
      </w:pPr>
      <w:r>
        <w:t>3.  What was completed</w:t>
      </w:r>
    </w:p>
    <w:p>
      <w:pPr>
        <w:pStyle w:val="Heading2"/>
      </w:pPr>
      <w:r>
        <w:t>Migrations</w:t>
      </w:r>
    </w:p>
    <w:p>
      <w:r>
        <w:rPr>
          <w:b w:val="0"/>
        </w:rPr>
        <w:t>0001–0003 are committed artifacts and were not touched; every change landed in a new revision, which is the discipline the backend README already documents.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t>Revision</w:t>
            </w:r>
          </w:p>
        </w:tc>
        <w:tc>
          <w:tcPr>
            <w:tcW w:type="dxa" w:w="5616"/>
          </w:tcPr>
          <w:p>
            <w:r/>
            <w:r>
              <w:rPr>
                <w:b/>
                <w:sz w:val="18"/>
              </w:rPr>
              <w:t>Change</w:t>
            </w:r>
          </w:p>
        </w:tc>
        <w:tc>
          <w:tcPr>
            <w:tcW w:type="dxa" w:w="1008"/>
          </w:tcPr>
          <w:p>
            <w:r/>
            <w:r>
              <w:rPr>
                <w:b/>
                <w:sz w:val="18"/>
              </w:rPr>
              <w:t>Additive</w:t>
            </w:r>
          </w:p>
        </w:tc>
      </w:tr>
      <w:tr>
        <w:tc>
          <w:tcPr>
            <w:tcW w:type="dxa" w:w="2304"/>
          </w:tcPr>
          <w:p>
            <w:r/>
            <w:r>
              <w:rPr>
                <w:b w:val="0"/>
                <w:sz w:val="19"/>
              </w:rPr>
              <w:t>0004_widen_cost_ledger</w:t>
            </w:r>
          </w:p>
        </w:tc>
        <w:tc>
          <w:tcPr>
            <w:tcW w:type="dxa" w:w="5616"/>
          </w:tcPr>
          <w:p>
            <w:r/>
            <w:r>
              <w:rPr>
                <w:b w:val="0"/>
                <w:sz w:val="19"/>
              </w:rPr>
              <w:t>Five cost columns (</w:t>
            </w:r>
            <w:r>
              <w:rPr>
                <w:rFonts w:ascii="Consolas" w:hAnsi="Consolas"/>
                <w:b w:val="0"/>
                <w:sz w:val="18"/>
              </w:rPr>
              <w:t>cost_agent_usd</w:t>
            </w:r>
            <w:r>
              <w:rPr>
                <w:b w:val="0"/>
                <w:sz w:val="19"/>
              </w:rPr>
              <w:t xml:space="preserve">, </w:t>
            </w:r>
            <w:r>
              <w:rPr>
                <w:rFonts w:ascii="Consolas" w:hAnsi="Consolas"/>
                <w:b w:val="0"/>
                <w:sz w:val="18"/>
              </w:rPr>
              <w:t>cost_content_usd</w:t>
            </w:r>
            <w:r>
              <w:rPr>
                <w:b w:val="0"/>
                <w:sz w:val="19"/>
              </w:rPr>
              <w:t xml:space="preserve">, </w:t>
            </w:r>
            <w:r>
              <w:rPr>
                <w:rFonts w:ascii="Consolas" w:hAnsi="Consolas"/>
                <w:b w:val="0"/>
                <w:sz w:val="18"/>
              </w:rPr>
              <w:t>cost_ingestion_usd</w:t>
            </w:r>
            <w:r>
              <w:rPr>
                <w:b w:val="0"/>
                <w:sz w:val="19"/>
              </w:rPr>
              <w:t xml:space="preserve">, </w:t>
            </w:r>
            <w:r>
              <w:rPr>
                <w:rFonts w:ascii="Consolas" w:hAnsi="Consolas"/>
                <w:b w:val="0"/>
                <w:sz w:val="18"/>
              </w:rPr>
              <w:t>cost_summary_usd</w:t>
            </w:r>
            <w:r>
              <w:rPr>
                <w:b w:val="0"/>
                <w:sz w:val="19"/>
              </w:rPr>
              <w:t xml:space="preserve">, </w:t>
            </w:r>
            <w:r>
              <w:rPr>
                <w:rFonts w:ascii="Consolas" w:hAnsi="Consolas"/>
                <w:b w:val="0"/>
                <w:sz w:val="18"/>
              </w:rPr>
              <w:t>cost_grading_usd</w:t>
            </w:r>
            <w:r>
              <w:rPr>
                <w:b w:val="0"/>
                <w:sz w:val="19"/>
              </w:rPr>
              <w:t xml:space="preserve">) with </w:t>
            </w:r>
            <w:r>
              <w:rPr>
                <w:rFonts w:ascii="Consolas" w:hAnsi="Consolas"/>
                <w:b w:val="0"/>
                <w:sz w:val="18"/>
              </w:rPr>
              <w:t>cost_usd</w:t>
            </w:r>
            <w:r>
              <w:rPr>
                <w:b w:val="0"/>
                <w:sz w:val="19"/>
              </w:rPr>
              <w:t xml:space="preserve"> as a GENERATED ALWAYS sum; cache-writes split by TTL; owner index narrowed to non-anonymised rows</w:t>
            </w:r>
          </w:p>
        </w:tc>
        <w:tc>
          <w:tcPr>
            <w:tcW w:type="dxa" w:w="1008"/>
          </w:tcPr>
          <w:p>
            <w:r/>
            <w:r>
              <w:rPr>
                <w:b w:val="0"/>
                <w:sz w:val="19"/>
              </w:rPr>
              <w:t>No</w:t>
            </w:r>
          </w:p>
        </w:tc>
      </w:tr>
      <w:tr>
        <w:tc>
          <w:tcPr>
            <w:tcW w:type="dxa" w:w="2304"/>
          </w:tcPr>
          <w:p>
            <w:r/>
            <w:r>
              <w:rPr>
                <w:b w:val="0"/>
                <w:sz w:val="19"/>
              </w:rPr>
              <w:t>0005_add_memory_updated_at</w:t>
            </w:r>
          </w:p>
        </w:tc>
        <w:tc>
          <w:tcPr>
            <w:tcW w:type="dxa" w:w="5616"/>
          </w:tcPr>
          <w:p>
            <w:r/>
            <w:r>
              <w:rPr>
                <w:rFonts w:ascii="Consolas" w:hAnsi="Consolas"/>
                <w:b w:val="0"/>
                <w:sz w:val="18"/>
              </w:rPr>
              <w:t>updated_at</w:t>
            </w:r>
            <w:r>
              <w:rPr>
                <w:b w:val="0"/>
                <w:sz w:val="19"/>
              </w:rPr>
              <w:t xml:space="preserve"> and triggers on </w:t>
            </w:r>
            <w:r>
              <w:rPr>
                <w:rFonts w:ascii="Consolas" w:hAnsi="Consolas"/>
                <w:b w:val="0"/>
                <w:sz w:val="18"/>
              </w:rPr>
              <w:t>session_summaries</w:t>
            </w:r>
            <w:r>
              <w:rPr>
                <w:b w:val="0"/>
                <w:sz w:val="19"/>
              </w:rPr>
              <w:t xml:space="preserve"> and </w:t>
            </w:r>
            <w:r>
              <w:rPr>
                <w:rFonts w:ascii="Consolas" w:hAnsi="Consolas"/>
                <w:b w:val="0"/>
                <w:sz w:val="18"/>
              </w:rPr>
              <w:t>retrieval_checks</w:t>
            </w:r>
          </w:p>
        </w:tc>
        <w:tc>
          <w:tcPr>
            <w:tcW w:type="dxa" w:w="1008"/>
          </w:tcPr>
          <w:p>
            <w:r/>
            <w:r>
              <w:rPr>
                <w:b w:val="0"/>
                <w:sz w:val="19"/>
              </w:rPr>
              <w:t>Yes</w:t>
            </w:r>
          </w:p>
        </w:tc>
      </w:tr>
      <w:tr>
        <w:tc>
          <w:tcPr>
            <w:tcW w:type="dxa" w:w="2304"/>
          </w:tcPr>
          <w:p>
            <w:r/>
            <w:r>
              <w:rPr>
                <w:b w:val="0"/>
                <w:sz w:val="19"/>
              </w:rPr>
              <w:t>0006_align_functions_to_spec_v1_1</w:t>
            </w:r>
          </w:p>
        </w:tc>
        <w:tc>
          <w:tcPr>
            <w:tcW w:type="dxa" w:w="5616"/>
          </w:tcPr>
          <w:p>
            <w:r/>
            <w:r>
              <w:rPr>
                <w:b w:val="0"/>
                <w:sz w:val="19"/>
              </w:rPr>
              <w:t xml:space="preserve">v1.1's exact </w:t>
            </w:r>
            <w:r>
              <w:rPr>
                <w:rFonts w:ascii="Consolas" w:hAnsi="Consolas"/>
                <w:b w:val="0"/>
                <w:sz w:val="18"/>
              </w:rPr>
              <w:t>uuid_generate_v7()</w:t>
            </w:r>
            <w:r>
              <w:rPr>
                <w:b w:val="0"/>
                <w:sz w:val="19"/>
              </w:rPr>
              <w:t xml:space="preserve"> body; </w:t>
            </w:r>
            <w:r>
              <w:rPr>
                <w:rFonts w:ascii="Consolas" w:hAnsi="Consolas"/>
                <w:b w:val="0"/>
                <w:sz w:val="18"/>
              </w:rPr>
              <w:t>bump_session_cost</w:t>
            </w:r>
            <w:r>
              <w:rPr>
                <w:b w:val="0"/>
                <w:sz w:val="19"/>
              </w:rPr>
              <w:t xml:space="preserve"> renamed to </w:t>
            </w:r>
            <w:r>
              <w:rPr>
                <w:rFonts w:ascii="Consolas" w:hAnsi="Consolas"/>
                <w:b w:val="0"/>
                <w:sz w:val="18"/>
              </w:rPr>
              <w:t>accumulate_session_cost</w:t>
            </w:r>
          </w:p>
        </w:tc>
        <w:tc>
          <w:tcPr>
            <w:tcW w:type="dxa" w:w="1008"/>
          </w:tcPr>
          <w:p>
            <w:r/>
            <w:r>
              <w:rPr>
                <w:b w:val="0"/>
                <w:sz w:val="19"/>
              </w:rPr>
              <w:t>Yes</w:t>
            </w:r>
          </w:p>
        </w:tc>
      </w:tr>
      <w:tr>
        <w:tc>
          <w:tcPr>
            <w:tcW w:type="dxa" w:w="2304"/>
          </w:tcPr>
          <w:p>
            <w:r/>
            <w:r>
              <w:rPr>
                <w:b w:val="0"/>
                <w:sz w:val="19"/>
              </w:rPr>
              <w:t>0007_add_content_cost_attribution</w:t>
            </w:r>
          </w:p>
        </w:tc>
        <w:tc>
          <w:tcPr>
            <w:tcW w:type="dxa" w:w="5616"/>
          </w:tcPr>
          <w:p>
            <w:r/>
            <w:r>
              <w:rPr>
                <w:rFonts w:ascii="Consolas" w:hAnsi="Consolas"/>
                <w:b w:val="0"/>
                <w:sz w:val="18"/>
              </w:rPr>
              <w:t>content_artifacts.generated_for_session_id</w:t>
            </w:r>
            <w:r>
              <w:rPr>
                <w:b w:val="0"/>
                <w:sz w:val="19"/>
              </w:rPr>
              <w:t>, without which §6.12's content-attribution rule has no join path</w:t>
            </w:r>
          </w:p>
        </w:tc>
        <w:tc>
          <w:tcPr>
            <w:tcW w:type="dxa" w:w="1008"/>
          </w:tcPr>
          <w:p>
            <w:r/>
            <w:r>
              <w:rPr>
                <w:b w:val="0"/>
                <w:sz w:val="19"/>
              </w:rPr>
              <w:t>Yes</w:t>
            </w:r>
          </w:p>
        </w:tc>
      </w:tr>
      <w:tr>
        <w:tc>
          <w:tcPr>
            <w:tcW w:type="dxa" w:w="2304"/>
          </w:tcPr>
          <w:p>
            <w:r/>
            <w:r>
              <w:rPr>
                <w:b w:val="0"/>
                <w:sz w:val="19"/>
              </w:rPr>
              <w:t>0008_seed_system_user</w:t>
            </w:r>
          </w:p>
        </w:tc>
        <w:tc>
          <w:tcPr>
            <w:tcW w:type="dxa" w:w="5616"/>
          </w:tcPr>
          <w:p>
            <w:r/>
            <w:r>
              <w:rPr>
                <w:b w:val="0"/>
                <w:sz w:val="19"/>
              </w:rPr>
              <w:t>The synthetic account §6.12 refers to but never defines. A data migration, kept separate from 0007 per §13</w:t>
            </w:r>
          </w:p>
        </w:tc>
        <w:tc>
          <w:tcPr>
            <w:tcW w:type="dxa" w:w="1008"/>
          </w:tcPr>
          <w:p>
            <w:r/>
            <w:r>
              <w:rPr>
                <w:b w:val="0"/>
                <w:sz w:val="19"/>
              </w:rPr>
              <w:t>Yes</w:t>
            </w:r>
          </w:p>
        </w:tc>
      </w:tr>
    </w:tbl>
    <w:p/>
    <w:p>
      <w:r>
        <w:rPr>
          <w:b w:val="0"/>
        </w:rPr>
        <w:t>Only 0004 is non-additive. Per §13 that calls for a maintenance window; with no production data it is a formality, and its downgrade folds the five categories back into a single total so no cost is lost on the way down.</w:t>
      </w:r>
    </w:p>
    <w:p>
      <w:pPr>
        <w:pStyle w:val="Heading2"/>
      </w:pPr>
      <w:r>
        <w:t>Modules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18"/>
              </w:rPr>
              <w:t>Module</w:t>
            </w:r>
          </w:p>
        </w:tc>
        <w:tc>
          <w:tcPr>
            <w:tcW w:type="dxa" w:w="5760"/>
          </w:tcPr>
          <w:p>
            <w:r/>
            <w:r>
              <w:rPr>
                <w:b/>
                <w:sz w:val="18"/>
              </w:rPr>
              <w:t>Contents</w:t>
            </w:r>
          </w:p>
        </w:tc>
        <w:tc>
          <w:tcPr>
            <w:tcW w:type="dxa" w:w="1008"/>
          </w:tcPr>
          <w:p>
            <w:r/>
            <w:r>
              <w:rPr>
                <w:b/>
                <w:sz w:val="18"/>
              </w:rPr>
              <w:t>Lines</w:t>
            </w:r>
          </w:p>
        </w:tc>
      </w:tr>
      <w:tr>
        <w:tc>
          <w:tcPr>
            <w:tcW w:type="dxa" w:w="2160"/>
          </w:tcPr>
          <w:p>
            <w:r/>
            <w:r>
              <w:rPr>
                <w:rFonts w:ascii="Consolas" w:hAnsi="Consolas"/>
                <w:b w:val="0"/>
                <w:sz w:val="18"/>
              </w:rPr>
              <w:t>studium.privacy</w:t>
            </w:r>
          </w:p>
        </w:tc>
        <w:tc>
          <w:tcPr>
            <w:tcW w:type="dxa" w:w="5760"/>
          </w:tcPr>
          <w:p>
            <w:r/>
            <w:r>
              <w:rPr>
                <w:b w:val="0"/>
                <w:sz w:val="19"/>
              </w:rPr>
              <w:t>The right-to-erasure procedure, in v1.1's anonymise-then-delete order. Named by §10.</w:t>
            </w:r>
          </w:p>
        </w:tc>
        <w:tc>
          <w:tcPr>
            <w:tcW w:type="dxa" w:w="1008"/>
          </w:tcPr>
          <w:p>
            <w:r/>
            <w:r>
              <w:rPr>
                <w:b w:val="0"/>
                <w:sz w:val="19"/>
              </w:rPr>
              <w:t>145</w:t>
            </w:r>
          </w:p>
        </w:tc>
      </w:tr>
      <w:tr>
        <w:tc>
          <w:tcPr>
            <w:tcW w:type="dxa" w:w="2160"/>
          </w:tcPr>
          <w:p>
            <w:r/>
            <w:r>
              <w:rPr>
                <w:rFonts w:ascii="Consolas" w:hAnsi="Consolas"/>
                <w:b w:val="0"/>
                <w:sz w:val="18"/>
              </w:rPr>
              <w:t>studium.cost</w:t>
            </w:r>
          </w:p>
        </w:tc>
        <w:tc>
          <w:tcPr>
            <w:tcW w:type="dxa" w:w="5760"/>
          </w:tcPr>
          <w:p>
            <w:r/>
            <w:r>
              <w:rPr>
                <w:rFonts w:ascii="Consolas" w:hAnsi="Consolas"/>
                <w:b w:val="0"/>
                <w:sz w:val="18"/>
              </w:rPr>
              <w:t>today_spent</w:t>
            </w:r>
            <w:r>
              <w:rPr>
                <w:b w:val="0"/>
                <w:sz w:val="19"/>
              </w:rPr>
              <w:t xml:space="preserve"> and </w:t>
            </w:r>
            <w:r>
              <w:rPr>
                <w:rFonts w:ascii="Consolas" w:hAnsi="Consolas"/>
                <w:b w:val="0"/>
                <w:sz w:val="18"/>
              </w:rPr>
              <w:t>budget_status</w:t>
            </w:r>
            <w:r>
              <w:rPr>
                <w:b w:val="0"/>
                <w:sz w:val="19"/>
              </w:rPr>
              <w:t xml:space="preserve"> — live spend across all five sources, so a long session cannot outrun the daily roll-up. Named by §8.</w:t>
            </w:r>
          </w:p>
        </w:tc>
        <w:tc>
          <w:tcPr>
            <w:tcW w:type="dxa" w:w="1008"/>
          </w:tcPr>
          <w:p>
            <w:r/>
            <w:r>
              <w:rPr>
                <w:b w:val="0"/>
                <w:sz w:val="19"/>
              </w:rPr>
              <w:t>166</w:t>
            </w:r>
          </w:p>
        </w:tc>
      </w:tr>
      <w:tr>
        <w:tc>
          <w:tcPr>
            <w:tcW w:type="dxa" w:w="2160"/>
          </w:tcPr>
          <w:p>
            <w:r/>
            <w:r>
              <w:rPr>
                <w:rFonts w:ascii="Consolas" w:hAnsi="Consolas"/>
                <w:b w:val="0"/>
                <w:sz w:val="18"/>
              </w:rPr>
              <w:t>studium.jobs.cost_rollup</w:t>
            </w:r>
          </w:p>
        </w:tc>
        <w:tc>
          <w:tcPr>
            <w:tcW w:type="dxa" w:w="5760"/>
          </w:tcPr>
          <w:p>
            <w:r/>
            <w:r>
              <w:rPr>
                <w:b w:val="0"/>
                <w:sz w:val="19"/>
              </w:rPr>
              <w:t>Rewritten around the five sources and their per-source attribution rules.</w:t>
            </w:r>
          </w:p>
        </w:tc>
        <w:tc>
          <w:tcPr>
            <w:tcW w:type="dxa" w:w="1008"/>
          </w:tcPr>
          <w:p>
            <w:r/>
            <w:r>
              <w:rPr>
                <w:b w:val="0"/>
                <w:sz w:val="19"/>
              </w:rPr>
              <w:t>225</w:t>
            </w:r>
          </w:p>
        </w:tc>
      </w:tr>
    </w:tbl>
    <w:p/>
    <w:p>
      <w:r>
        <w:rPr>
          <w:rFonts w:ascii="Consolas" w:hAnsi="Consolas"/>
          <w:b w:val="0"/>
          <w:sz w:val="20"/>
        </w:rPr>
        <w:t>erase_user</w:t>
      </w:r>
      <w:r>
        <w:rPr>
          <w:b w:val="0"/>
        </w:rPr>
        <w:t xml:space="preserve"> moved out of </w:t>
      </w:r>
      <w:r>
        <w:rPr>
          <w:rFonts w:ascii="Consolas" w:hAnsi="Consolas"/>
          <w:b w:val="0"/>
          <w:sz w:val="20"/>
        </w:rPr>
        <w:t>studium.jobs.retention</w:t>
      </w:r>
      <w:r>
        <w:rPr>
          <w:b w:val="0"/>
        </w:rPr>
        <w:t xml:space="preserve">, which now owns only the time-based windows; it is re-exported from </w:t>
      </w:r>
      <w:r>
        <w:rPr>
          <w:rFonts w:ascii="Consolas" w:hAnsi="Consolas"/>
          <w:b w:val="0"/>
          <w:sz w:val="20"/>
        </w:rPr>
        <w:t>studium.jobs</w:t>
      </w:r>
      <w:r>
        <w:rPr>
          <w:b w:val="0"/>
        </w:rPr>
        <w:t xml:space="preserve"> so existing call sites are unaffected. </w:t>
      </w:r>
      <w:r>
        <w:rPr>
          <w:rFonts w:ascii="Consolas" w:hAnsi="Consolas"/>
          <w:b w:val="0"/>
          <w:sz w:val="20"/>
        </w:rPr>
        <w:t>budget_status</w:t>
      </w:r>
      <w:r>
        <w:rPr>
          <w:b w:val="0"/>
        </w:rPr>
        <w:t xml:space="preserve"> moved out of </w:t>
      </w:r>
      <w:r>
        <w:rPr>
          <w:rFonts w:ascii="Consolas" w:hAnsi="Consolas"/>
          <w:b w:val="0"/>
          <w:sz w:val="20"/>
        </w:rPr>
        <w:t>studium.queries</w:t>
      </w:r>
      <w:r>
        <w:rPr>
          <w:b w:val="0"/>
        </w:rPr>
        <w:t xml:space="preserve"> the same way.</w:t>
      </w:r>
    </w:p>
    <w:p>
      <w:pPr>
        <w:pStyle w:val="Heading2"/>
      </w:pPr>
      <w:r>
        <w:t>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1296"/>
          </w:tcPr>
          <w:p>
            <w:r/>
            <w:r>
              <w:rPr>
                <w:b/>
                <w:sz w:val="18"/>
              </w:rPr>
              <w:t>Tier</w:t>
            </w:r>
          </w:p>
        </w:tc>
        <w:tc>
          <w:tcPr>
            <w:tcW w:type="dxa" w:w="2736"/>
          </w:tcPr>
          <w:p>
            <w:r/>
            <w:r>
              <w:rPr>
                <w:b/>
                <w:sz w:val="18"/>
              </w:rPr>
              <w:t>Directory</w:t>
            </w:r>
          </w:p>
        </w:tc>
        <w:tc>
          <w:tcPr>
            <w:tcW w:type="dxa" w:w="1008"/>
          </w:tcPr>
          <w:p>
            <w:r/>
            <w:r>
              <w:rPr>
                <w:b/>
                <w:sz w:val="18"/>
              </w:rPr>
              <w:t>Count</w:t>
            </w:r>
          </w:p>
        </w:tc>
        <w:tc>
          <w:tcPr>
            <w:tcW w:type="dxa" w:w="2736"/>
          </w:tcPr>
          <w:p>
            <w:r/>
            <w:r>
              <w:rPr>
                <w:b/>
                <w:sz w:val="18"/>
              </w:rPr>
              <w:t>Runs without a database</w:t>
            </w:r>
          </w:p>
        </w:tc>
      </w:tr>
      <w:tr>
        <w:tc>
          <w:tcPr>
            <w:tcW w:type="dxa" w:w="1296"/>
          </w:tcPr>
          <w:p>
            <w:r/>
            <w:r>
              <w:rPr>
                <w:b w:val="0"/>
                <w:sz w:val="19"/>
              </w:rPr>
              <w:t>Offline</w:t>
            </w:r>
          </w:p>
        </w:tc>
        <w:tc>
          <w:tcPr>
            <w:tcW w:type="dxa" w:w="2736"/>
          </w:tcPr>
          <w:p>
            <w:r/>
            <w:r>
              <w:rPr>
                <w:rFonts w:ascii="Consolas" w:hAnsi="Consolas"/>
                <w:b w:val="0"/>
                <w:sz w:val="18"/>
              </w:rPr>
              <w:t>tests/schema</w:t>
            </w:r>
          </w:p>
        </w:tc>
        <w:tc>
          <w:tcPr>
            <w:tcW w:type="dxa" w:w="1008"/>
          </w:tcPr>
          <w:p>
            <w:r/>
            <w:r>
              <w:rPr>
                <w:b w:val="0"/>
                <w:sz w:val="19"/>
              </w:rPr>
              <w:t>293</w:t>
            </w:r>
          </w:p>
        </w:tc>
        <w:tc>
          <w:tcPr>
            <w:tcW w:type="dxa" w:w="2736"/>
          </w:tcPr>
          <w:p>
            <w:r/>
            <w:r>
              <w:rPr>
                <w:b w:val="0"/>
                <w:sz w:val="19"/>
              </w:rPr>
              <w:t>Yes</w:t>
            </w:r>
          </w:p>
        </w:tc>
      </w:tr>
      <w:tr>
        <w:tc>
          <w:tcPr>
            <w:tcW w:type="dxa" w:w="1296"/>
          </w:tcPr>
          <w:p>
            <w:r/>
            <w:r>
              <w:rPr>
                <w:b w:val="0"/>
                <w:sz w:val="19"/>
              </w:rPr>
              <w:t>Offline</w:t>
            </w:r>
          </w:p>
        </w:tc>
        <w:tc>
          <w:tcPr>
            <w:tcW w:type="dxa" w:w="2736"/>
          </w:tcPr>
          <w:p>
            <w:r/>
            <w:r>
              <w:rPr>
                <w:rFonts w:ascii="Consolas" w:hAnsi="Consolas"/>
                <w:b w:val="0"/>
                <w:sz w:val="18"/>
              </w:rPr>
              <w:t>tests/migrations</w:t>
            </w:r>
          </w:p>
        </w:tc>
        <w:tc>
          <w:tcPr>
            <w:tcW w:type="dxa" w:w="1008"/>
          </w:tcPr>
          <w:p>
            <w:r/>
            <w:r>
              <w:rPr>
                <w:b w:val="0"/>
                <w:sz w:val="19"/>
              </w:rPr>
              <w:t>49</w:t>
            </w:r>
          </w:p>
        </w:tc>
        <w:tc>
          <w:tcPr>
            <w:tcW w:type="dxa" w:w="2736"/>
          </w:tcPr>
          <w:p>
            <w:r/>
            <w:r>
              <w:rPr>
                <w:b w:val="0"/>
                <w:sz w:val="19"/>
              </w:rPr>
              <w:t>Yes</w:t>
            </w:r>
          </w:p>
        </w:tc>
      </w:tr>
      <w:tr>
        <w:tc>
          <w:tcPr>
            <w:tcW w:type="dxa" w:w="1296"/>
          </w:tcPr>
          <w:p>
            <w:r/>
            <w:r>
              <w:rPr>
                <w:b w:val="0"/>
                <w:sz w:val="19"/>
              </w:rPr>
              <w:t>Offline</w:t>
            </w:r>
          </w:p>
        </w:tc>
        <w:tc>
          <w:tcPr>
            <w:tcW w:type="dxa" w:w="2736"/>
          </w:tcPr>
          <w:p>
            <w:r/>
            <w:r>
              <w:rPr>
                <w:rFonts w:ascii="Consolas" w:hAnsi="Consolas"/>
                <w:b w:val="0"/>
                <w:sz w:val="18"/>
              </w:rPr>
              <w:t>tests/unit</w:t>
            </w:r>
          </w:p>
        </w:tc>
        <w:tc>
          <w:tcPr>
            <w:tcW w:type="dxa" w:w="1008"/>
          </w:tcPr>
          <w:p>
            <w:r/>
            <w:r>
              <w:rPr>
                <w:b w:val="0"/>
                <w:sz w:val="19"/>
              </w:rPr>
              <w:t>39</w:t>
            </w:r>
          </w:p>
        </w:tc>
        <w:tc>
          <w:tcPr>
            <w:tcW w:type="dxa" w:w="2736"/>
          </w:tcPr>
          <w:p>
            <w:r/>
            <w:r>
              <w:rPr>
                <w:b w:val="0"/>
                <w:sz w:val="19"/>
              </w:rPr>
              <w:t>Yes</w:t>
            </w:r>
          </w:p>
        </w:tc>
      </w:tr>
      <w:tr>
        <w:tc>
          <w:tcPr>
            <w:tcW w:type="dxa" w:w="1296"/>
          </w:tcPr>
          <w:p>
            <w:r/>
            <w:r>
              <w:rPr>
                <w:b w:val="0"/>
                <w:sz w:val="19"/>
              </w:rPr>
              <w:t>Online</w:t>
            </w:r>
          </w:p>
        </w:tc>
        <w:tc>
          <w:tcPr>
            <w:tcW w:type="dxa" w:w="2736"/>
          </w:tcPr>
          <w:p>
            <w:r/>
            <w:r>
              <w:rPr>
                <w:rFonts w:ascii="Consolas" w:hAnsi="Consolas"/>
                <w:b w:val="0"/>
                <w:sz w:val="18"/>
              </w:rPr>
              <w:t>tests/integrity</w:t>
            </w:r>
          </w:p>
        </w:tc>
        <w:tc>
          <w:tcPr>
            <w:tcW w:type="dxa" w:w="1008"/>
          </w:tcPr>
          <w:p>
            <w:r/>
            <w:r>
              <w:rPr>
                <w:b w:val="0"/>
                <w:sz w:val="19"/>
              </w:rPr>
              <w:t>37</w:t>
            </w:r>
          </w:p>
        </w:tc>
        <w:tc>
          <w:tcPr>
            <w:tcW w:type="dxa" w:w="2736"/>
          </w:tcPr>
          <w:p>
            <w:r/>
            <w:r>
              <w:rPr>
                <w:b w:val="0"/>
                <w:sz w:val="19"/>
              </w:rPr>
              <w:t>No</w:t>
            </w:r>
          </w:p>
        </w:tc>
      </w:tr>
      <w:tr>
        <w:tc>
          <w:tcPr>
            <w:tcW w:type="dxa" w:w="1296"/>
          </w:tcPr>
          <w:p>
            <w:r/>
            <w:r>
              <w:rPr>
                <w:b w:val="0"/>
                <w:sz w:val="19"/>
              </w:rPr>
              <w:t>Online</w:t>
            </w:r>
          </w:p>
        </w:tc>
        <w:tc>
          <w:tcPr>
            <w:tcW w:type="dxa" w:w="2736"/>
          </w:tcPr>
          <w:p>
            <w:r/>
            <w:r>
              <w:rPr>
                <w:rFonts w:ascii="Consolas" w:hAnsi="Consolas"/>
                <w:b w:val="0"/>
                <w:sz w:val="18"/>
              </w:rPr>
              <w:t>tests/queries</w:t>
            </w:r>
          </w:p>
        </w:tc>
        <w:tc>
          <w:tcPr>
            <w:tcW w:type="dxa" w:w="1008"/>
          </w:tcPr>
          <w:p>
            <w:r/>
            <w:r>
              <w:rPr>
                <w:b w:val="0"/>
                <w:sz w:val="19"/>
              </w:rPr>
              <w:t>6</w:t>
            </w:r>
          </w:p>
        </w:tc>
        <w:tc>
          <w:tcPr>
            <w:tcW w:type="dxa" w:w="2736"/>
          </w:tcPr>
          <w:p>
            <w:r/>
            <w:r>
              <w:rPr>
                <w:b w:val="0"/>
                <w:sz w:val="19"/>
              </w:rPr>
              <w:t>No</w:t>
            </w:r>
          </w:p>
        </w:tc>
      </w:tr>
    </w:tbl>
    <w:p/>
    <w:p>
      <w:r>
        <w:rPr>
          <w:b w:val="0"/>
        </w:rPr>
        <w:t>New coverage this round: the five-source roll-up with a test per attribution rule, the generated total's refusal to be written directly, the erasure ordering (including a two-learner case that catches the time-window shortcut v1.1 warns against), and an offline test holding the ledger's shape in place.</w:t>
      </w:r>
    </w:p>
    <w:p>
      <w:pPr>
        <w:pStyle w:val="IntenseQuote"/>
      </w:pPr>
      <w:r>
        <w:rPr>
          <w:b/>
          <w:color w:val="2B46A8"/>
          <w:sz w:val="18"/>
        </w:rPr>
        <w:t xml:space="preserve">WHY THE SHAPE TEST EXISTS  </w:t>
      </w:r>
      <w:r>
        <w:rPr>
          <w:b w:val="0"/>
        </w:rPr>
        <w:t xml:space="preserve">Five columns where one would "do" reads like redundancy unless you know why. </w:t>
      </w:r>
      <w:r>
        <w:rPr>
          <w:rFonts w:ascii="Consolas" w:hAnsi="Consolas"/>
          <w:b w:val="0"/>
          <w:sz w:val="20"/>
        </w:rPr>
        <w:t>tests/schema/test_cost_model.py</w:t>
      </w:r>
      <w:r>
        <w:rPr>
          <w:b w:val="0"/>
        </w:rPr>
        <w:t xml:space="preserve"> states the reason in its assertions, so the next person to consider collapsing them is told what breaks.</w:t>
      </w:r>
    </w:p>
    <w:p>
      <w:pPr>
        <w:pStyle w:val="Heading2"/>
      </w:pPr>
      <w:r>
        <w:t>Documentation</w:t>
      </w:r>
    </w:p>
    <w:p>
      <w:pPr>
        <w:pStyle w:val="ListBullet"/>
      </w:pPr>
      <w:r>
        <w:rPr>
          <w:rFonts w:ascii="Consolas" w:hAnsi="Consolas"/>
          <w:b w:val="0"/>
          <w:sz w:val="20"/>
        </w:rPr>
        <w:t>DIVERGENCES.md</w:t>
      </w:r>
      <w:r>
        <w:rPr>
          <w:b w:val="0"/>
        </w:rPr>
        <w:t xml:space="preserve"> replaces </w:t>
      </w:r>
      <w:r>
        <w:rPr>
          <w:rFonts w:ascii="Consolas" w:hAnsi="Consolas"/>
          <w:b w:val="0"/>
          <w:sz w:val="20"/>
        </w:rPr>
        <w:t>DEVIATIONS.md</w:t>
      </w:r>
      <w:r>
        <w:rPr>
          <w:b w:val="0"/>
        </w:rPr>
        <w:t>. Nine of the old findings are now ratified and no longer divergences at all; the file records what remains, keyed to the original finding IDs so the review stays a usable reference.</w:t>
      </w:r>
    </w:p>
    <w:p>
      <w:pPr>
        <w:pStyle w:val="ListBullet"/>
      </w:pPr>
      <w:r>
        <w:rPr>
          <w:rFonts w:ascii="Consolas" w:hAnsi="Consolas"/>
          <w:b w:val="0"/>
          <w:sz w:val="20"/>
        </w:rPr>
        <w:t>CHANGELOG.md</w:t>
      </w:r>
      <w:r>
        <w:rPr>
          <w:b w:val="0"/>
        </w:rPr>
        <w:t xml:space="preserve"> gains an entry per migration, as §13 CI check 4 requires — and a test enforces it.</w:t>
      </w:r>
    </w:p>
    <w:p>
      <w:pPr>
        <w:pStyle w:val="ListBullet"/>
      </w:pPr>
      <w:r>
        <w:rPr>
          <w:rFonts w:ascii="Consolas" w:hAnsi="Consolas"/>
          <w:b w:val="0"/>
          <w:sz w:val="20"/>
        </w:rPr>
        <w:t>docker-compose.test.yml</w:t>
      </w:r>
      <w:r>
        <w:rPr>
          <w:b w:val="0"/>
        </w:rPr>
        <w:t xml:space="preserve"> added at the path §14 names, on a separate port with tmpfs storage so the online tests never touch the development database.</w:t>
      </w:r>
    </w:p>
    <w:p>
      <w:r>
        <w:br w:type="page"/>
      </w:r>
    </w:p>
    <w:p>
      <w:pPr>
        <w:pStyle w:val="Heading1"/>
      </w:pPr>
      <w:r>
        <w:t>4.  Defects found in v1.1</w:t>
      </w:r>
    </w:p>
    <w:p>
      <w:r>
        <w:rPr>
          <w:b w:val="0"/>
        </w:rPr>
        <w:t>All three are in §6.12, and two are the same class of defect as A2 was in v1.0: a rule stated in one section that another section cannot support. They were found the same way A2 was — by trying to implement it.</w:t>
      </w:r>
    </w:p>
    <w:p>
      <w:pPr>
        <w:pStyle w:val="Heading2"/>
      </w:pPr>
      <w:r>
        <w:t>4.1  The cache-write split exists on the ledger but not the source</w:t>
      </w:r>
    </w:p>
    <w:p>
      <w:r>
        <w:rPr>
          <w:b w:val="0"/>
        </w:rPr>
        <w:t xml:space="preserve">§6.12 gives </w:t>
      </w:r>
      <w:r>
        <w:rPr>
          <w:rFonts w:ascii="Consolas" w:hAnsi="Consolas"/>
          <w:b w:val="0"/>
          <w:sz w:val="20"/>
        </w:rPr>
        <w:t>cost_ledger</w:t>
      </w:r>
      <w:r>
        <w:rPr>
          <w:b w:val="0"/>
        </w:rPr>
        <w:t xml:space="preserve"> both </w:t>
      </w:r>
      <w:r>
        <w:rPr>
          <w:rFonts w:ascii="Consolas" w:hAnsi="Consolas"/>
          <w:b w:val="0"/>
          <w:sz w:val="20"/>
        </w:rPr>
        <w:t>cache_write_5m_tokens</w:t>
      </w:r>
      <w:r>
        <w:rPr>
          <w:b w:val="0"/>
        </w:rPr>
        <w:t xml:space="preserve"> and </w:t>
      </w:r>
      <w:r>
        <w:rPr>
          <w:rFonts w:ascii="Consolas" w:hAnsi="Consolas"/>
          <w:b w:val="0"/>
          <w:sz w:val="20"/>
        </w:rPr>
        <w:t>cache_write_1h_tokens</w:t>
      </w:r>
      <w:r>
        <w:rPr>
          <w:b w:val="0"/>
        </w:rPr>
        <w:t xml:space="preserve">, and explains why: "pricing differs between 5-minute and 1-hour writes; keeping them in one column would silently double-count or under-count depending on which price the job assumes." The reasoning is right. But §6.6's </w:t>
      </w:r>
      <w:r>
        <w:rPr>
          <w:rFonts w:ascii="Consolas" w:hAnsi="Consolas"/>
          <w:b w:val="0"/>
          <w:sz w:val="20"/>
        </w:rPr>
        <w:t>agent_traces</w:t>
      </w:r>
      <w:r>
        <w:rPr>
          <w:b w:val="0"/>
        </w:rPr>
        <w:t xml:space="preserve"> — the only source of those tokens — still has a single </w:t>
      </w:r>
      <w:r>
        <w:rPr>
          <w:rFonts w:ascii="Consolas" w:hAnsi="Consolas"/>
          <w:b w:val="0"/>
          <w:sz w:val="20"/>
        </w:rPr>
        <w:t>cache_write_tokens</w:t>
      </w:r>
      <w:r>
        <w:rPr>
          <w:b w:val="0"/>
        </w:rPr>
        <w:t xml:space="preserve"> column.</w:t>
      </w:r>
    </w:p>
    <w:p>
      <w:r>
        <w:rPr>
          <w:b w:val="0"/>
        </w:rPr>
        <w:t xml:space="preserve">The roll-up therefore has one number and two columns to put it in. Resolved by carrying the same split on </w:t>
      </w:r>
      <w:r>
        <w:rPr>
          <w:rFonts w:ascii="Consolas" w:hAnsi="Consolas"/>
          <w:b w:val="0"/>
          <w:sz w:val="20"/>
        </w:rPr>
        <w:t>agent_traces</w:t>
      </w:r>
      <w:r>
        <w:rPr>
          <w:b w:val="0"/>
        </w:rPr>
        <w:t>: it has to exist at the source or it cannot exist downstream. The fix for the spec is to apply §6.12's own reasoning to §6.6.</w:t>
      </w:r>
    </w:p>
    <w:p>
      <w:pPr>
        <w:pStyle w:val="Heading2"/>
      </w:pPr>
      <w:r>
        <w:t>4.2  Content cost cannot be attributed to a learner</w:t>
      </w:r>
    </w:p>
    <w:p>
      <w:r>
        <w:rPr>
          <w:b w:val="0"/>
        </w:rPr>
        <w:t xml:space="preserve">§6.12 states the rule: content-generation cost is "attributed to the learner in whose session the generation was triggered", falling back to the system account for Curator pre-generation. </w:t>
      </w:r>
      <w:r>
        <w:rPr>
          <w:rFonts w:ascii="Consolas" w:hAnsi="Consolas"/>
          <w:b w:val="0"/>
          <w:sz w:val="20"/>
        </w:rPr>
        <w:t>content_artifacts</w:t>
      </w:r>
      <w:r>
        <w:rPr>
          <w:b w:val="0"/>
        </w:rPr>
        <w:t xml:space="preserve"> has no session column and no user column. There is no join path from an artifact to a learner, so the rule cannot be implemented at all.</w:t>
      </w:r>
    </w:p>
    <w:p>
      <w:r>
        <w:rPr>
          <w:b w:val="0"/>
        </w:rPr>
        <w:t xml:space="preserve">Resolved by adding </w:t>
      </w:r>
      <w:r>
        <w:rPr>
          <w:rFonts w:ascii="Consolas" w:hAnsi="Consolas"/>
          <w:b w:val="0"/>
          <w:sz w:val="20"/>
        </w:rPr>
        <w:t>generated_for_session_id</w:t>
      </w:r>
      <w:r>
        <w:rPr>
          <w:b w:val="0"/>
        </w:rPr>
        <w:t xml:space="preserve"> — nullable, because pre-generation genuinely has no requesting session, and </w:t>
      </w:r>
      <w:r>
        <w:rPr>
          <w:rFonts w:ascii="Consolas" w:hAnsi="Consolas"/>
          <w:b w:val="0"/>
          <w:sz w:val="20"/>
        </w:rPr>
        <w:t>ON DELETE SET NULL</w:t>
      </w:r>
      <w:r>
        <w:rPr>
          <w:b w:val="0"/>
        </w:rPr>
        <w:t xml:space="preserve"> because an artifact outlives the session that prompted it.</w:t>
      </w:r>
    </w:p>
    <w:p>
      <w:pPr>
        <w:pStyle w:val="Heading2"/>
      </w:pPr>
      <w:r>
        <w:t>4.3  The system synthetic user is referenced but never defined</w:t>
      </w:r>
    </w:p>
    <w:p>
      <w:r>
        <w:rPr>
          <w:b w:val="0"/>
        </w:rPr>
        <w:t xml:space="preserve">§6.12 attributes unattributable cost to "the </w:t>
      </w:r>
      <w:r>
        <w:rPr>
          <w:rFonts w:ascii="Consolas" w:hAnsi="Consolas"/>
          <w:b w:val="0"/>
          <w:sz w:val="20"/>
        </w:rPr>
        <w:t>system</w:t>
      </w:r>
      <w:r>
        <w:rPr>
          <w:b w:val="0"/>
        </w:rPr>
        <w:t xml:space="preserve"> synthetic user" three times. No such user is defined anywhere in §6.</w:t>
      </w:r>
    </w:p>
    <w:p>
      <w:r>
        <w:rPr>
          <w:b w:val="0"/>
        </w:rPr>
        <w:t xml:space="preserve">It cannot simply be booked to a NULL owner, because the same section reserves that: "Rows with </w:t>
      </w:r>
      <w:r>
        <w:rPr>
          <w:rFonts w:ascii="Consolas" w:hAnsi="Consolas"/>
          <w:b w:val="0"/>
          <w:sz w:val="20"/>
        </w:rPr>
        <w:t>user_id IS NULL</w:t>
      </w:r>
      <w:r>
        <w:rPr>
          <w:b w:val="0"/>
        </w:rPr>
        <w:t xml:space="preserve"> represent post-erasure aggregates; the daily job never inserts a NULL owner directly." Overloading NULL would make an erased learner's spend indistinguishable from shared infrastructure cost — which defeats both readings at once.</w:t>
      </w:r>
    </w:p>
    <w:p>
      <w:r>
        <w:rPr>
          <w:b w:val="0"/>
        </w:rPr>
        <w:t>Resolved with a reserved account at a fixed id, seeded by migration 0008, with no password and no auth sessions so it cannot be logged into. A test asserts the roll-up never produces a NULL-owner row.</w:t>
      </w:r>
    </w:p>
    <w:p>
      <w:pPr>
        <w:pStyle w:val="Heading1"/>
      </w:pPr>
      <w:r>
        <w:t>5.  Verification status</w:t>
      </w:r>
    </w:p>
    <w:p>
      <w:r>
        <w:rPr>
          <w:b w:val="0"/>
        </w:rPr>
        <w:t>Stated precisely, because the gap between "written" and "proven" is the main risk this report carries — and it has grown, because the new cost model is almost entirely in the unproven half.</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
              <w:rPr>
                <w:b/>
                <w:sz w:val="18"/>
              </w:rPr>
              <w:t>Property</w:t>
            </w:r>
          </w:p>
        </w:tc>
        <w:tc>
          <w:tcPr>
            <w:tcW w:type="dxa" w:w="1296"/>
          </w:tcPr>
          <w:p>
            <w:r/>
            <w:r>
              <w:rPr>
                <w:b/>
                <w:sz w:val="18"/>
              </w:rPr>
              <w:t>Status</w:t>
            </w:r>
          </w:p>
        </w:tc>
        <w:tc>
          <w:tcPr>
            <w:tcW w:type="dxa" w:w="4176"/>
          </w:tcPr>
          <w:p>
            <w:r/>
            <w:r>
              <w:rPr>
                <w:b/>
                <w:sz w:val="18"/>
              </w:rPr>
              <w:t>Basis</w:t>
            </w:r>
          </w:p>
        </w:tc>
      </w:tr>
      <w:tr>
        <w:tc>
          <w:tcPr>
            <w:tcW w:type="dxa" w:w="3600"/>
          </w:tcPr>
          <w:p>
            <w:r/>
            <w:r>
              <w:rPr>
                <w:b w:val="0"/>
                <w:sz w:val="19"/>
              </w:rPr>
              <w:t>Schema generates valid Postgres DDL (34 tables, 80 indexes)</w:t>
            </w:r>
          </w:p>
        </w:tc>
        <w:tc>
          <w:tcPr>
            <w:tcW w:type="dxa" w:w="1296"/>
          </w:tcPr>
          <w:p>
            <w:r/>
            <w:r>
              <w:rPr>
                <w:b/>
                <w:color w:val="1F6B45"/>
                <w:sz w:val="18"/>
              </w:rPr>
              <w:t>PROVEN</w:t>
            </w:r>
          </w:p>
        </w:tc>
        <w:tc>
          <w:tcPr>
            <w:tcW w:type="dxa" w:w="4176"/>
          </w:tcPr>
          <w:p>
            <w:r/>
            <w:r>
              <w:rPr>
                <w:b w:val="0"/>
                <w:sz w:val="19"/>
              </w:rPr>
              <w:t xml:space="preserve">Compiled against the real </w:t>
            </w:r>
            <w:r>
              <w:rPr>
                <w:rFonts w:ascii="Consolas" w:hAnsi="Consolas"/>
                <w:b w:val="0"/>
                <w:sz w:val="18"/>
              </w:rPr>
              <w:t>postgresql</w:t>
            </w:r>
            <w:r>
              <w:rPr>
                <w:b w:val="0"/>
                <w:sz w:val="19"/>
              </w:rPr>
              <w:t xml:space="preserve"> dialect.</w:t>
            </w:r>
          </w:p>
        </w:tc>
      </w:tr>
      <w:tr>
        <w:tc>
          <w:tcPr>
            <w:tcW w:type="dxa" w:w="3600"/>
          </w:tcPr>
          <w:p>
            <w:r/>
            <w:r>
              <w:rPr>
                <w:b w:val="0"/>
                <w:sz w:val="19"/>
              </w:rPr>
              <w:t>Migration chain is linear and resolves base to 0008</w:t>
            </w:r>
          </w:p>
        </w:tc>
        <w:tc>
          <w:tcPr>
            <w:tcW w:type="dxa" w:w="1296"/>
          </w:tcPr>
          <w:p>
            <w:r/>
            <w:r>
              <w:rPr>
                <w:b/>
                <w:color w:val="1F6B45"/>
                <w:sz w:val="18"/>
              </w:rPr>
              <w:t>PROVEN</w:t>
            </w:r>
          </w:p>
        </w:tc>
        <w:tc>
          <w:tcPr>
            <w:tcW w:type="dxa" w:w="4176"/>
          </w:tcPr>
          <w:p>
            <w:r/>
            <w:r>
              <w:rPr>
                <w:rFonts w:ascii="Consolas" w:hAnsi="Consolas"/>
                <w:b w:val="0"/>
                <w:sz w:val="18"/>
              </w:rPr>
              <w:t>alembic history</w:t>
            </w:r>
            <w:r>
              <w:rPr>
                <w:b w:val="0"/>
                <w:sz w:val="19"/>
              </w:rPr>
              <w:t>.</w:t>
            </w:r>
          </w:p>
        </w:tc>
      </w:tr>
      <w:tr>
        <w:tc>
          <w:tcPr>
            <w:tcW w:type="dxa" w:w="3600"/>
          </w:tcPr>
          <w:p>
            <w:r/>
            <w:r>
              <w:rPr>
                <w:b w:val="0"/>
                <w:sz w:val="19"/>
              </w:rPr>
              <w:t>Every foreign key has a leading or partial index</w:t>
            </w:r>
          </w:p>
        </w:tc>
        <w:tc>
          <w:tcPr>
            <w:tcW w:type="dxa" w:w="1296"/>
          </w:tcPr>
          <w:p>
            <w:r/>
            <w:r>
              <w:rPr>
                <w:b/>
                <w:color w:val="1F6B45"/>
                <w:sz w:val="18"/>
              </w:rPr>
              <w:t>PROVEN</w:t>
            </w:r>
          </w:p>
        </w:tc>
        <w:tc>
          <w:tcPr>
            <w:tcW w:type="dxa" w:w="4176"/>
          </w:tcPr>
          <w:p>
            <w:r/>
            <w:r>
              <w:rPr>
                <w:b w:val="0"/>
                <w:sz w:val="19"/>
              </w:rPr>
              <w:t>Metadata-driven assertions.</w:t>
            </w:r>
          </w:p>
        </w:tc>
      </w:tr>
      <w:tr>
        <w:tc>
          <w:tcPr>
            <w:tcW w:type="dxa" w:w="3600"/>
          </w:tcPr>
          <w:p>
            <w:r/>
            <w:r>
              <w:rPr>
                <w:b w:val="0"/>
                <w:sz w:val="19"/>
              </w:rPr>
              <w:t>Ledger has five categories and a generated total</w:t>
            </w:r>
          </w:p>
        </w:tc>
        <w:tc>
          <w:tcPr>
            <w:tcW w:type="dxa" w:w="1296"/>
          </w:tcPr>
          <w:p>
            <w:r/>
            <w:r>
              <w:rPr>
                <w:b/>
                <w:color w:val="1F6B45"/>
                <w:sz w:val="18"/>
              </w:rPr>
              <w:t>PROVEN</w:t>
            </w:r>
          </w:p>
        </w:tc>
        <w:tc>
          <w:tcPr>
            <w:tcW w:type="dxa" w:w="4176"/>
          </w:tcPr>
          <w:p>
            <w:r/>
            <w:r>
              <w:rPr>
                <w:b w:val="0"/>
                <w:sz w:val="19"/>
              </w:rPr>
              <w:t>Offline shape test over the model metadata.</w:t>
            </w:r>
          </w:p>
        </w:tc>
      </w:tr>
      <w:tr>
        <w:tc>
          <w:tcPr>
            <w:tcW w:type="dxa" w:w="3600"/>
          </w:tcPr>
          <w:p>
            <w:r/>
            <w:r>
              <w:rPr>
                <w:b w:val="0"/>
                <w:sz w:val="19"/>
              </w:rPr>
              <w:t>Cache-write split present on both ledger and source</w:t>
            </w:r>
          </w:p>
        </w:tc>
        <w:tc>
          <w:tcPr>
            <w:tcW w:type="dxa" w:w="1296"/>
          </w:tcPr>
          <w:p>
            <w:r/>
            <w:r>
              <w:rPr>
                <w:b/>
                <w:color w:val="1F6B45"/>
                <w:sz w:val="18"/>
              </w:rPr>
              <w:t>PROVEN</w:t>
            </w:r>
          </w:p>
        </w:tc>
        <w:tc>
          <w:tcPr>
            <w:tcW w:type="dxa" w:w="4176"/>
          </w:tcPr>
          <w:p>
            <w:r/>
            <w:r>
              <w:rPr>
                <w:b w:val="0"/>
                <w:sz w:val="19"/>
              </w:rPr>
              <w:t>Offline shape test.</w:t>
            </w:r>
          </w:p>
        </w:tc>
      </w:tr>
      <w:tr>
        <w:tc>
          <w:tcPr>
            <w:tcW w:type="dxa" w:w="3600"/>
          </w:tcPr>
          <w:p>
            <w:r/>
            <w:r>
              <w:rPr>
                <w:b w:val="0"/>
                <w:sz w:val="19"/>
              </w:rPr>
              <w:t xml:space="preserve">Every mutable table has an </w:t>
            </w:r>
            <w:r>
              <w:rPr>
                <w:rFonts w:ascii="Consolas" w:hAnsi="Consolas"/>
                <w:b w:val="0"/>
                <w:sz w:val="18"/>
              </w:rPr>
              <w:t>updated_at</w:t>
            </w:r>
            <w:r>
              <w:rPr>
                <w:b w:val="0"/>
                <w:sz w:val="19"/>
              </w:rPr>
              <w:t xml:space="preserve"> trigger</w:t>
            </w:r>
          </w:p>
        </w:tc>
        <w:tc>
          <w:tcPr>
            <w:tcW w:type="dxa" w:w="1296"/>
          </w:tcPr>
          <w:p>
            <w:r/>
            <w:r>
              <w:rPr>
                <w:b/>
                <w:color w:val="1F6B45"/>
                <w:sz w:val="18"/>
              </w:rPr>
              <w:t>PROVEN</w:t>
            </w:r>
          </w:p>
        </w:tc>
        <w:tc>
          <w:tcPr>
            <w:tcW w:type="dxa" w:w="4176"/>
          </w:tcPr>
          <w:p>
            <w:r/>
            <w:r>
              <w:rPr>
                <w:b w:val="0"/>
                <w:sz w:val="19"/>
              </w:rPr>
              <w:t>AST scan across all eight migrations.</w:t>
            </w:r>
          </w:p>
        </w:tc>
      </w:tr>
      <w:tr>
        <w:tc>
          <w:tcPr>
            <w:tcW w:type="dxa" w:w="3600"/>
          </w:tcPr>
          <w:p>
            <w:r/>
            <w:r>
              <w:rPr>
                <w:b w:val="0"/>
                <w:sz w:val="19"/>
              </w:rPr>
              <w:t>Every migration has a downgrade and a changelog entry</w:t>
            </w:r>
          </w:p>
        </w:tc>
        <w:tc>
          <w:tcPr>
            <w:tcW w:type="dxa" w:w="1296"/>
          </w:tcPr>
          <w:p>
            <w:r/>
            <w:r>
              <w:rPr>
                <w:b/>
                <w:color w:val="1F6B45"/>
                <w:sz w:val="18"/>
              </w:rPr>
              <w:t>PROVEN</w:t>
            </w:r>
          </w:p>
        </w:tc>
        <w:tc>
          <w:tcPr>
            <w:tcW w:type="dxa" w:w="4176"/>
          </w:tcPr>
          <w:p>
            <w:r/>
            <w:r>
              <w:rPr>
                <w:b w:val="0"/>
                <w:sz w:val="19"/>
              </w:rPr>
              <w:t>AST inspection.</w:t>
            </w:r>
          </w:p>
        </w:tc>
      </w:tr>
      <w:tr>
        <w:tc>
          <w:tcPr>
            <w:tcW w:type="dxa" w:w="3600"/>
          </w:tcPr>
          <w:p>
            <w:r/>
            <w:r>
              <w:rPr>
                <w:b w:val="0"/>
                <w:sz w:val="19"/>
              </w:rPr>
              <w:t>Mastery, pass computation, FSRS, access projections</w:t>
            </w:r>
          </w:p>
        </w:tc>
        <w:tc>
          <w:tcPr>
            <w:tcW w:type="dxa" w:w="1296"/>
          </w:tcPr>
          <w:p>
            <w:r/>
            <w:r>
              <w:rPr>
                <w:b/>
                <w:color w:val="1F6B45"/>
                <w:sz w:val="18"/>
              </w:rPr>
              <w:t>PROVEN</w:t>
            </w:r>
          </w:p>
        </w:tc>
        <w:tc>
          <w:tcPr>
            <w:tcW w:type="dxa" w:w="4176"/>
          </w:tcPr>
          <w:p>
            <w:r/>
            <w:r>
              <w:rPr>
                <w:b w:val="0"/>
                <w:sz w:val="19"/>
              </w:rPr>
              <w:t>39 unit tests.</w:t>
            </w:r>
          </w:p>
        </w:tc>
      </w:tr>
      <w:tr>
        <w:tc>
          <w:tcPr>
            <w:tcW w:type="dxa" w:w="3600"/>
          </w:tcPr>
          <w:p>
            <w:r/>
            <w:r>
              <w:rPr>
                <w:b w:val="0"/>
                <w:sz w:val="19"/>
              </w:rPr>
              <w:t>Code style and imports</w:t>
            </w:r>
          </w:p>
        </w:tc>
        <w:tc>
          <w:tcPr>
            <w:tcW w:type="dxa" w:w="1296"/>
          </w:tcPr>
          <w:p>
            <w:r/>
            <w:r>
              <w:rPr>
                <w:b/>
                <w:color w:val="1F6B45"/>
                <w:sz w:val="18"/>
              </w:rPr>
              <w:t>PROVEN</w:t>
            </w:r>
          </w:p>
        </w:tc>
        <w:tc>
          <w:tcPr>
            <w:tcW w:type="dxa" w:w="4176"/>
          </w:tcPr>
          <w:p>
            <w:r/>
            <w:r>
              <w:rPr>
                <w:b w:val="0"/>
                <w:sz w:val="19"/>
              </w:rPr>
              <w:t>Ruff clean; all modules import.</w:t>
            </w:r>
          </w:p>
        </w:tc>
      </w:tr>
      <w:tr>
        <w:tc>
          <w:tcPr>
            <w:tcW w:type="dxa" w:w="3600"/>
          </w:tcPr>
          <w:p>
            <w:r/>
            <w:r>
              <w:rPr>
                <w:b w:val="0"/>
                <w:sz w:val="19"/>
              </w:rPr>
              <w:t>The five-source roll-up and its attribution rules</w:t>
            </w:r>
          </w:p>
        </w:tc>
        <w:tc>
          <w:tcPr>
            <w:tcW w:type="dxa" w:w="1296"/>
          </w:tcPr>
          <w:p>
            <w:r/>
            <w:r>
              <w:rPr>
                <w:b/>
                <w:color w:val="9C2F28"/>
                <w:sz w:val="18"/>
              </w:rPr>
              <w:t>UNPROVEN</w:t>
            </w:r>
          </w:p>
        </w:tc>
        <w:tc>
          <w:tcPr>
            <w:tcW w:type="dxa" w:w="4176"/>
          </w:tcPr>
          <w:p>
            <w:r/>
            <w:r>
              <w:rPr>
                <w:b w:val="0"/>
                <w:sz w:val="19"/>
              </w:rPr>
              <w:t>16 tests written, never run.</w:t>
            </w:r>
          </w:p>
        </w:tc>
      </w:tr>
      <w:tr>
        <w:tc>
          <w:tcPr>
            <w:tcW w:type="dxa" w:w="3600"/>
          </w:tcPr>
          <w:p>
            <w:r/>
            <w:r>
              <w:rPr>
                <w:b w:val="0"/>
                <w:sz w:val="19"/>
              </w:rPr>
              <w:t>The generated total rejects a direct write</w:t>
            </w:r>
          </w:p>
        </w:tc>
        <w:tc>
          <w:tcPr>
            <w:tcW w:type="dxa" w:w="1296"/>
          </w:tcPr>
          <w:p>
            <w:r/>
            <w:r>
              <w:rPr>
                <w:b/>
                <w:color w:val="9C2F28"/>
                <w:sz w:val="18"/>
              </w:rPr>
              <w:t>UNPROVEN</w:t>
            </w:r>
          </w:p>
        </w:tc>
        <w:tc>
          <w:tcPr>
            <w:tcW w:type="dxa" w:w="4176"/>
          </w:tcPr>
          <w:p>
            <w:r/>
            <w:r>
              <w:rPr>
                <w:b w:val="0"/>
                <w:sz w:val="19"/>
              </w:rPr>
              <w:t>Test written, never run.</w:t>
            </w:r>
          </w:p>
        </w:tc>
      </w:tr>
      <w:tr>
        <w:tc>
          <w:tcPr>
            <w:tcW w:type="dxa" w:w="3600"/>
          </w:tcPr>
          <w:p>
            <w:r/>
            <w:r>
              <w:rPr>
                <w:rFonts w:ascii="Consolas" w:hAnsi="Consolas"/>
                <w:b w:val="0"/>
                <w:sz w:val="18"/>
              </w:rPr>
              <w:t>ON CONFLICT</w:t>
            </w:r>
            <w:r>
              <w:rPr>
                <w:b w:val="0"/>
                <w:sz w:val="19"/>
              </w:rPr>
              <w:t xml:space="preserve"> inference against NULLS NOT DISTINCT</w:t>
            </w:r>
          </w:p>
        </w:tc>
        <w:tc>
          <w:tcPr>
            <w:tcW w:type="dxa" w:w="1296"/>
          </w:tcPr>
          <w:p>
            <w:r/>
            <w:r>
              <w:rPr>
                <w:b/>
                <w:color w:val="9C2F28"/>
                <w:sz w:val="18"/>
              </w:rPr>
              <w:t>UNPROVEN</w:t>
            </w:r>
          </w:p>
        </w:tc>
        <w:tc>
          <w:tcPr>
            <w:tcW w:type="dxa" w:w="4176"/>
          </w:tcPr>
          <w:p>
            <w:r/>
            <w:r>
              <w:rPr>
                <w:b w:val="0"/>
                <w:sz w:val="19"/>
              </w:rPr>
              <w:t>Exercised only by the unrun roll-up tests.</w:t>
            </w:r>
          </w:p>
        </w:tc>
      </w:tr>
      <w:tr>
        <w:tc>
          <w:tcPr>
            <w:tcW w:type="dxa" w:w="3600"/>
          </w:tcPr>
          <w:p>
            <w:r/>
            <w:r>
              <w:rPr>
                <w:b w:val="0"/>
                <w:sz w:val="19"/>
              </w:rPr>
              <w:t>The erasure procedure and its ordering</w:t>
            </w:r>
          </w:p>
        </w:tc>
        <w:tc>
          <w:tcPr>
            <w:tcW w:type="dxa" w:w="1296"/>
          </w:tcPr>
          <w:p>
            <w:r/>
            <w:r>
              <w:rPr>
                <w:b/>
                <w:color w:val="9C2F28"/>
                <w:sz w:val="18"/>
              </w:rPr>
              <w:t>UNPROVEN</w:t>
            </w:r>
          </w:p>
        </w:tc>
        <w:tc>
          <w:tcPr>
            <w:tcW w:type="dxa" w:w="4176"/>
          </w:tcPr>
          <w:p>
            <w:r/>
            <w:r>
              <w:rPr>
                <w:b w:val="0"/>
                <w:sz w:val="19"/>
              </w:rPr>
              <w:t>10 tests written, never run.</w:t>
            </w:r>
          </w:p>
        </w:tc>
      </w:tr>
      <w:tr>
        <w:tc>
          <w:tcPr>
            <w:tcW w:type="dxa" w:w="3600"/>
          </w:tcPr>
          <w:p>
            <w:r/>
            <w:r>
              <w:rPr>
                <w:rFonts w:ascii="Consolas" w:hAnsi="Consolas"/>
                <w:b w:val="0"/>
                <w:sz w:val="18"/>
              </w:rPr>
              <w:t>uuid_generate_v7()</w:t>
            </w:r>
            <w:r>
              <w:rPr>
                <w:b w:val="0"/>
                <w:sz w:val="19"/>
              </w:rPr>
              <w:t xml:space="preserve"> produces valid v7 UUIDs</w:t>
            </w:r>
          </w:p>
        </w:tc>
        <w:tc>
          <w:tcPr>
            <w:tcW w:type="dxa" w:w="1296"/>
          </w:tcPr>
          <w:p>
            <w:r/>
            <w:r>
              <w:rPr>
                <w:b/>
                <w:color w:val="9C2F28"/>
                <w:sz w:val="18"/>
              </w:rPr>
              <w:t>UNPROVEN</w:t>
            </w:r>
          </w:p>
        </w:tc>
        <w:tc>
          <w:tcPr>
            <w:tcW w:type="dxa" w:w="4176"/>
          </w:tcPr>
          <w:p>
            <w:r/>
            <w:r>
              <w:rPr>
                <w:b w:val="0"/>
                <w:sz w:val="19"/>
              </w:rPr>
              <w:t>Both bodies reasoned by character count; the runtime test has never executed.</w:t>
            </w:r>
          </w:p>
        </w:tc>
      </w:tr>
      <w:tr>
        <w:tc>
          <w:tcPr>
            <w:tcW w:type="dxa" w:w="3600"/>
          </w:tcPr>
          <w:p>
            <w:r/>
            <w:r>
              <w:rPr>
                <w:b w:val="0"/>
                <w:sz w:val="19"/>
              </w:rPr>
              <w:t>Cascades, RESTRICT, composite keys, cycle detection</w:t>
            </w:r>
          </w:p>
        </w:tc>
        <w:tc>
          <w:tcPr>
            <w:tcW w:type="dxa" w:w="1296"/>
          </w:tcPr>
          <w:p>
            <w:r/>
            <w:r>
              <w:rPr>
                <w:b/>
                <w:color w:val="9C2F28"/>
                <w:sz w:val="18"/>
              </w:rPr>
              <w:t>UNPROVEN</w:t>
            </w:r>
          </w:p>
        </w:tc>
        <w:tc>
          <w:tcPr>
            <w:tcW w:type="dxa" w:w="4176"/>
          </w:tcPr>
          <w:p>
            <w:r/>
            <w:r>
              <w:rPr>
                <w:b w:val="0"/>
                <w:sz w:val="19"/>
              </w:rPr>
              <w:t>Never run.</w:t>
            </w:r>
          </w:p>
        </w:tc>
      </w:tr>
      <w:tr>
        <w:tc>
          <w:tcPr>
            <w:tcW w:type="dxa" w:w="3600"/>
          </w:tcPr>
          <w:p>
            <w:r/>
            <w:r>
              <w:rPr>
                <w:b w:val="0"/>
                <w:sz w:val="19"/>
              </w:rPr>
              <w:t>Query plans avoid sequential scans</w:t>
            </w:r>
          </w:p>
        </w:tc>
        <w:tc>
          <w:tcPr>
            <w:tcW w:type="dxa" w:w="1296"/>
          </w:tcPr>
          <w:p>
            <w:r/>
            <w:r>
              <w:rPr>
                <w:b/>
                <w:color w:val="9C2F28"/>
                <w:sz w:val="18"/>
              </w:rPr>
              <w:t>UNPROVEN</w:t>
            </w:r>
          </w:p>
        </w:tc>
        <w:tc>
          <w:tcPr>
            <w:tcW w:type="dxa" w:w="4176"/>
          </w:tcPr>
          <w:p>
            <w:r/>
            <w:r>
              <w:rPr>
                <w:b w:val="0"/>
                <w:sz w:val="19"/>
              </w:rPr>
              <w:t>Never run.</w:t>
            </w:r>
          </w:p>
        </w:tc>
      </w:tr>
      <w:tr>
        <w:tc>
          <w:tcPr>
            <w:tcW w:type="dxa" w:w="3600"/>
          </w:tcPr>
          <w:p>
            <w:r/>
            <w:r>
              <w:rPr>
                <w:b w:val="0"/>
                <w:sz w:val="19"/>
              </w:rPr>
              <w:t>Migrations apply and round-trip cleanly</w:t>
            </w:r>
          </w:p>
        </w:tc>
        <w:tc>
          <w:tcPr>
            <w:tcW w:type="dxa" w:w="1296"/>
          </w:tcPr>
          <w:p>
            <w:r/>
            <w:r>
              <w:rPr>
                <w:b/>
                <w:color w:val="9C2F28"/>
                <w:sz w:val="18"/>
              </w:rPr>
              <w:t>UNPROVEN</w:t>
            </w:r>
          </w:p>
        </w:tc>
        <w:tc>
          <w:tcPr>
            <w:tcW w:type="dxa" w:w="4176"/>
          </w:tcPr>
          <w:p>
            <w:r/>
            <w:r>
              <w:rPr>
                <w:b w:val="0"/>
                <w:sz w:val="19"/>
              </w:rPr>
              <w:t>Never run — and 0004 is the first non-additive migration, so its downgrade is entirely untested.</w:t>
            </w:r>
          </w:p>
        </w:tc>
      </w:tr>
    </w:tbl>
    <w:p/>
    <w:p>
      <w:pPr>
        <w:pStyle w:val="IntenseQuote"/>
      </w:pPr>
      <w:r>
        <w:rPr>
          <w:b/>
          <w:color w:val="2B46A8"/>
          <w:sz w:val="18"/>
        </w:rPr>
        <w:t xml:space="preserve">TO VERIFY  </w:t>
      </w:r>
      <w:r>
        <w:rPr>
          <w:rFonts w:ascii="Consolas" w:hAnsi="Consolas"/>
          <w:b w:val="0"/>
          <w:sz w:val="20"/>
        </w:rPr>
        <w:t>cd backend &amp;&amp; make test-db-up &amp;&amp; make test</w:t>
      </w:r>
      <w:r>
        <w:rPr>
          <w:b w:val="0"/>
        </w:rPr>
        <w:t xml:space="preserve"> — the new compose file provisions the database on port 5433 with tmpfs storage, so it cannot disturb a development instance.</w:t>
      </w:r>
    </w:p>
    <w:p>
      <w:pPr>
        <w:pStyle w:val="Heading1"/>
      </w:pPr>
      <w:r>
        <w:t>6.  What could not be completed</w:t>
      </w:r>
    </w:p>
    <w:p>
      <w:pPr>
        <w:pStyle w:val="Heading2"/>
      </w:pPr>
      <w:r>
        <w:t>Database verification — unchanged and still environmental</w:t>
      </w:r>
    </w:p>
    <w:p>
      <w:r>
        <w:rPr>
          <w:b w:val="0"/>
        </w:rPr>
        <w:t xml:space="preserve">No Postgres, Docker or </w:t>
      </w:r>
      <w:r>
        <w:rPr>
          <w:rFonts w:ascii="Consolas" w:hAnsi="Consolas"/>
          <w:b w:val="0"/>
          <w:sz w:val="20"/>
        </w:rPr>
        <w:t>psql</w:t>
      </w:r>
      <w:r>
        <w:rPr>
          <w:b w:val="0"/>
        </w:rPr>
        <w:t xml:space="preserve"> on this machine. Installing a database server is not a change I would make to your environment unasked. The count of unrun tests has risen from 34 to 47 because the new cost model is tested where it has to be tested — against a server that can actually evaluate a generated column and an </w:t>
      </w:r>
      <w:r>
        <w:rPr>
          <w:rFonts w:ascii="Consolas" w:hAnsi="Consolas"/>
          <w:b w:val="0"/>
          <w:sz w:val="20"/>
        </w:rPr>
        <w:t>ON CONFLICT</w:t>
      </w:r>
      <w:r>
        <w:rPr>
          <w:b w:val="0"/>
        </w:rPr>
        <w:t xml:space="preserve"> inference.</w:t>
      </w:r>
    </w:p>
    <w:p>
      <w:pPr>
        <w:pStyle w:val="Heading2"/>
      </w:pPr>
      <w:r>
        <w:t>A v1.2 for the three new defects</w:t>
      </w:r>
    </w:p>
    <w:p>
      <w:r>
        <w:rPr>
          <w:b w:val="0"/>
        </w:rPr>
        <w:t>The implementation resolves all three, but the specification still contains them. Until §6.6 gains the cache-write split, §6.4 gains the attribution column, and §6 defines the system account, the code and the document disagree again — which is precisely the state ratification just cleared. Writing v1.2 is a decision for you, not a change I would make to the spec unilaterally.</w:t>
      </w:r>
    </w:p>
    <w:p>
      <w:pPr>
        <w:pStyle w:val="Heading2"/>
      </w:pPr>
      <w:r>
        <w:t>Subsystems 2 through 7</w:t>
      </w:r>
    </w:p>
    <w:p>
      <w:r>
        <w:rPr>
          <w:b w:val="0"/>
        </w:rPr>
        <w:t>Still unspecified. v1.1's closing line says subsystem 2 "is written against v1.1", which is now true of the schema — with the three §6.12 caveats above.</w:t>
      </w:r>
    </w:p>
    <w:p>
      <w:pPr>
        <w:pStyle w:val="Heading2"/>
      </w:pPr>
      <w:r>
        <w:t>Carried over, unchanged</w:t>
      </w:r>
    </w:p>
    <w:p>
      <w:pPr>
        <w:pStyle w:val="ListBullet"/>
      </w:pPr>
      <w:r>
        <w:rPr>
          <w:b w:val="0"/>
        </w:rPr>
        <w:t xml:space="preserve">No CI pipeline configuration. §14 now describes the wiring precisely — Tier 1 on every push, Tier 2 on </w:t>
      </w:r>
      <w:r>
        <w:rPr>
          <w:rFonts w:ascii="Consolas" w:hAnsi="Consolas"/>
          <w:b w:val="0"/>
          <w:sz w:val="20"/>
        </w:rPr>
        <w:t>main</w:t>
      </w:r>
      <w:r>
        <w:rPr>
          <w:b w:val="0"/>
        </w:rPr>
        <w:t xml:space="preserve"> and on pull requests touching schema, migrations, </w:t>
      </w:r>
      <w:r>
        <w:rPr>
          <w:rFonts w:ascii="Consolas" w:hAnsi="Consolas"/>
          <w:b w:val="0"/>
          <w:sz w:val="20"/>
        </w:rPr>
        <w:t>studium.privacy</w:t>
      </w:r>
      <w:r>
        <w:rPr>
          <w:b w:val="0"/>
        </w:rPr>
        <w:t xml:space="preserve"> or </w:t>
      </w:r>
      <w:r>
        <w:rPr>
          <w:rFonts w:ascii="Consolas" w:hAnsi="Consolas"/>
          <w:b w:val="0"/>
          <w:sz w:val="20"/>
        </w:rPr>
        <w:t>studium.cost</w:t>
      </w:r>
      <w:r>
        <w:rPr>
          <w:b w:val="0"/>
        </w:rPr>
        <w:t xml:space="preserve"> — but no workflow file implements it. Roughly an hour once you name the CI provider.</w:t>
      </w:r>
    </w:p>
    <w:p>
      <w:pPr>
        <w:pStyle w:val="ListBullet"/>
      </w:pPr>
      <w:r>
        <w:rPr>
          <w:b w:val="0"/>
        </w:rPr>
        <w:t>The draft migration has never run on real data; it needs a database.</w:t>
      </w:r>
    </w:p>
    <w:p>
      <w:pPr>
        <w:pStyle w:val="ListBullet"/>
      </w:pPr>
      <w:r>
        <w:rPr>
          <w:b w:val="0"/>
        </w:rPr>
        <w:t>Performance is unmeasured. Plan shape is asserted; wall-clock is not a stable gate on a laptop.</w:t>
      </w:r>
    </w:p>
    <w:p>
      <w:r>
        <w:br w:type="page"/>
      </w:r>
    </w:p>
    <w:p>
      <w:pPr>
        <w:pStyle w:val="Heading1"/>
      </w:pPr>
      <w:r>
        <w:t>7.  Decisions required</w:t>
      </w:r>
    </w:p>
    <w:p>
      <w:r>
        <w:rPr>
          <w:b w:val="0"/>
        </w:rPr>
        <w:t>Ratification resolved three of the nine decisions in the previous report. Six remain, and three are new.</w:t>
      </w:r>
    </w:p>
    <w:p>
      <w:pPr>
        <w:pStyle w:val="Heading2"/>
      </w:pPr>
      <w:r>
        <w:t>Resolved by v1.1</w:t>
      </w:r>
    </w:p>
    <w:tbl>
      <w:tblPr>
        <w:tblStyle w:val="LightGrid-Accent1"/>
        <w:tblW w:type="auto" w:w="0"/>
        <w:tblLook w:firstColumn="1" w:firstRow="1" w:lastColumn="0" w:lastRow="0" w:noHBand="0" w:noVBand="1" w:val="04A0"/>
      </w:tblPr>
      <w:tblGrid>
        <w:gridCol w:w="2880"/>
        <w:gridCol w:w="2880"/>
        <w:gridCol w:w="2880"/>
      </w:tblGrid>
      <w:tr>
        <w:tc>
          <w:tcPr>
            <w:tcW w:type="dxa" w:w="720"/>
          </w:tcPr>
          <w:p>
            <w:r/>
            <w:r>
              <w:rPr>
                <w:b/>
                <w:sz w:val="18"/>
              </w:rPr>
              <w:t>Ref</w:t>
            </w:r>
          </w:p>
        </w:tc>
        <w:tc>
          <w:tcPr>
            <w:tcW w:type="dxa" w:w="3168"/>
          </w:tcPr>
          <w:p>
            <w:r/>
            <w:r>
              <w:rPr>
                <w:b/>
                <w:sz w:val="18"/>
              </w:rPr>
              <w:t>Decision</w:t>
            </w:r>
          </w:p>
        </w:tc>
        <w:tc>
          <w:tcPr>
            <w:tcW w:type="dxa" w:w="5328"/>
          </w:tcPr>
          <w:p>
            <w:r/>
            <w:r>
              <w:rPr>
                <w:b/>
                <w:sz w:val="18"/>
              </w:rPr>
              <w:t>Outcome</w:t>
            </w:r>
          </w:p>
        </w:tc>
      </w:tr>
      <w:tr>
        <w:tc>
          <w:tcPr>
            <w:tcW w:type="dxa" w:w="720"/>
          </w:tcPr>
          <w:p>
            <w:r/>
            <w:r>
              <w:rPr>
                <w:b w:val="0"/>
                <w:sz w:val="19"/>
              </w:rPr>
              <w:t>D1</w:t>
            </w:r>
          </w:p>
        </w:tc>
        <w:tc>
          <w:tcPr>
            <w:tcW w:type="dxa" w:w="3168"/>
          </w:tcPr>
          <w:p>
            <w:r/>
            <w:r>
              <w:rPr>
                <w:b w:val="0"/>
                <w:sz w:val="19"/>
              </w:rPr>
              <w:t>Ratify or overrule the schema deviations</w:t>
            </w:r>
          </w:p>
        </w:tc>
        <w:tc>
          <w:tcPr>
            <w:tcW w:type="dxa" w:w="5328"/>
          </w:tcPr>
          <w:p>
            <w:r/>
            <w:r>
              <w:rPr>
                <w:b w:val="0"/>
                <w:sz w:val="19"/>
              </w:rPr>
              <w:t>RESOLVED — v1.1 adopts substantially all of them</w:t>
            </w:r>
          </w:p>
        </w:tc>
      </w:tr>
      <w:tr>
        <w:tc>
          <w:tcPr>
            <w:tcW w:type="dxa" w:w="720"/>
          </w:tcPr>
          <w:p>
            <w:r/>
            <w:r>
              <w:rPr>
                <w:b w:val="0"/>
                <w:sz w:val="19"/>
              </w:rPr>
              <w:t>D4</w:t>
            </w:r>
          </w:p>
        </w:tc>
        <w:tc>
          <w:tcPr>
            <w:tcW w:type="dxa" w:w="3168"/>
          </w:tcPr>
          <w:p>
            <w:r/>
            <w:r>
              <w:rPr>
                <w:b w:val="0"/>
                <w:sz w:val="19"/>
              </w:rPr>
              <w:t>The right-to-erasure approach</w:t>
            </w:r>
          </w:p>
        </w:tc>
        <w:tc>
          <w:tcPr>
            <w:tcW w:type="dxa" w:w="5328"/>
          </w:tcPr>
          <w:p>
            <w:r/>
            <w:r>
              <w:rPr>
                <w:b w:val="0"/>
                <w:sz w:val="19"/>
              </w:rPr>
              <w:t>RESOLVED — §10 ratifies anonymise-then-delete with nullable owner columns. A legal read is still worth having before real user data exists.</w:t>
            </w:r>
          </w:p>
        </w:tc>
      </w:tr>
      <w:tr>
        <w:tc>
          <w:tcPr>
            <w:tcW w:type="dxa" w:w="720"/>
          </w:tcPr>
          <w:p>
            <w:r/>
            <w:r>
              <w:rPr>
                <w:b w:val="0"/>
                <w:sz w:val="19"/>
              </w:rPr>
              <w:t>D5</w:t>
            </w:r>
          </w:p>
        </w:tc>
        <w:tc>
          <w:tcPr>
            <w:tcW w:type="dxa" w:w="3168"/>
          </w:tcPr>
          <w:p>
            <w:r/>
            <w:r>
              <w:rPr>
                <w:b w:val="0"/>
                <w:sz w:val="19"/>
              </w:rPr>
              <w:t>Whether to version the concept graph</w:t>
            </w:r>
          </w:p>
        </w:tc>
        <w:tc>
          <w:tcPr>
            <w:tcW w:type="dxa" w:w="5328"/>
          </w:tcPr>
          <w:p>
            <w:r/>
            <w:r>
              <w:rPr>
                <w:b w:val="0"/>
                <w:sz w:val="19"/>
              </w:rPr>
              <w:t>RESOLVED — §6.2 states the limitation plainly and sets a revisit trigger at roughly 30 learners on an actively-edited subject</w:t>
            </w:r>
          </w:p>
        </w:tc>
      </w:tr>
    </w:tbl>
    <w:p/>
    <w:p>
      <w:pPr>
        <w:pStyle w:val="Heading2"/>
      </w:pPr>
      <w:r>
        <w:t>Still open</w:t>
      </w:r>
    </w:p>
    <w:p>
      <w:pPr>
        <w:spacing w:before="200" w:after="40"/>
      </w:pPr>
      <w:r>
        <w:rPr>
          <w:rFonts w:ascii="Consolas" w:hAnsi="Consolas"/>
          <w:b/>
          <w:color w:val="2B46A8"/>
          <w:sz w:val="20"/>
        </w:rPr>
        <w:t xml:space="preserve">D2  </w:t>
      </w:r>
      <w:r>
        <w:rPr>
          <w:b/>
          <w:sz w:val="22"/>
        </w:rPr>
        <w:t xml:space="preserve">The forgetting-curve half-life  </w:t>
      </w:r>
      <w:r>
        <w:rPr>
          <w:b/>
          <w:color w:val="8A5A08"/>
          <w:sz w:val="17"/>
        </w:rPr>
        <w:t>OPEN</w:t>
      </w:r>
    </w:p>
    <w:p>
      <w:pPr>
        <w:spacing w:after="20"/>
        <w:ind w:left="432"/>
      </w:pPr>
      <w:r>
        <w:rPr>
          <w:b/>
          <w:color w:val="46536A"/>
          <w:sz w:val="18"/>
        </w:rPr>
        <w:t xml:space="preserve">Why yours: </w:t>
      </w:r>
      <w:r>
        <w:rPr>
          <w:b w:val="0"/>
          <w:sz w:val="20"/>
        </w:rPr>
        <w:t>I set it to 30 days and v1.1 did not rule on it — §16 still defers BKT parameters to the Agent Runtime spec. It controls how quickly a learner's concepts re-lock, so it is a pedagogical decision wearing an engineering costume.</w:t>
      </w:r>
    </w:p>
    <w:p>
      <w:pPr>
        <w:spacing w:after="20"/>
        <w:ind w:left="432"/>
      </w:pPr>
      <w:r>
        <w:rPr>
          <w:b/>
          <w:color w:val="46536A"/>
          <w:sz w:val="18"/>
        </w:rPr>
        <w:t xml:space="preserve">Assumed: </w:t>
      </w:r>
      <w:r>
        <w:rPr>
          <w:b w:val="0"/>
          <w:sz w:val="20"/>
        </w:rPr>
        <w:t>30 days, one constant, one place to change it.</w:t>
      </w:r>
    </w:p>
    <w:p>
      <w:pPr>
        <w:spacing w:after="20"/>
        <w:ind w:left="432"/>
      </w:pPr>
      <w:r>
        <w:rPr>
          <w:b/>
          <w:color w:val="46536A"/>
          <w:sz w:val="18"/>
        </w:rPr>
        <w:t xml:space="preserve">Blocks: </w:t>
      </w:r>
      <w:r>
        <w:rPr>
          <w:b w:val="0"/>
          <w:sz w:val="20"/>
        </w:rPr>
        <w:t>Nothing technically. Affects every learner's experience.</w:t>
      </w:r>
    </w:p>
    <w:p>
      <w:pPr>
        <w:spacing w:before="200" w:after="40"/>
      </w:pPr>
      <w:r>
        <w:rPr>
          <w:rFonts w:ascii="Consolas" w:hAnsi="Consolas"/>
          <w:b/>
          <w:color w:val="2B46A8"/>
          <w:sz w:val="20"/>
        </w:rPr>
        <w:t xml:space="preserve">D3  </w:t>
      </w:r>
      <w:r>
        <w:rPr>
          <w:b/>
          <w:sz w:val="22"/>
        </w:rPr>
        <w:t xml:space="preserve">How per-criterion grades become an attempt score  </w:t>
      </w:r>
      <w:r>
        <w:rPr>
          <w:b/>
          <w:color w:val="8A5A08"/>
          <w:sz w:val="17"/>
        </w:rPr>
        <w:t>OPEN</w:t>
      </w:r>
    </w:p>
    <w:p>
      <w:pPr>
        <w:spacing w:after="20"/>
        <w:ind w:left="432"/>
      </w:pPr>
      <w:r>
        <w:rPr>
          <w:b/>
          <w:color w:val="46536A"/>
          <w:sz w:val="18"/>
        </w:rPr>
        <w:t xml:space="preserve">Why yours: </w:t>
      </w:r>
      <w:r>
        <w:rPr>
          <w:b w:val="0"/>
          <w:sz w:val="20"/>
        </w:rPr>
        <w:t xml:space="preserve">§6.8 still defines grades 0–2 and weights 1–3 without saying how they combine, and </w:t>
      </w:r>
      <w:r>
        <w:rPr>
          <w:rFonts w:ascii="Consolas" w:hAnsi="Consolas"/>
          <w:b w:val="0"/>
          <w:sz w:val="19"/>
        </w:rPr>
        <w:t>compute_pass</w:t>
      </w:r>
      <w:r>
        <w:rPr>
          <w:b w:val="0"/>
          <w:sz w:val="20"/>
        </w:rPr>
        <w:t xml:space="preserve"> needs it — so this rule decides who passes.</w:t>
      </w:r>
    </w:p>
    <w:p>
      <w:pPr>
        <w:spacing w:after="20"/>
        <w:ind w:left="432"/>
      </w:pPr>
      <w:r>
        <w:rPr>
          <w:b/>
          <w:color w:val="46536A"/>
          <w:sz w:val="18"/>
        </w:rPr>
        <w:t xml:space="preserve">Assumed: </w:t>
      </w:r>
      <w:r>
        <w:rPr>
          <w:b w:val="0"/>
          <w:sz w:val="20"/>
        </w:rPr>
        <w:t>Weighted mean normalised by weight × max-grade; ungraded criteria excluded rather than counted as zero.</w:t>
      </w:r>
    </w:p>
    <w:p>
      <w:pPr>
        <w:spacing w:after="20"/>
        <w:ind w:left="432"/>
      </w:pPr>
      <w:r>
        <w:rPr>
          <w:b/>
          <w:color w:val="46536A"/>
          <w:sz w:val="18"/>
        </w:rPr>
        <w:t xml:space="preserve">Blocks: </w:t>
      </w:r>
      <w:r>
        <w:rPr>
          <w:b w:val="0"/>
          <w:sz w:val="20"/>
        </w:rPr>
        <w:t>Nothing. Worth an explicit sign-off because it is an assessment rule.</w:t>
      </w:r>
    </w:p>
    <w:p>
      <w:pPr>
        <w:spacing w:before="200" w:after="40"/>
      </w:pPr>
      <w:r>
        <w:rPr>
          <w:rFonts w:ascii="Consolas" w:hAnsi="Consolas"/>
          <w:b/>
          <w:color w:val="2B46A8"/>
          <w:sz w:val="20"/>
        </w:rPr>
        <w:t xml:space="preserve">D6  </w:t>
      </w:r>
      <w:r>
        <w:rPr>
          <w:b/>
          <w:sz w:val="22"/>
        </w:rPr>
        <w:t xml:space="preserve">Who does the draft-migration review pass  </w:t>
      </w:r>
      <w:r>
        <w:rPr>
          <w:b/>
          <w:color w:val="8A5A08"/>
          <w:sz w:val="17"/>
        </w:rPr>
        <w:t>OPEN</w:t>
      </w:r>
    </w:p>
    <w:p>
      <w:pPr>
        <w:spacing w:after="20"/>
        <w:ind w:left="432"/>
      </w:pPr>
      <w:r>
        <w:rPr>
          <w:b/>
          <w:color w:val="46536A"/>
          <w:sz w:val="18"/>
        </w:rPr>
        <w:t xml:space="preserve">Why yours: </w:t>
      </w:r>
      <w:r>
        <w:rPr>
          <w:b w:val="0"/>
          <w:sz w:val="20"/>
        </w:rPr>
        <w:t>The migration synthesises rubric prompts and derives prerequisite edges from linear unit order. Both are faithful translations that need a human rewrite.</w:t>
      </w:r>
    </w:p>
    <w:p>
      <w:pPr>
        <w:spacing w:after="20"/>
        <w:ind w:left="432"/>
      </w:pPr>
      <w:r>
        <w:rPr>
          <w:b/>
          <w:color w:val="46536A"/>
          <w:sz w:val="18"/>
        </w:rPr>
        <w:t xml:space="preserve">Assumed: </w:t>
      </w:r>
      <w:r>
        <w:rPr>
          <w:b w:val="0"/>
          <w:sz w:val="20"/>
        </w:rPr>
        <w:t xml:space="preserve">Subject lands as </w:t>
      </w:r>
      <w:r>
        <w:rPr>
          <w:rFonts w:ascii="Consolas" w:hAnsi="Consolas"/>
          <w:b w:val="0"/>
          <w:sz w:val="19"/>
        </w:rPr>
        <w:t>status = 'draft'</w:t>
      </w:r>
      <w:r>
        <w:rPr>
          <w:b w:val="0"/>
          <w:sz w:val="20"/>
        </w:rPr>
        <w:t xml:space="preserve"> with a printed warnings list.</w:t>
      </w:r>
    </w:p>
    <w:p>
      <w:pPr>
        <w:spacing w:after="20"/>
        <w:ind w:left="432"/>
      </w:pPr>
      <w:r>
        <w:rPr>
          <w:b/>
          <w:color w:val="46536A"/>
          <w:sz w:val="18"/>
        </w:rPr>
        <w:t xml:space="preserve">Blocks: </w:t>
      </w:r>
      <w:r>
        <w:rPr>
          <w:b w:val="0"/>
          <w:sz w:val="20"/>
        </w:rPr>
        <w:t>Publishing the lambda calculus subject to a learner.</w:t>
      </w:r>
    </w:p>
    <w:p>
      <w:pPr>
        <w:spacing w:before="200" w:after="40"/>
      </w:pPr>
      <w:r>
        <w:rPr>
          <w:rFonts w:ascii="Consolas" w:hAnsi="Consolas"/>
          <w:b/>
          <w:color w:val="2B46A8"/>
          <w:sz w:val="20"/>
        </w:rPr>
        <w:t xml:space="preserve">D7  </w:t>
      </w:r>
      <w:r>
        <w:rPr>
          <w:b/>
          <w:sz w:val="22"/>
        </w:rPr>
        <w:t xml:space="preserve">Access to a Postgres 16 instance  </w:t>
      </w:r>
      <w:r>
        <w:rPr>
          <w:b/>
          <w:color w:val="9C2F28"/>
          <w:sz w:val="17"/>
        </w:rPr>
        <w:t>BLOCKED</w:t>
      </w:r>
    </w:p>
    <w:p>
      <w:pPr>
        <w:spacing w:after="20"/>
        <w:ind w:left="432"/>
      </w:pPr>
      <w:r>
        <w:rPr>
          <w:b/>
          <w:color w:val="46536A"/>
          <w:sz w:val="18"/>
        </w:rPr>
        <w:t xml:space="preserve">Why yours: </w:t>
      </w:r>
      <w:r>
        <w:rPr>
          <w:b w:val="0"/>
          <w:sz w:val="20"/>
        </w:rPr>
        <w:t>It is your environment. Any Postgres 16 with pgvector works.</w:t>
      </w:r>
    </w:p>
    <w:p>
      <w:pPr>
        <w:spacing w:after="20"/>
        <w:ind w:left="432"/>
      </w:pPr>
      <w:r>
        <w:rPr>
          <w:b/>
          <w:color w:val="46536A"/>
          <w:sz w:val="18"/>
        </w:rPr>
        <w:t xml:space="preserve">Assumed: </w:t>
      </w:r>
      <w:r>
        <w:rPr>
          <w:b w:val="0"/>
          <w:sz w:val="20"/>
        </w:rPr>
        <w:t>Local Docker; both compose files provided.</w:t>
      </w:r>
    </w:p>
    <w:p>
      <w:pPr>
        <w:spacing w:after="20"/>
        <w:ind w:left="432"/>
      </w:pPr>
      <w:r>
        <w:rPr>
          <w:b/>
          <w:color w:val="46536A"/>
          <w:sz w:val="18"/>
        </w:rPr>
        <w:t xml:space="preserve">Blocks: </w:t>
      </w:r>
      <w:r>
        <w:rPr>
          <w:b w:val="0"/>
          <w:sz w:val="20"/>
        </w:rPr>
        <w:t>47 tests, and every runtime claim in section 5.</w:t>
      </w:r>
    </w:p>
    <w:p>
      <w:pPr>
        <w:spacing w:before="200" w:after="40"/>
      </w:pPr>
      <w:r>
        <w:rPr>
          <w:rFonts w:ascii="Consolas" w:hAnsi="Consolas"/>
          <w:b/>
          <w:color w:val="2B46A8"/>
          <w:sz w:val="20"/>
        </w:rPr>
        <w:t xml:space="preserve">D8  </w:t>
      </w:r>
      <w:r>
        <w:rPr>
          <w:b/>
          <w:sz w:val="22"/>
        </w:rPr>
        <w:t xml:space="preserve">Deploy target confirmation  </w:t>
      </w:r>
      <w:r>
        <w:rPr>
          <w:b/>
          <w:color w:val="8A5A08"/>
          <w:sz w:val="17"/>
        </w:rPr>
        <w:t>OPEN</w:t>
      </w:r>
    </w:p>
    <w:p>
      <w:pPr>
        <w:spacing w:after="20"/>
        <w:ind w:left="432"/>
      </w:pPr>
      <w:r>
        <w:rPr>
          <w:b/>
          <w:color w:val="46536A"/>
          <w:sz w:val="18"/>
        </w:rPr>
        <w:t xml:space="preserve">Why yours: </w:t>
      </w:r>
      <w:r>
        <w:rPr>
          <w:b w:val="0"/>
          <w:sz w:val="20"/>
        </w:rPr>
        <w:t>v1.1 still assumes Fly.io throughout. Subsystem 7 will harden that into infrastructure.</w:t>
      </w:r>
    </w:p>
    <w:p>
      <w:pPr>
        <w:spacing w:after="20"/>
        <w:ind w:left="432"/>
      </w:pPr>
      <w:r>
        <w:rPr>
          <w:b/>
          <w:color w:val="46536A"/>
          <w:sz w:val="18"/>
        </w:rPr>
        <w:t xml:space="preserve">Assumed: </w:t>
      </w:r>
      <w:r>
        <w:rPr>
          <w:b w:val="0"/>
          <w:sz w:val="20"/>
        </w:rPr>
        <w:t>Fly.io, per the spec. Nothing in the schema depends on it.</w:t>
      </w:r>
    </w:p>
    <w:p>
      <w:pPr>
        <w:spacing w:after="20"/>
        <w:ind w:left="432"/>
      </w:pPr>
      <w:r>
        <w:rPr>
          <w:b/>
          <w:color w:val="46536A"/>
          <w:sz w:val="18"/>
        </w:rPr>
        <w:t xml:space="preserve">Blocks: </w:t>
      </w:r>
      <w:r>
        <w:rPr>
          <w:b w:val="0"/>
          <w:sz w:val="20"/>
        </w:rPr>
        <w:t>Nothing here. Confirm before subsystem 7.</w:t>
      </w:r>
    </w:p>
    <w:p>
      <w:pPr>
        <w:spacing w:before="200" w:after="40"/>
      </w:pPr>
      <w:r>
        <w:rPr>
          <w:rFonts w:ascii="Consolas" w:hAnsi="Consolas"/>
          <w:b/>
          <w:color w:val="2B46A8"/>
          <w:sz w:val="20"/>
        </w:rPr>
        <w:t xml:space="preserve">D9  </w:t>
      </w:r>
      <w:r>
        <w:rPr>
          <w:b/>
          <w:sz w:val="22"/>
        </w:rPr>
        <w:t xml:space="preserve">FSRS parameter defaults  </w:t>
      </w:r>
      <w:r>
        <w:rPr>
          <w:b/>
          <w:color w:val="8A5A08"/>
          <w:sz w:val="17"/>
        </w:rPr>
        <w:t>OPEN</w:t>
      </w:r>
    </w:p>
    <w:p>
      <w:pPr>
        <w:spacing w:after="20"/>
        <w:ind w:left="432"/>
      </w:pPr>
      <w:r>
        <w:rPr>
          <w:b/>
          <w:color w:val="46536A"/>
          <w:sz w:val="18"/>
        </w:rPr>
        <w:t xml:space="preserve">Why yours: </w:t>
      </w:r>
      <w:r>
        <w:rPr>
          <w:b w:val="0"/>
          <w:sz w:val="20"/>
        </w:rPr>
        <w:t>Published FSRS-4.5 weights, which §16 calls defensible for a general-purpose deployment. Not validated against your learners because there are none yet.</w:t>
      </w:r>
    </w:p>
    <w:p>
      <w:pPr>
        <w:spacing w:after="20"/>
        <w:ind w:left="432"/>
      </w:pPr>
      <w:r>
        <w:rPr>
          <w:b/>
          <w:color w:val="46536A"/>
          <w:sz w:val="18"/>
        </w:rPr>
        <w:t xml:space="preserve">Assumed: </w:t>
      </w:r>
      <w:r>
        <w:rPr>
          <w:b w:val="0"/>
          <w:sz w:val="20"/>
        </w:rPr>
        <w:t>Published defaults; per-learner tuning deferred.</w:t>
      </w:r>
    </w:p>
    <w:p>
      <w:pPr>
        <w:spacing w:after="20"/>
        <w:ind w:left="432"/>
      </w:pPr>
      <w:r>
        <w:rPr>
          <w:b/>
          <w:color w:val="46536A"/>
          <w:sz w:val="18"/>
        </w:rPr>
        <w:t xml:space="preserve">Blocks: </w:t>
      </w:r>
      <w:r>
        <w:rPr>
          <w:b w:val="0"/>
          <w:sz w:val="20"/>
        </w:rPr>
        <w:t>Nothing.</w:t>
      </w:r>
    </w:p>
    <w:p>
      <w:pPr>
        <w:pStyle w:val="Heading2"/>
      </w:pPr>
      <w:r>
        <w:t>New</w:t>
      </w:r>
    </w:p>
    <w:p>
      <w:pPr>
        <w:spacing w:before="200" w:after="40"/>
      </w:pPr>
      <w:r>
        <w:rPr>
          <w:rFonts w:ascii="Consolas" w:hAnsi="Consolas"/>
          <w:b/>
          <w:color w:val="2B46A8"/>
          <w:sz w:val="20"/>
        </w:rPr>
        <w:t xml:space="preserve">D10  </w:t>
      </w:r>
      <w:r>
        <w:rPr>
          <w:b/>
          <w:sz w:val="22"/>
        </w:rPr>
        <w:t xml:space="preserve">Whether to issue a v1.2  </w:t>
      </w:r>
      <w:r>
        <w:rPr>
          <w:b/>
          <w:color w:val="9C2F28"/>
          <w:sz w:val="17"/>
        </w:rPr>
        <w:t>NEW</w:t>
      </w:r>
    </w:p>
    <w:p>
      <w:pPr>
        <w:spacing w:after="20"/>
        <w:ind w:left="432"/>
      </w:pPr>
      <w:r>
        <w:rPr>
          <w:b/>
          <w:color w:val="46536A"/>
          <w:sz w:val="18"/>
        </w:rPr>
        <w:t xml:space="preserve">Why yours: </w:t>
      </w:r>
      <w:r>
        <w:rPr>
          <w:b w:val="0"/>
          <w:sz w:val="20"/>
        </w:rPr>
        <w:t>The three §6.12 defects in section 4 are fixed in code and still present in the specification. Leaving them is how the two drift apart again.</w:t>
      </w:r>
    </w:p>
    <w:p>
      <w:pPr>
        <w:spacing w:after="20"/>
        <w:ind w:left="432"/>
      </w:pPr>
      <w:r>
        <w:rPr>
          <w:b/>
          <w:color w:val="46536A"/>
          <w:sz w:val="18"/>
        </w:rPr>
        <w:t xml:space="preserve">Assumed: </w:t>
      </w:r>
      <w:r>
        <w:rPr>
          <w:b w:val="0"/>
          <w:sz w:val="20"/>
        </w:rPr>
        <w:t xml:space="preserve">The implementation is correct; </w:t>
      </w:r>
      <w:r>
        <w:rPr>
          <w:rFonts w:ascii="Consolas" w:hAnsi="Consolas"/>
          <w:b w:val="0"/>
          <w:sz w:val="19"/>
        </w:rPr>
        <w:t>DIVERGENCES.md</w:t>
      </w:r>
      <w:r>
        <w:rPr>
          <w:b w:val="0"/>
          <w:sz w:val="20"/>
        </w:rPr>
        <w:t xml:space="preserve"> records the gap in the meantime.</w:t>
      </w:r>
    </w:p>
    <w:p>
      <w:pPr>
        <w:spacing w:after="20"/>
        <w:ind w:left="432"/>
      </w:pPr>
      <w:r>
        <w:rPr>
          <w:b/>
          <w:color w:val="46536A"/>
          <w:sz w:val="18"/>
        </w:rPr>
        <w:t xml:space="preserve">Blocks: </w:t>
      </w:r>
      <w:r>
        <w:rPr>
          <w:b w:val="0"/>
          <w:sz w:val="20"/>
        </w:rPr>
        <w:t>Subsystem 2 being drafted against a §6.12 that cannot be implemented.</w:t>
      </w:r>
    </w:p>
    <w:p>
      <w:pPr>
        <w:spacing w:before="200" w:after="40"/>
      </w:pPr>
      <w:r>
        <w:rPr>
          <w:rFonts w:ascii="Consolas" w:hAnsi="Consolas"/>
          <w:b/>
          <w:color w:val="2B46A8"/>
          <w:sz w:val="20"/>
        </w:rPr>
        <w:t xml:space="preserve">D11  </w:t>
      </w:r>
      <w:r>
        <w:rPr>
          <w:b/>
          <w:sz w:val="22"/>
        </w:rPr>
        <w:t xml:space="preserve">What role the system account holds  </w:t>
      </w:r>
      <w:r>
        <w:rPr>
          <w:b/>
          <w:color w:val="9C2F28"/>
          <w:sz w:val="17"/>
        </w:rPr>
        <w:t>NEW</w:t>
      </w:r>
    </w:p>
    <w:p>
      <w:pPr>
        <w:spacing w:after="20"/>
        <w:ind w:left="432"/>
      </w:pPr>
      <w:r>
        <w:rPr>
          <w:b/>
          <w:color w:val="46536A"/>
          <w:sz w:val="18"/>
        </w:rPr>
        <w:t xml:space="preserve">Why yours: </w:t>
      </w:r>
      <w:r>
        <w:rPr>
          <w:rFonts w:ascii="Consolas" w:hAnsi="Consolas"/>
          <w:b w:val="0"/>
          <w:sz w:val="19"/>
        </w:rPr>
        <w:t>users.role</w:t>
      </w:r>
      <w:r>
        <w:rPr>
          <w:b w:val="0"/>
          <w:sz w:val="20"/>
        </w:rPr>
        <w:t xml:space="preserve"> allows only learner, reviewer and admin, and v1.1 calls admin "reserved and unused at MVP". I used admin for the system account, which is a reasonable reading but not the only one.</w:t>
      </w:r>
    </w:p>
    <w:p>
      <w:pPr>
        <w:spacing w:after="20"/>
        <w:ind w:left="432"/>
      </w:pPr>
      <w:r>
        <w:rPr>
          <w:b/>
          <w:color w:val="46536A"/>
          <w:sz w:val="18"/>
        </w:rPr>
        <w:t xml:space="preserve">Assumed: </w:t>
      </w:r>
      <w:r>
        <w:rPr>
          <w:rFonts w:ascii="Consolas" w:hAnsi="Consolas"/>
          <w:b w:val="0"/>
          <w:sz w:val="19"/>
        </w:rPr>
        <w:t>role = 'admin'</w:t>
      </w:r>
      <w:r>
        <w:rPr>
          <w:b w:val="0"/>
          <w:sz w:val="20"/>
        </w:rPr>
        <w:t>, no password, no auth sessions, so it cannot be logged into.</w:t>
      </w:r>
    </w:p>
    <w:p>
      <w:pPr>
        <w:spacing w:after="20"/>
        <w:ind w:left="432"/>
      </w:pPr>
      <w:r>
        <w:rPr>
          <w:b/>
          <w:color w:val="46536A"/>
          <w:sz w:val="18"/>
        </w:rPr>
        <w:t xml:space="preserve">Blocks: </w:t>
      </w:r>
      <w:r>
        <w:rPr>
          <w:b w:val="0"/>
          <w:sz w:val="20"/>
        </w:rPr>
        <w:t>Nothing. A fourth role is a one-line CHECK change plus a migration if you prefer it.</w:t>
      </w:r>
    </w:p>
    <w:p>
      <w:pPr>
        <w:spacing w:before="200" w:after="40"/>
      </w:pPr>
      <w:r>
        <w:rPr>
          <w:rFonts w:ascii="Consolas" w:hAnsi="Consolas"/>
          <w:b/>
          <w:color w:val="2B46A8"/>
          <w:sz w:val="20"/>
        </w:rPr>
        <w:t xml:space="preserve">D12  </w:t>
      </w:r>
      <w:r>
        <w:rPr>
          <w:b/>
          <w:sz w:val="22"/>
        </w:rPr>
        <w:t xml:space="preserve">Two v1.1 shapes I did not adopt  </w:t>
      </w:r>
      <w:r>
        <w:rPr>
          <w:b/>
          <w:color w:val="9C2F28"/>
          <w:sz w:val="17"/>
        </w:rPr>
        <w:t>NEW</w:t>
      </w:r>
    </w:p>
    <w:p>
      <w:pPr>
        <w:spacing w:after="20"/>
        <w:ind w:left="432"/>
      </w:pPr>
      <w:r>
        <w:rPr>
          <w:b/>
          <w:color w:val="46536A"/>
          <w:sz w:val="18"/>
        </w:rPr>
        <w:t xml:space="preserve">Why yours: </w:t>
      </w:r>
      <w:r>
        <w:rPr>
          <w:b w:val="0"/>
          <w:sz w:val="20"/>
        </w:rPr>
        <w:t xml:space="preserve">v1.1 gave </w:t>
      </w:r>
      <w:r>
        <w:rPr>
          <w:rFonts w:ascii="Consolas" w:hAnsi="Consolas"/>
          <w:b w:val="0"/>
          <w:sz w:val="19"/>
        </w:rPr>
        <w:t>updated_at</w:t>
      </w:r>
      <w:r>
        <w:rPr>
          <w:b w:val="0"/>
          <w:sz w:val="20"/>
        </w:rPr>
        <w:t xml:space="preserve"> to </w:t>
      </w:r>
      <w:r>
        <w:rPr>
          <w:rFonts w:ascii="Consolas" w:hAnsi="Consolas"/>
          <w:b w:val="0"/>
          <w:sz w:val="19"/>
        </w:rPr>
        <w:t>session_summaries</w:t>
      </w:r>
      <w:r>
        <w:rPr>
          <w:b w:val="0"/>
          <w:sz w:val="20"/>
        </w:rPr>
        <w:t xml:space="preserve"> and </w:t>
      </w:r>
      <w:r>
        <w:rPr>
          <w:rFonts w:ascii="Consolas" w:hAnsi="Consolas"/>
          <w:b w:val="0"/>
          <w:sz w:val="19"/>
        </w:rPr>
        <w:t>retrieval_checks</w:t>
      </w:r>
      <w:r>
        <w:rPr>
          <w:b w:val="0"/>
          <w:sz w:val="20"/>
        </w:rPr>
        <w:t xml:space="preserve"> but not to </w:t>
      </w:r>
      <w:r>
        <w:rPr>
          <w:rFonts w:ascii="Consolas" w:hAnsi="Consolas"/>
          <w:b w:val="0"/>
          <w:sz w:val="19"/>
        </w:rPr>
        <w:t>content_artifacts</w:t>
      </w:r>
      <w:r>
        <w:rPr>
          <w:b w:val="0"/>
          <w:sz w:val="20"/>
        </w:rPr>
        <w:t xml:space="preserve"> or </w:t>
      </w:r>
      <w:r>
        <w:rPr>
          <w:rFonts w:ascii="Consolas" w:hAnsi="Consolas"/>
          <w:b w:val="0"/>
          <w:sz w:val="19"/>
        </w:rPr>
        <w:t>learning_sessions</w:t>
      </w:r>
      <w:r>
        <w:rPr>
          <w:b w:val="0"/>
          <w:sz w:val="20"/>
        </w:rPr>
        <w:t xml:space="preserve">, which are also mutable — and it kept summary columns on both </w:t>
      </w:r>
      <w:r>
        <w:rPr>
          <w:rFonts w:ascii="Consolas" w:hAnsi="Consolas"/>
          <w:b w:val="0"/>
          <w:sz w:val="19"/>
        </w:rPr>
        <w:t>learning_sessions</w:t>
      </w:r>
      <w:r>
        <w:rPr>
          <w:b w:val="0"/>
          <w:sz w:val="20"/>
        </w:rPr>
        <w:t xml:space="preserve"> and </w:t>
      </w:r>
      <w:r>
        <w:rPr>
          <w:rFonts w:ascii="Consolas" w:hAnsi="Consolas"/>
          <w:b w:val="0"/>
          <w:sz w:val="19"/>
        </w:rPr>
        <w:t>session_summaries</w:t>
      </w:r>
      <w:r>
        <w:rPr>
          <w:b w:val="0"/>
          <w:sz w:val="20"/>
        </w:rPr>
        <w:t>. I kept my timestamps (§9 and §14 both need them) and kept the summary columns in one place only.</w:t>
      </w:r>
    </w:p>
    <w:p>
      <w:pPr>
        <w:spacing w:after="20"/>
        <w:ind w:left="432"/>
      </w:pPr>
      <w:r>
        <w:rPr>
          <w:b/>
          <w:color w:val="46536A"/>
          <w:sz w:val="18"/>
        </w:rPr>
        <w:t xml:space="preserve">Assumed: </w:t>
      </w:r>
      <w:r>
        <w:rPr>
          <w:b w:val="0"/>
          <w:sz w:val="20"/>
        </w:rPr>
        <w:t xml:space="preserve">Divergences V4 and V5 in </w:t>
      </w:r>
      <w:r>
        <w:rPr>
          <w:rFonts w:ascii="Consolas" w:hAnsi="Consolas"/>
          <w:b w:val="0"/>
          <w:sz w:val="19"/>
        </w:rPr>
        <w:t>DIVERGENCES.md</w:t>
      </w:r>
      <w:r>
        <w:rPr>
          <w:b w:val="0"/>
          <w:sz w:val="20"/>
        </w:rPr>
        <w:t>, with the reasoning.</w:t>
      </w:r>
    </w:p>
    <w:p>
      <w:pPr>
        <w:spacing w:after="20"/>
        <w:ind w:left="432"/>
      </w:pPr>
      <w:r>
        <w:rPr>
          <w:b/>
          <w:color w:val="46536A"/>
          <w:sz w:val="18"/>
        </w:rPr>
        <w:t xml:space="preserve">Blocks: </w:t>
      </w:r>
      <w:r>
        <w:rPr>
          <w:b w:val="0"/>
          <w:sz w:val="20"/>
        </w:rPr>
        <w:t>Nothing. Either fold them into v1.2 or tell me to match v1.1 exactly.</w:t>
      </w:r>
    </w:p>
    <w:p>
      <w:pPr>
        <w:pStyle w:val="Heading1"/>
      </w:pPr>
      <w:r>
        <w:t>8.  Constraints</w:t>
      </w:r>
    </w:p>
    <w:p>
      <w:pPr>
        <w:pStyle w:val="ListBullet"/>
      </w:pPr>
      <w:r>
        <w:rPr>
          <w:b w:val="0"/>
        </w:rPr>
        <w:t>Development environment. Windows, Python 3.14, no container runtime and no database server. Unchanged, and still the reason section 5 has a second half.</w:t>
      </w:r>
    </w:p>
    <w:p>
      <w:pPr>
        <w:pStyle w:val="ListBullet"/>
      </w:pPr>
      <w:r>
        <w:rPr>
          <w:b w:val="0"/>
        </w:rPr>
        <w:t xml:space="preserve">Migrations 0001–0003 are immutable, and 0004–0008 now join them. Schema changes go in new revisions; regenerating any of them collides with the </w:t>
      </w:r>
      <w:r>
        <w:rPr>
          <w:rFonts w:ascii="Consolas" w:hAnsi="Consolas"/>
          <w:b w:val="0"/>
          <w:sz w:val="20"/>
        </w:rPr>
        <w:t>ADD COLUMN</w:t>
      </w:r>
      <w:r>
        <w:rPr>
          <w:b w:val="0"/>
        </w:rPr>
        <w:t>s that follow.</w:t>
      </w:r>
    </w:p>
    <w:p>
      <w:pPr>
        <w:pStyle w:val="ListBullet"/>
      </w:pPr>
      <w:r>
        <w:rPr>
          <w:b w:val="0"/>
        </w:rPr>
        <w:t>0004 is the first non-additive migration in the history. Its downgrade folds the categories back into a single total, but that path is untested until a database exists.</w:t>
      </w:r>
    </w:p>
    <w:p>
      <w:pPr>
        <w:pStyle w:val="ListBullet"/>
      </w:pPr>
      <w:r>
        <w:rPr>
          <w:b w:val="0"/>
        </w:rPr>
        <w:t>The specification remains the contract for six further documents. That is why the three new defects are reported rather than silently worked around.</w:t>
      </w:r>
    </w:p>
    <w:p>
      <w:pPr>
        <w:pStyle w:val="ListBullet"/>
      </w:pPr>
      <w:r>
        <w:rPr>
          <w:b w:val="0"/>
        </w:rPr>
        <w:t>MVP-scale assumptions are unchanged: no tenant column, no partitioning, HNSW parameters tuned for a corpus in the low millions.</w:t>
      </w:r>
    </w:p>
    <w:p>
      <w:pPr>
        <w:pStyle w:val="Heading1"/>
      </w:pPr>
      <w:r>
        <w:t>9.  Risks and concerns</w:t>
      </w:r>
    </w:p>
    <w:p>
      <w:r>
        <w:rPr>
          <w:b w:val="0"/>
        </w:rPr>
        <w:t>Ranked by what I would worry about first.</w:t>
      </w:r>
    </w:p>
    <w:p>
      <w:pPr>
        <w:pStyle w:val="Heading2"/>
      </w:pPr>
      <w:r>
        <w:t>1 · The cost model is the least-tested part of the system</w:t>
      </w:r>
    </w:p>
    <w:p>
      <w:r>
        <w:rPr>
          <w:b w:val="0"/>
        </w:rPr>
        <w:t xml:space="preserve">It is also the part the plan calls the project-ending risk. Everything about the widened ledger — the generated column, the </w:t>
      </w:r>
      <w:r>
        <w:rPr>
          <w:rFonts w:ascii="Consolas" w:hAnsi="Consolas"/>
          <w:b w:val="0"/>
          <w:sz w:val="20"/>
        </w:rPr>
        <w:t>ON CONFLICT</w:t>
      </w:r>
      <w:r>
        <w:rPr>
          <w:b w:val="0"/>
        </w:rPr>
        <w:t xml:space="preserve"> inference against a </w:t>
      </w:r>
      <w:r>
        <w:rPr>
          <w:rFonts w:ascii="Consolas" w:hAnsi="Consolas"/>
          <w:b w:val="0"/>
          <w:sz w:val="20"/>
        </w:rPr>
        <w:t>NULLS NOT DISTINCT</w:t>
      </w:r>
      <w:r>
        <w:rPr>
          <w:b w:val="0"/>
        </w:rPr>
        <w:t xml:space="preserve"> constraint, five statements writing different columns of the same row — is exercised only by tests that have never run. The specific things I would check first on a live server:</w:t>
      </w:r>
    </w:p>
    <w:p>
      <w:pPr>
        <w:pStyle w:val="ListBullet"/>
      </w:pPr>
      <w:r>
        <w:rPr>
          <w:rFonts w:ascii="Consolas" w:hAnsi="Consolas"/>
          <w:b w:val="0"/>
          <w:sz w:val="20"/>
        </w:rPr>
        <w:t>ON CONFLICT (user_id, day, model)</w:t>
      </w:r>
      <w:r>
        <w:rPr>
          <w:b w:val="0"/>
        </w:rPr>
        <w:t xml:space="preserve"> inference where the constraint is declared </w:t>
      </w:r>
      <w:r>
        <w:rPr>
          <w:rFonts w:ascii="Consolas" w:hAnsi="Consolas"/>
          <w:b w:val="0"/>
          <w:sz w:val="20"/>
        </w:rPr>
        <w:t>NULLS NOT DISTINCT</w:t>
      </w:r>
      <w:r>
        <w:rPr>
          <w:b w:val="0"/>
        </w:rPr>
        <w:t xml:space="preserve"> and the system account deliberately inserts a non-NULL owner while erasure produces NULL ones.</w:t>
      </w:r>
    </w:p>
    <w:p>
      <w:pPr>
        <w:pStyle w:val="ListBullet"/>
      </w:pPr>
      <w:r>
        <w:rPr>
          <w:b w:val="0"/>
        </w:rPr>
        <w:t xml:space="preserve">Whether Postgres accepts </w:t>
      </w:r>
      <w:r>
        <w:rPr>
          <w:rFonts w:ascii="Consolas" w:hAnsi="Consolas"/>
          <w:b w:val="0"/>
          <w:sz w:val="20"/>
        </w:rPr>
        <w:t>op.add_column</w:t>
      </w:r>
      <w:r>
        <w:rPr>
          <w:b w:val="0"/>
        </w:rPr>
        <w:t xml:space="preserve"> with a </w:t>
      </w:r>
      <w:r>
        <w:rPr>
          <w:rFonts w:ascii="Consolas" w:hAnsi="Consolas"/>
          <w:b w:val="0"/>
          <w:sz w:val="20"/>
        </w:rPr>
        <w:t>Computed</w:t>
      </w:r>
      <w:r>
        <w:rPr>
          <w:b w:val="0"/>
        </w:rPr>
        <w:t xml:space="preserve"> expression on a populated table, and how it behaves in 0004's downgrade.</w:t>
      </w:r>
    </w:p>
    <w:p>
      <w:pPr>
        <w:pStyle w:val="ListBullet"/>
      </w:pPr>
      <w:r>
        <w:rPr>
          <w:b w:val="0"/>
        </w:rPr>
        <w:t>The five roll-up statements interleaving on one row — each writes its own category column, and they must not clobber each other's.</w:t>
      </w:r>
    </w:p>
    <w:p>
      <w:pPr>
        <w:pStyle w:val="Heading2"/>
      </w:pPr>
      <w:r>
        <w:t>2 · Specification drift, round two</w:t>
      </w:r>
    </w:p>
    <w:p>
      <w:r>
        <w:rPr>
          <w:b w:val="0"/>
        </w:rPr>
        <w:t>Ratification closed the v1.0 gap. Three new ones opened the same day. The failure mode is unchanged and worth restating: subsystem 2 gets written against a §6.12 whose attribution rules cannot be implemented, and inherits the problem rather than the fix.</w:t>
      </w:r>
    </w:p>
    <w:p>
      <w:pPr>
        <w:pStyle w:val="Heading2"/>
      </w:pPr>
      <w:r>
        <w:t>3 · The erasure procedure has more moving parts than before</w:t>
      </w:r>
    </w:p>
    <w:p>
      <w:r>
        <w:rPr>
          <w:b w:val="0"/>
        </w:rPr>
        <w:t>v1.1's ordering is correct, and the implementation follows it — including the subtlety §10 itself flags, that the response redaction must run before the owner column is nulled. But it is now a four-phase procedure whose correctness depends on cascade timing, operating on data that cannot be recovered if it goes wrong. It is tested; the tests have not run.</w:t>
      </w:r>
    </w:p>
    <w:p>
      <w:pPr>
        <w:pStyle w:val="Heading2"/>
      </w:pPr>
      <w:r>
        <w:t>4 · Pedagogical parameters remain engineer-chosen</w:t>
      </w:r>
    </w:p>
    <w:p>
      <w:r>
        <w:rPr>
          <w:b w:val="0"/>
        </w:rPr>
        <w:t>D2, D3 and D9 are unchanged from the previous report. v1.1 did not rule on any of them, which is reasonable — §16 defers two to subsystem 2 — but it does mean the numbers shaping what learners experience are still the ones I picked for defensibility.</w:t>
      </w:r>
    </w:p>
    <w:p>
      <w:pPr>
        <w:pStyle w:val="Heading2"/>
      </w:pPr>
      <w:r>
        <w:t>5 · Full prompts retained for 90 days</w:t>
      </w:r>
    </w:p>
    <w:p>
      <w:r>
        <w:rPr>
          <w:b w:val="0"/>
        </w:rPr>
        <w:t xml:space="preserve">Unchanged. </w:t>
      </w:r>
      <w:r>
        <w:rPr>
          <w:rFonts w:ascii="Consolas" w:hAnsi="Consolas"/>
          <w:b w:val="0"/>
          <w:sz w:val="20"/>
        </w:rPr>
        <w:t>agent_traces.prompt_messages</w:t>
      </w:r>
      <w:r>
        <w:rPr>
          <w:b w:val="0"/>
        </w:rPr>
        <w:t xml:space="preserve"> stores every prompt as sent, including learner text, for 90 days. A conscious decision rather than an inherited default is still worth making, alongside D4's legal read.</w:t>
      </w:r>
    </w:p>
    <w:p>
      <w:pPr>
        <w:pStyle w:val="Heading1"/>
      </w:pPr>
      <w:r>
        <w:t>10.  Recommended sequence</w:t>
      </w:r>
    </w:p>
    <w:p>
      <w:r>
        <w:rPr>
          <w:b w:val="0"/>
        </w:rPr>
        <w:t>Ordered, because each step's value depends on the one before it.</w:t>
      </w:r>
    </w:p>
    <w:p>
      <w:pPr>
        <w:pStyle w:val="ListNumber"/>
      </w:pPr>
      <w:r>
        <w:rPr>
          <w:b w:val="0"/>
        </w:rPr>
        <w:t>Run the suite against Postgres 16 (D7). This has been step one in both reports and has become more urgent, not less: the cost model added thirteen unrun tests to the most consequential subsystem in the schema.</w:t>
      </w:r>
    </w:p>
    <w:p>
      <w:pPr>
        <w:pStyle w:val="ListNumber"/>
      </w:pPr>
      <w:r>
        <w:rPr>
          <w:b w:val="0"/>
        </w:rPr>
        <w:t>Decide D10. Either issue a v1.2 with the three §6.12 fixes, or record that the implementation leads the spec on those points deliberately.</w:t>
      </w:r>
    </w:p>
    <w:p>
      <w:pPr>
        <w:pStyle w:val="ListNumber"/>
      </w:pPr>
      <w:r>
        <w:rPr>
          <w:b w:val="0"/>
        </w:rPr>
        <w:t>Wire the two CI tiers. §14 now specifies them precisely enough to implement without further decisions.</w:t>
      </w:r>
    </w:p>
    <w:p>
      <w:pPr>
        <w:pStyle w:val="ListNumber"/>
      </w:pPr>
      <w:r>
        <w:rPr>
          <w:b w:val="0"/>
        </w:rPr>
        <w:t>Run the draft migration in dry-run and work through its warnings (D6).</w:t>
      </w:r>
    </w:p>
    <w:p>
      <w:pPr>
        <w:pStyle w:val="ListNumber"/>
      </w:pPr>
      <w:r>
        <w:rPr>
          <w:b w:val="0"/>
        </w:rPr>
        <w:t>Settle the pedagogical parameters (D2, D3, D9) — cheap now, disruptive once learners have history.</w:t>
      </w:r>
    </w:p>
    <w:p>
      <w:pPr>
        <w:pStyle w:val="ListNumber"/>
      </w:pPr>
      <w:r>
        <w:rPr>
          <w:b w:val="0"/>
        </w:rPr>
        <w:t>Draft subsystem 2 against v1.1 plus the three known §6.12 caveats.</w:t>
      </w:r>
    </w:p>
    <w:p>
      <w:r>
        <w:rPr>
          <w:b w:val="0"/>
        </w:rPr>
        <w:t>Steps 1 and 2 are the ones I would not skip. The rest can move in whatever order suits the schedule.</w:t>
      </w:r>
    </w:p>
    <w:p>
      <w:pPr>
        <w:pStyle w:val="Heading1"/>
      </w:pPr>
      <w:r>
        <w:t>Supporting documents</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8"/>
              </w:rPr>
              <w:t>Document</w:t>
            </w:r>
          </w:p>
        </w:tc>
        <w:tc>
          <w:tcPr>
            <w:tcW w:type="dxa" w:w="3600"/>
          </w:tcPr>
          <w:p>
            <w:r/>
            <w:r>
              <w:rPr>
                <w:b/>
                <w:sz w:val="18"/>
              </w:rPr>
              <w:t>Location</w:t>
            </w:r>
          </w:p>
        </w:tc>
        <w:tc>
          <w:tcPr>
            <w:tcW w:type="dxa" w:w="3456"/>
          </w:tcPr>
          <w:p>
            <w:r/>
            <w:r>
              <w:rPr>
                <w:b/>
                <w:sz w:val="18"/>
              </w:rPr>
              <w:t>Contents</w:t>
            </w:r>
          </w:p>
        </w:tc>
      </w:tr>
      <w:tr>
        <w:tc>
          <w:tcPr>
            <w:tcW w:type="dxa" w:w="2016"/>
          </w:tcPr>
          <w:p>
            <w:r/>
            <w:r>
              <w:rPr>
                <w:b w:val="0"/>
                <w:sz w:val="19"/>
              </w:rPr>
              <w:t>Specification v1.1</w:t>
            </w:r>
          </w:p>
        </w:tc>
        <w:tc>
          <w:tcPr>
            <w:tcW w:type="dxa" w:w="3600"/>
          </w:tcPr>
          <w:p>
            <w:r/>
            <w:r>
              <w:rPr>
                <w:rFonts w:ascii="Consolas" w:hAnsi="Consolas"/>
                <w:b w:val="0"/>
                <w:sz w:val="18"/>
              </w:rPr>
              <w:t>spec/Sub System 1 - Data Layer/01-data-layer-v1.1.md</w:t>
            </w:r>
          </w:p>
        </w:tc>
        <w:tc>
          <w:tcPr>
            <w:tcW w:type="dxa" w:w="3456"/>
          </w:tcPr>
          <w:p>
            <w:r/>
            <w:r>
              <w:rPr>
                <w:b w:val="0"/>
                <w:sz w:val="19"/>
              </w:rPr>
              <w:t>The ratified contract.</w:t>
            </w:r>
          </w:p>
        </w:tc>
      </w:tr>
      <w:tr>
        <w:tc>
          <w:tcPr>
            <w:tcW w:type="dxa" w:w="2016"/>
          </w:tcPr>
          <w:p>
            <w:r/>
            <w:r>
              <w:rPr>
                <w:b w:val="0"/>
                <w:sz w:val="19"/>
              </w:rPr>
              <w:t>Original review</w:t>
            </w:r>
          </w:p>
        </w:tc>
        <w:tc>
          <w:tcPr>
            <w:tcW w:type="dxa" w:w="3600"/>
          </w:tcPr>
          <w:p>
            <w:r/>
            <w:r>
              <w:rPr>
                <w:rFonts w:ascii="Consolas" w:hAnsi="Consolas"/>
                <w:b w:val="0"/>
                <w:sz w:val="18"/>
              </w:rPr>
              <w:t>spec/Sub System 1 - Data Layer/01-data-layer-review.md</w:t>
            </w:r>
          </w:p>
        </w:tc>
        <w:tc>
          <w:tcPr>
            <w:tcW w:type="dxa" w:w="3456"/>
          </w:tcPr>
          <w:p>
            <w:r/>
            <w:r>
              <w:rPr>
                <w:b w:val="0"/>
                <w:sz w:val="19"/>
              </w:rPr>
              <w:t>All 29 v1.0 findings; still the reference for finding IDs.</w:t>
            </w:r>
          </w:p>
        </w:tc>
      </w:tr>
      <w:tr>
        <w:tc>
          <w:tcPr>
            <w:tcW w:type="dxa" w:w="2016"/>
          </w:tcPr>
          <w:p>
            <w:r/>
            <w:r>
              <w:rPr>
                <w:b w:val="0"/>
                <w:sz w:val="19"/>
              </w:rPr>
              <w:t>Divergence record</w:t>
            </w:r>
          </w:p>
        </w:tc>
        <w:tc>
          <w:tcPr>
            <w:tcW w:type="dxa" w:w="3600"/>
          </w:tcPr>
          <w:p>
            <w:r/>
            <w:r>
              <w:rPr>
                <w:rFonts w:ascii="Consolas" w:hAnsi="Consolas"/>
                <w:b w:val="0"/>
                <w:sz w:val="18"/>
              </w:rPr>
              <w:t>backend/DIVERGENCES.md</w:t>
            </w:r>
          </w:p>
        </w:tc>
        <w:tc>
          <w:tcPr>
            <w:tcW w:type="dxa" w:w="3456"/>
          </w:tcPr>
          <w:p>
            <w:r/>
            <w:r>
              <w:rPr>
                <w:b w:val="0"/>
                <w:sz w:val="19"/>
              </w:rPr>
              <w:t>Where the implementation differs from v1.1, and why.</w:t>
            </w:r>
          </w:p>
        </w:tc>
      </w:tr>
      <w:tr>
        <w:tc>
          <w:tcPr>
            <w:tcW w:type="dxa" w:w="2016"/>
          </w:tcPr>
          <w:p>
            <w:r/>
            <w:r>
              <w:rPr>
                <w:b w:val="0"/>
                <w:sz w:val="19"/>
              </w:rPr>
              <w:t>Migration changelog</w:t>
            </w:r>
          </w:p>
        </w:tc>
        <w:tc>
          <w:tcPr>
            <w:tcW w:type="dxa" w:w="3600"/>
          </w:tcPr>
          <w:p>
            <w:r/>
            <w:r>
              <w:rPr>
                <w:rFonts w:ascii="Consolas" w:hAnsi="Consolas"/>
                <w:b w:val="0"/>
                <w:sz w:val="18"/>
              </w:rPr>
              <w:t>backend/CHANGELOG.md</w:t>
            </w:r>
          </w:p>
        </w:tc>
        <w:tc>
          <w:tcPr>
            <w:tcW w:type="dxa" w:w="3456"/>
          </w:tcPr>
          <w:p>
            <w:r/>
            <w:r>
              <w:rPr>
                <w:b w:val="0"/>
                <w:sz w:val="19"/>
              </w:rPr>
              <w:t>Per-migration semantic changes (§13 CI check 4).</w:t>
            </w:r>
          </w:p>
        </w:tc>
      </w:tr>
      <w:tr>
        <w:tc>
          <w:tcPr>
            <w:tcW w:type="dxa" w:w="2016"/>
          </w:tcPr>
          <w:p>
            <w:r/>
            <w:r>
              <w:rPr>
                <w:b w:val="0"/>
                <w:sz w:val="19"/>
              </w:rPr>
              <w:t>Backend orientation</w:t>
            </w:r>
          </w:p>
        </w:tc>
        <w:tc>
          <w:tcPr>
            <w:tcW w:type="dxa" w:w="3600"/>
          </w:tcPr>
          <w:p>
            <w:r/>
            <w:r>
              <w:rPr>
                <w:rFonts w:ascii="Consolas" w:hAnsi="Consolas"/>
                <w:b w:val="0"/>
                <w:sz w:val="18"/>
              </w:rPr>
              <w:t>backend/README.md</w:t>
            </w:r>
          </w:p>
        </w:tc>
        <w:tc>
          <w:tcPr>
            <w:tcW w:type="dxa" w:w="3456"/>
          </w:tcPr>
          <w:p>
            <w:r/>
            <w:r>
              <w:rPr>
                <w:b w:val="0"/>
                <w:sz w:val="19"/>
              </w:rPr>
              <w:t>Layout, conventions, how to run everything.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36A"/>
        <w:sz w:val="16"/>
      </w:rPr>
      <w:t xml:space="preserve">Studium Data Layer Build Report v1.1   ·   Page </w:t>
    </w:r>
    <w:r>
      <w:rPr>
        <w:color w:val="46536A"/>
        <w:sz w:val="16"/>
      </w:rP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Data Layer Build Report — v1.1</dc:title>
  <dc:subject>Subsystem 1 of 7 — reconciliation against specification v1.1</dc:subject>
  <dc:creator>Yannis Munayi</dc:creator>
  <cp:keywords>Studium; data layer; Postgres; specification v1.1</cp:keywords>
  <dc:description>Build report against Studium Data Layer Specification v1.1: work completed, defects found in v1.1, outstanding items, decisions required, risks.</dc:description>
  <cp:lastModifiedBy/>
  <cp:revision>1</cp:revision>
  <dcterms:created xsi:type="dcterms:W3CDTF">2013-12-23T23:15:00Z</dcterms:created>
  <dcterms:modified xsi:type="dcterms:W3CDTF">2013-12-23T23:15:00Z</dcterms:modified>
  <cp:category/>
</cp:coreProperties>
</file>