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536A"/>
          <w:sz w:val="17"/>
        </w:rPr>
        <w:t>STUDIUM  ·  SUBSYSTEM 1  ·  VERIFICATION REPORT</w:t>
      </w:r>
    </w:p>
    <w:p>
      <w:pPr>
        <w:pStyle w:val="Title"/>
      </w:pPr>
      <w:r>
        <w:rPr>
          <w:color w:val="151C26"/>
        </w:rPr>
        <w:t>Data Layer Verification Pass</w:t>
      </w:r>
    </w:p>
    <w:p>
      <w:r>
        <w:rPr>
          <w:i/>
          <w:color w:val="46536A"/>
          <w:sz w:val="23"/>
        </w:rPr>
        <w:t>The data layer had never been run against a database. It has now. Standing one up took the schema from 48 tests that had never executed to 438 that all pass, and surfaced six defects in the process — two of which would have stopped the product in production. The addendum covers closing two of the three items it left open, which found three more.</w:t>
      </w:r>
    </w:p>
    <w:p>
      <w:r>
        <w:rPr>
          <w:color w:val="46536A"/>
          <w:sz w:val="18"/>
        </w:rPr>
        <w:t>16 August 2026, addendum 17 August   |   Against spec v1.1   |   Postgres 16.15 with pgvector 0.8.6   |   Status: 2 of 3 gate items closed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Tests executing</w:t>
            </w:r>
          </w:p>
        </w:tc>
        <w:tc>
          <w:tcPr>
            <w:tcW w:type="dxa" w:w="1728"/>
          </w:tcPr>
          <w:p>
            <w:r/>
            <w:r>
              <w:rPr>
                <w:b/>
                <w:sz w:val="18"/>
              </w:rPr>
              <w:t>Failures</w:t>
            </w:r>
          </w:p>
        </w:tc>
        <w:tc>
          <w:tcPr>
            <w:tcW w:type="dxa" w:w="1728"/>
          </w:tcPr>
          <w:p>
            <w:r/>
            <w:r>
              <w:rPr>
                <w:b/>
                <w:sz w:val="18"/>
              </w:rPr>
              <w:t>Defects found</w:t>
            </w:r>
          </w:p>
        </w:tc>
        <w:tc>
          <w:tcPr>
            <w:tcW w:type="dxa" w:w="1728"/>
          </w:tcPr>
          <w:p>
            <w:r/>
            <w:r>
              <w:rPr>
                <w:b/>
                <w:sz w:val="18"/>
              </w:rPr>
              <w:t>Critical</w:t>
            </w:r>
          </w:p>
        </w:tc>
        <w:tc>
          <w:tcPr>
            <w:tcW w:type="dxa" w:w="1728"/>
          </w:tcPr>
          <w:p>
            <w:r/>
            <w:r>
              <w:rPr>
                <w:b/>
                <w:sz w:val="18"/>
              </w:rPr>
              <w:t>CI</w:t>
            </w:r>
          </w:p>
        </w:tc>
      </w:tr>
      <w:tr>
        <w:tc>
          <w:tcPr>
            <w:tcW w:type="dxa" w:w="1728"/>
          </w:tcPr>
          <w:p>
            <w:r/>
            <w:r>
              <w:rPr>
                <w:b w:val="0"/>
                <w:sz w:val="19"/>
              </w:rPr>
              <w:t>438</w:t>
            </w:r>
          </w:p>
        </w:tc>
        <w:tc>
          <w:tcPr>
            <w:tcW w:type="dxa" w:w="1728"/>
          </w:tcPr>
          <w:p>
            <w:r/>
            <w:r>
              <w:rPr>
                <w:b w:val="0"/>
                <w:sz w:val="19"/>
              </w:rPr>
              <w:t>0</w:t>
            </w:r>
          </w:p>
        </w:tc>
        <w:tc>
          <w:tcPr>
            <w:tcW w:type="dxa" w:w="1728"/>
          </w:tcPr>
          <w:p>
            <w:r/>
            <w:r>
              <w:rPr>
                <w:b w:val="0"/>
                <w:sz w:val="19"/>
              </w:rPr>
              <w:t>9</w:t>
            </w:r>
          </w:p>
        </w:tc>
        <w:tc>
          <w:tcPr>
            <w:tcW w:type="dxa" w:w="1728"/>
          </w:tcPr>
          <w:p>
            <w:r/>
            <w:r>
              <w:rPr>
                <w:b w:val="0"/>
                <w:sz w:val="19"/>
              </w:rPr>
              <w:t>2</w:t>
            </w:r>
          </w:p>
        </w:tc>
        <w:tc>
          <w:tcPr>
            <w:tcW w:type="dxa" w:w="1728"/>
          </w:tcPr>
          <w:p>
            <w:r/>
            <w:r>
              <w:rPr>
                <w:b/>
                <w:color w:val="1F6B45"/>
                <w:sz w:val="18"/>
              </w:rPr>
              <w:t>ADDED</w:t>
            </w:r>
          </w:p>
        </w:tc>
      </w:tr>
    </w:tbl>
    <w:p/>
    <w:p>
      <w:pPr>
        <w:pStyle w:val="Heading1"/>
      </w:pPr>
      <w:r>
        <w:t>Contents</w:t>
      </w:r>
    </w:p>
    <w:p>
      <w:r>
        <w:fldChar w:fldCharType="begin"/>
        <w:instrText xml:space="preserve">TOC \o "1-2" \h \z \u</w:instrText>
        <w:fldChar w:fldCharType="separate">
          <w:t>Right-click and choose Update Field.</w:t>
        </w:fldChar>
        <w:fldChar w:fldCharType="end"/>
      </w:r>
    </w:p>
    <w:p>
      <w:pPr>
        <w:pStyle w:val="Heading1"/>
      </w:pPr>
      <w:r>
        <w:t>1.  What changed since the last report</w:t>
      </w:r>
    </w:p>
    <w:p>
      <w:r>
        <w:rPr>
          <w:b w:val="0"/>
        </w:rPr>
        <w:t>The defect resolution memo closed by stating plainly that the data layer had been verified as far as static analysis allows and no further: the schema was well-formed, the migrations parsed and chained, and 377 offline tests passed — but 48 tests requiring a live database had never once executed. That memo named the gap and recommended closing it before anything else.</w:t>
      </w:r>
    </w:p>
    <w:p>
      <w:r>
        <w:rPr>
          <w:b w:val="0"/>
        </w:rPr>
        <w:t>This report covers closing it.</w:t>
      </w:r>
    </w:p>
    <w:p>
      <w:pPr>
        <w:pStyle w:val="IntenseQuote"/>
      </w:pPr>
      <w:r>
        <w:rPr>
          <w:b/>
          <w:color w:val="1F6B45"/>
          <w:sz w:val="18"/>
        </w:rPr>
        <w:t xml:space="preserve">HEADLINE  </w:t>
      </w:r>
      <w:r>
        <w:rPr>
          <w:b w:val="0"/>
        </w:rPr>
        <w:t>The schema itself held up. All eight migrations applied cleanly against a real Postgres 16 on the first attempt, with no errors and no manual intervention. Every defect found was in code around the schema — the ORM mapping, the erasure procedure, the migration tooling — not in the table definitions.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r>
          </w:p>
        </w:tc>
        <w:tc>
          <w:tcPr>
            <w:tcW w:type="dxa" w:w="3168"/>
          </w:tcPr>
          <w:p>
            <w:r/>
            <w:r>
              <w:rPr>
                <w:b/>
                <w:sz w:val="18"/>
              </w:rPr>
              <w:t>Before this pass</w:t>
            </w:r>
          </w:p>
        </w:tc>
        <w:tc>
          <w:tcPr>
            <w:tcW w:type="dxa" w:w="3168"/>
          </w:tcPr>
          <w:p>
            <w:r/>
            <w:r>
              <w:rPr>
                <w:b/>
                <w:sz w:val="18"/>
              </w:rPr>
              <w:t>After</w:t>
            </w:r>
          </w:p>
        </w:tc>
      </w:tr>
      <w:tr>
        <w:tc>
          <w:tcPr>
            <w:tcW w:type="dxa" w:w="2880"/>
          </w:tcPr>
          <w:p>
            <w:r/>
            <w:r>
              <w:rPr>
                <w:b w:val="0"/>
                <w:sz w:val="19"/>
              </w:rPr>
              <w:t>Tests executing</w:t>
            </w:r>
          </w:p>
        </w:tc>
        <w:tc>
          <w:tcPr>
            <w:tcW w:type="dxa" w:w="3168"/>
          </w:tcPr>
          <w:p>
            <w:r/>
            <w:r>
              <w:rPr>
                <w:b w:val="0"/>
                <w:sz w:val="19"/>
              </w:rPr>
              <w:t>377 of 425</w:t>
            </w:r>
          </w:p>
        </w:tc>
        <w:tc>
          <w:tcPr>
            <w:tcW w:type="dxa" w:w="3168"/>
          </w:tcPr>
          <w:p>
            <w:r/>
            <w:r>
              <w:rPr>
                <w:b w:val="0"/>
                <w:sz w:val="19"/>
              </w:rPr>
              <w:t>438 of 438</w:t>
            </w:r>
          </w:p>
        </w:tc>
      </w:tr>
      <w:tr>
        <w:tc>
          <w:tcPr>
            <w:tcW w:type="dxa" w:w="2880"/>
          </w:tcPr>
          <w:p>
            <w:r/>
            <w:r>
              <w:rPr>
                <w:b w:val="0"/>
                <w:sz w:val="19"/>
              </w:rPr>
              <w:t>Never run</w:t>
            </w:r>
          </w:p>
        </w:tc>
        <w:tc>
          <w:tcPr>
            <w:tcW w:type="dxa" w:w="3168"/>
          </w:tcPr>
          <w:p>
            <w:r/>
            <w:r>
              <w:rPr>
                <w:b w:val="0"/>
                <w:sz w:val="19"/>
              </w:rPr>
              <w:t>48</w:t>
            </w:r>
          </w:p>
        </w:tc>
        <w:tc>
          <w:tcPr>
            <w:tcW w:type="dxa" w:w="3168"/>
          </w:tcPr>
          <w:p>
            <w:r/>
            <w:r>
              <w:rPr>
                <w:b w:val="0"/>
                <w:sz w:val="19"/>
              </w:rPr>
              <w:t>0</w:t>
            </w:r>
          </w:p>
        </w:tc>
      </w:tr>
      <w:tr>
        <w:tc>
          <w:tcPr>
            <w:tcW w:type="dxa" w:w="2880"/>
          </w:tcPr>
          <w:p>
            <w:r/>
            <w:r>
              <w:rPr>
                <w:b w:val="0"/>
                <w:sz w:val="19"/>
              </w:rPr>
              <w:t>Offline tier</w:t>
            </w:r>
          </w:p>
        </w:tc>
        <w:tc>
          <w:tcPr>
            <w:tcW w:type="dxa" w:w="3168"/>
          </w:tcPr>
          <w:p>
            <w:r/>
            <w:r>
              <w:rPr>
                <w:b w:val="0"/>
                <w:sz w:val="19"/>
              </w:rPr>
              <w:t>377 passing</w:t>
            </w:r>
          </w:p>
        </w:tc>
        <w:tc>
          <w:tcPr>
            <w:tcW w:type="dxa" w:w="3168"/>
          </w:tcPr>
          <w:p>
            <w:r/>
            <w:r>
              <w:rPr>
                <w:b w:val="0"/>
                <w:sz w:val="19"/>
              </w:rPr>
              <w:t>390 passing</w:t>
            </w:r>
          </w:p>
        </w:tc>
      </w:tr>
      <w:tr>
        <w:tc>
          <w:tcPr>
            <w:tcW w:type="dxa" w:w="2880"/>
          </w:tcPr>
          <w:p>
            <w:r/>
            <w:r>
              <w:rPr>
                <w:b w:val="0"/>
                <w:sz w:val="19"/>
              </w:rPr>
              <w:t>Online tier</w:t>
            </w:r>
          </w:p>
        </w:tc>
        <w:tc>
          <w:tcPr>
            <w:tcW w:type="dxa" w:w="3168"/>
          </w:tcPr>
          <w:p>
            <w:r/>
            <w:r>
              <w:rPr>
                <w:b w:val="0"/>
                <w:sz w:val="19"/>
              </w:rPr>
              <w:t>0 executed</w:t>
            </w:r>
          </w:p>
        </w:tc>
        <w:tc>
          <w:tcPr>
            <w:tcW w:type="dxa" w:w="3168"/>
          </w:tcPr>
          <w:p>
            <w:r/>
            <w:r>
              <w:rPr>
                <w:b w:val="0"/>
                <w:sz w:val="19"/>
              </w:rPr>
              <w:t>48 passing</w:t>
            </w:r>
          </w:p>
        </w:tc>
      </w:tr>
      <w:tr>
        <w:tc>
          <w:tcPr>
            <w:tcW w:type="dxa" w:w="2880"/>
          </w:tcPr>
          <w:p>
            <w:r/>
            <w:r>
              <w:rPr>
                <w:b w:val="0"/>
                <w:sz w:val="19"/>
              </w:rPr>
              <w:t>Migration chain applied</w:t>
            </w:r>
          </w:p>
        </w:tc>
        <w:tc>
          <w:tcPr>
            <w:tcW w:type="dxa" w:w="3168"/>
          </w:tcPr>
          <w:p>
            <w:r/>
            <w:r>
              <w:rPr>
                <w:b/>
                <w:color w:val="8A5A08"/>
                <w:sz w:val="18"/>
              </w:rPr>
              <w:t>NOT RUN</w:t>
            </w:r>
          </w:p>
        </w:tc>
        <w:tc>
          <w:tcPr>
            <w:tcW w:type="dxa" w:w="3168"/>
          </w:tcPr>
          <w:p>
            <w:r/>
            <w:r>
              <w:rPr>
                <w:b/>
                <w:color w:val="1F6B45"/>
                <w:sz w:val="18"/>
              </w:rPr>
              <w:t>VERIFIED</w:t>
            </w:r>
          </w:p>
        </w:tc>
      </w:tr>
      <w:tr>
        <w:tc>
          <w:tcPr>
            <w:tcW w:type="dxa" w:w="2880"/>
          </w:tcPr>
          <w:p>
            <w:r/>
            <w:r>
              <w:rPr>
                <w:b w:val="0"/>
                <w:sz w:val="19"/>
              </w:rPr>
              <w:t>Migration reversibility</w:t>
            </w:r>
          </w:p>
        </w:tc>
        <w:tc>
          <w:tcPr>
            <w:tcW w:type="dxa" w:w="3168"/>
          </w:tcPr>
          <w:p>
            <w:r/>
            <w:r>
              <w:rPr>
                <w:b/>
                <w:color w:val="8A5A08"/>
                <w:sz w:val="18"/>
              </w:rPr>
              <w:t>NOT RUN</w:t>
            </w:r>
          </w:p>
        </w:tc>
        <w:tc>
          <w:tcPr>
            <w:tcW w:type="dxa" w:w="3168"/>
          </w:tcPr>
          <w:p>
            <w:r/>
            <w:r>
              <w:rPr>
                <w:b/>
                <w:color w:val="1F6B45"/>
                <w:sz w:val="18"/>
              </w:rPr>
              <w:t>VERIFIED</w:t>
            </w:r>
          </w:p>
        </w:tc>
      </w:tr>
      <w:tr>
        <w:tc>
          <w:tcPr>
            <w:tcW w:type="dxa" w:w="2880"/>
          </w:tcPr>
          <w:p>
            <w:r/>
            <w:r>
              <w:rPr>
                <w:b w:val="0"/>
                <w:sz w:val="19"/>
              </w:rPr>
              <w:t>Ruff</w:t>
            </w:r>
          </w:p>
        </w:tc>
        <w:tc>
          <w:tcPr>
            <w:tcW w:type="dxa" w:w="3168"/>
          </w:tcPr>
          <w:p>
            <w:r/>
            <w:r>
              <w:rPr>
                <w:b w:val="0"/>
                <w:sz w:val="19"/>
              </w:rPr>
              <w:t>clean</w:t>
            </w:r>
          </w:p>
        </w:tc>
        <w:tc>
          <w:tcPr>
            <w:tcW w:type="dxa" w:w="3168"/>
          </w:tcPr>
          <w:p>
            <w:r/>
            <w:r>
              <w:rPr>
                <w:b w:val="0"/>
                <w:sz w:val="19"/>
              </w:rPr>
              <w:t>clean</w:t>
            </w:r>
          </w:p>
        </w:tc>
      </w:tr>
      <w:tr>
        <w:tc>
          <w:tcPr>
            <w:tcW w:type="dxa" w:w="2880"/>
          </w:tcPr>
          <w:p>
            <w:r/>
            <w:r>
              <w:rPr>
                <w:b w:val="0"/>
                <w:sz w:val="19"/>
              </w:rPr>
              <w:t>CI pipeline</w:t>
            </w:r>
          </w:p>
        </w:tc>
        <w:tc>
          <w:tcPr>
            <w:tcW w:type="dxa" w:w="3168"/>
          </w:tcPr>
          <w:p>
            <w:r/>
            <w:r>
              <w:rPr>
                <w:b w:val="0"/>
                <w:sz w:val="19"/>
              </w:rPr>
              <w:t>none</w:t>
            </w:r>
          </w:p>
        </w:tc>
        <w:tc>
          <w:tcPr>
            <w:tcW w:type="dxa" w:w="3168"/>
          </w:tcPr>
          <w:p>
            <w:r/>
            <w:r>
              <w:rPr>
                <w:b/>
                <w:color w:val="1F6B45"/>
                <w:sz w:val="18"/>
              </w:rPr>
              <w:t>ADDED</w:t>
            </w:r>
          </w:p>
        </w:tc>
      </w:tr>
    </w:tbl>
    <w:p/>
    <w:p>
      <w:pPr>
        <w:pStyle w:val="Heading1"/>
      </w:pPr>
      <w:r>
        <w:t>2.  Standing up the database</w:t>
      </w:r>
    </w:p>
    <w:p>
      <w:r>
        <w:rPr>
          <w:b w:val="0"/>
        </w:rPr>
        <w:t xml:space="preserve">The blocker was pgvector. The machine already had Postgres 16 running locally with </w:t>
      </w:r>
      <w:r>
        <w:rPr>
          <w:rFonts w:ascii="Consolas" w:hAnsi="Consolas"/>
          <w:b w:val="0"/>
          <w:sz w:val="20"/>
        </w:rPr>
        <w:t>citext</w:t>
      </w:r>
      <w:r>
        <w:rPr>
          <w:b w:val="0"/>
        </w:rPr>
        <w:t xml:space="preserve">, </w:t>
      </w:r>
      <w:r>
        <w:rPr>
          <w:rFonts w:ascii="Consolas" w:hAnsi="Consolas"/>
          <w:b w:val="0"/>
          <w:sz w:val="20"/>
        </w:rPr>
        <w:t>pg_trgm</w:t>
      </w:r>
      <w:r>
        <w:rPr>
          <w:b w:val="0"/>
        </w:rPr>
        <w:t xml:space="preserve"> and </w:t>
      </w:r>
      <w:r>
        <w:rPr>
          <w:rFonts w:ascii="Consolas" w:hAnsi="Consolas"/>
          <w:b w:val="0"/>
          <w:sz w:val="20"/>
        </w:rPr>
        <w:t>pgcrypto</w:t>
      </w:r>
      <w:r>
        <w:rPr>
          <w:b w:val="0"/>
        </w:rPr>
        <w:t xml:space="preserve"> available, but not </w:t>
      </w:r>
      <w:r>
        <w:rPr>
          <w:rFonts w:ascii="Consolas" w:hAnsi="Consolas"/>
          <w:b w:val="0"/>
          <w:sz w:val="20"/>
        </w:rPr>
        <w:t>vector</w:t>
      </w:r>
      <w:r>
        <w:rPr>
          <w:b w:val="0"/>
        </w:rPr>
        <w:t xml:space="preserve"> — which is not part of the Windows installer and which migration 0001 creates before it does anything else. Without it nothing runs at all.</w:t>
      </w:r>
    </w:p>
    <w:p>
      <w:r>
        <w:rPr>
          <w:b w:val="0"/>
        </w:rPr>
        <w:t xml:space="preserve">Docker Desktop was installed, and </w:t>
      </w:r>
      <w:r>
        <w:rPr>
          <w:rFonts w:ascii="Consolas" w:hAnsi="Consolas"/>
          <w:b w:val="0"/>
          <w:sz w:val="20"/>
        </w:rPr>
        <w:t>docker-compose.test.yml</w:t>
      </w:r>
      <w:r>
        <w:rPr>
          <w:b w:val="0"/>
        </w:rPr>
        <w:t xml:space="preserve"> provisioned the database exactly as specification §14 describes: a pinned </w:t>
      </w:r>
      <w:r>
        <w:rPr>
          <w:rFonts w:ascii="Consolas" w:hAnsi="Consolas"/>
          <w:b w:val="0"/>
          <w:sz w:val="20"/>
        </w:rPr>
        <w:t>pgvector/pgvector:pg16</w:t>
      </w:r>
      <w:r>
        <w:rPr>
          <w:b w:val="0"/>
        </w:rPr>
        <w:t xml:space="preserve"> image with the extension prebuilt, on port 5433 so it cannot collide with a development instance, on </w:t>
      </w:r>
      <w:r>
        <w:rPr>
          <w:rFonts w:ascii="Consolas" w:hAnsi="Consolas"/>
          <w:b w:val="0"/>
          <w:sz w:val="20"/>
        </w:rPr>
        <w:t>tmpfs</w:t>
      </w:r>
      <w:r>
        <w:rPr>
          <w:b w:val="0"/>
        </w:rPr>
        <w:t xml:space="preserve"> so it never survives a run. The init script created all three databases on first boot.</w:t>
      </w:r>
    </w:p>
    <w:p>
      <w:r>
        <w:rPr>
          <w:b w:val="0"/>
        </w:rPr>
        <w:t>Confirmed present before any test ran:</w:t>
      </w:r>
    </w:p>
    <w:p>
      <w:pPr>
        <w:pStyle w:val="ListBullet"/>
      </w:pPr>
      <w:r>
        <w:rPr>
          <w:rFonts w:ascii="Consolas" w:hAnsi="Consolas"/>
          <w:b w:val="0"/>
          <w:sz w:val="20"/>
        </w:rPr>
        <w:t>vector</w:t>
      </w:r>
      <w:r>
        <w:rPr>
          <w:b w:val="0"/>
        </w:rPr>
        <w:t xml:space="preserve"> 0.8.6, </w:t>
      </w:r>
      <w:r>
        <w:rPr>
          <w:rFonts w:ascii="Consolas" w:hAnsi="Consolas"/>
          <w:b w:val="0"/>
          <w:sz w:val="20"/>
        </w:rPr>
        <w:t>citext</w:t>
      </w:r>
      <w:r>
        <w:rPr>
          <w:b w:val="0"/>
        </w:rPr>
        <w:t xml:space="preserve"> 1.6, </w:t>
      </w:r>
      <w:r>
        <w:rPr>
          <w:rFonts w:ascii="Consolas" w:hAnsi="Consolas"/>
          <w:b w:val="0"/>
          <w:sz w:val="20"/>
        </w:rPr>
        <w:t>pg_trgm</w:t>
      </w:r>
      <w:r>
        <w:rPr>
          <w:b w:val="0"/>
        </w:rPr>
        <w:t xml:space="preserve"> 1.6, </w:t>
      </w:r>
      <w:r>
        <w:rPr>
          <w:rFonts w:ascii="Consolas" w:hAnsi="Consolas"/>
          <w:b w:val="0"/>
          <w:sz w:val="20"/>
        </w:rPr>
        <w:t>pgcrypto</w:t>
      </w:r>
      <w:r>
        <w:rPr>
          <w:b w:val="0"/>
        </w:rPr>
        <w:t xml:space="preserve"> 1.3</w:t>
      </w:r>
    </w:p>
    <w:p>
      <w:pPr>
        <w:pStyle w:val="ListBullet"/>
      </w:pPr>
      <w:r>
        <w:rPr>
          <w:rFonts w:ascii="Consolas" w:hAnsi="Consolas"/>
          <w:b w:val="0"/>
          <w:sz w:val="20"/>
        </w:rPr>
        <w:t>studium</w:t>
      </w:r>
      <w:r>
        <w:rPr>
          <w:b w:val="0"/>
        </w:rPr>
        <w:t xml:space="preserve">, </w:t>
      </w:r>
      <w:r>
        <w:rPr>
          <w:rFonts w:ascii="Consolas" w:hAnsi="Consolas"/>
          <w:b w:val="0"/>
          <w:sz w:val="20"/>
        </w:rPr>
        <w:t>studium_test</w:t>
      </w:r>
      <w:r>
        <w:rPr>
          <w:b w:val="0"/>
        </w:rPr>
        <w:t xml:space="preserve"> and </w:t>
      </w:r>
      <w:r>
        <w:rPr>
          <w:rFonts w:ascii="Consolas" w:hAnsi="Consolas"/>
          <w:b w:val="0"/>
          <w:sz w:val="20"/>
        </w:rPr>
        <w:t>studium_migrate</w:t>
      </w:r>
      <w:r>
        <w:rPr>
          <w:b w:val="0"/>
        </w:rPr>
        <w:t>, created by the init script</w:t>
      </w:r>
    </w:p>
    <w:p>
      <w:pPr>
        <w:pStyle w:val="ListBullet"/>
      </w:pPr>
      <w:r>
        <w:rPr>
          <w:b w:val="0"/>
        </w:rPr>
        <w:t xml:space="preserve">Postgres server 16.15, matching the </w:t>
      </w:r>
      <w:r>
        <w:rPr>
          <w:rFonts w:ascii="Consolas" w:hAnsi="Consolas"/>
          <w:b w:val="0"/>
          <w:sz w:val="20"/>
        </w:rPr>
        <w:t>pg_dump</w:t>
      </w:r>
      <w:r>
        <w:rPr>
          <w:b w:val="0"/>
        </w:rPr>
        <w:t xml:space="preserve"> client used for §13 check 3</w:t>
      </w:r>
    </w:p>
    <w:p>
      <w:r>
        <w:rPr>
          <w:b w:val="0"/>
        </w:rPr>
        <w:t>Applying the migration chain was the first real test of the schema, and it is the result worth stating on its own: all eight migrations, base through 0008, applied cleanly on the first attempt.</w:t>
      </w:r>
    </w:p>
    <w:p>
      <w:pPr>
        <w:pStyle w:val="Heading1"/>
      </w:pPr>
      <w:r>
        <w:t>3.  What first execution found</w:t>
      </w:r>
    </w:p>
    <w:p>
      <w:r>
        <w:rPr>
          <w:b w:val="0"/>
        </w:rPr>
        <w:t>The first run produced 37 passes and 11 failures. Triage separated genuine defects from defects in the tests themselves. Six were real; the rest were tests asserting things that were not true.</w:t>
      </w:r>
    </w:p>
    <w:tbl>
      <w:tblPr>
        <w:tblStyle w:val="LightGrid-Accent1"/>
        <w:tblW w:type="auto" w:w="0"/>
        <w:tblLook w:firstColumn="1" w:firstRow="1" w:lastColumn="0" w:lastRow="0" w:noHBand="0" w:noVBand="1" w:val="04A0"/>
      </w:tblPr>
      <w:tblGrid>
        <w:gridCol w:w="2160"/>
        <w:gridCol w:w="2160"/>
        <w:gridCol w:w="2160"/>
        <w:gridCol w:w="2160"/>
      </w:tblGrid>
      <w:tr>
        <w:tc>
          <w:tcPr>
            <w:tcW w:type="dxa" w:w="576"/>
          </w:tcPr>
          <w:p>
            <w:r/>
            <w:r>
              <w:rPr>
                <w:b/>
                <w:sz w:val="18"/>
              </w:rPr>
              <w:t>#</w:t>
            </w:r>
          </w:p>
        </w:tc>
        <w:tc>
          <w:tcPr>
            <w:tcW w:type="dxa" w:w="4896"/>
          </w:tcPr>
          <w:p>
            <w:r/>
            <w:r>
              <w:rPr>
                <w:b/>
                <w:sz w:val="18"/>
              </w:rPr>
              <w:t>Defect</w:t>
            </w:r>
          </w:p>
        </w:tc>
        <w:tc>
          <w:tcPr>
            <w:tcW w:type="dxa" w:w="1584"/>
          </w:tcPr>
          <w:p>
            <w:r/>
            <w:r>
              <w:rPr>
                <w:b/>
                <w:sz w:val="18"/>
              </w:rPr>
              <w:t>Severity</w:t>
            </w:r>
          </w:p>
        </w:tc>
        <w:tc>
          <w:tcPr>
            <w:tcW w:type="dxa" w:w="1296"/>
          </w:tcPr>
          <w:p>
            <w:r/>
            <w:r>
              <w:rPr>
                <w:b/>
                <w:sz w:val="18"/>
              </w:rPr>
              <w:t>Status</w:t>
            </w:r>
          </w:p>
        </w:tc>
      </w:tr>
      <w:tr>
        <w:tc>
          <w:tcPr>
            <w:tcW w:type="dxa" w:w="576"/>
          </w:tcPr>
          <w:p>
            <w:r/>
            <w:r>
              <w:rPr>
                <w:b w:val="0"/>
                <w:sz w:val="19"/>
              </w:rPr>
              <w:t>1</w:t>
            </w:r>
          </w:p>
        </w:tc>
        <w:tc>
          <w:tcPr>
            <w:tcW w:type="dxa" w:w="4896"/>
          </w:tcPr>
          <w:p>
            <w:r/>
            <w:r>
              <w:rPr>
                <w:b w:val="0"/>
                <w:sz w:val="19"/>
              </w:rPr>
              <w:t>ORM deletes defeated every ON DELETE CASCADE</w:t>
            </w:r>
          </w:p>
        </w:tc>
        <w:tc>
          <w:tcPr>
            <w:tcW w:type="dxa" w:w="1584"/>
          </w:tcPr>
          <w:p>
            <w:r/>
            <w:r>
              <w:rPr>
                <w:b/>
                <w:color w:val="9C2F28"/>
                <w:sz w:val="18"/>
              </w:rPr>
              <w:t>CRITICAL</w:t>
            </w:r>
          </w:p>
        </w:tc>
        <w:tc>
          <w:tcPr>
            <w:tcW w:type="dxa" w:w="1296"/>
          </w:tcPr>
          <w:p>
            <w:r/>
            <w:r>
              <w:rPr>
                <w:b/>
                <w:color w:val="1F6B45"/>
                <w:sz w:val="18"/>
              </w:rPr>
              <w:t>FIXED</w:t>
            </w:r>
          </w:p>
        </w:tc>
      </w:tr>
      <w:tr>
        <w:tc>
          <w:tcPr>
            <w:tcW w:type="dxa" w:w="576"/>
          </w:tcPr>
          <w:p>
            <w:r/>
            <w:r>
              <w:rPr>
                <w:b w:val="0"/>
                <w:sz w:val="19"/>
              </w:rPr>
              <w:t>2</w:t>
            </w:r>
          </w:p>
        </w:tc>
        <w:tc>
          <w:tcPr>
            <w:tcW w:type="dxa" w:w="4896"/>
          </w:tcPr>
          <w:p>
            <w:r/>
            <w:r>
              <w:rPr>
                <w:b w:val="0"/>
                <w:sz w:val="19"/>
              </w:rPr>
              <w:t>Right-to-erasure failed for the second learner erased in a day</w:t>
            </w:r>
          </w:p>
        </w:tc>
        <w:tc>
          <w:tcPr>
            <w:tcW w:type="dxa" w:w="1584"/>
          </w:tcPr>
          <w:p>
            <w:r/>
            <w:r>
              <w:rPr>
                <w:b/>
                <w:color w:val="9C2F28"/>
                <w:sz w:val="18"/>
              </w:rPr>
              <w:t>CRITICAL</w:t>
            </w:r>
          </w:p>
        </w:tc>
        <w:tc>
          <w:tcPr>
            <w:tcW w:type="dxa" w:w="1296"/>
          </w:tcPr>
          <w:p>
            <w:r/>
            <w:r>
              <w:rPr>
                <w:b/>
                <w:color w:val="1F6B45"/>
                <w:sz w:val="18"/>
              </w:rPr>
              <w:t>FIXED</w:t>
            </w:r>
          </w:p>
        </w:tc>
      </w:tr>
      <w:tr>
        <w:tc>
          <w:tcPr>
            <w:tcW w:type="dxa" w:w="576"/>
          </w:tcPr>
          <w:p>
            <w:r/>
            <w:r>
              <w:rPr>
                <w:b w:val="0"/>
                <w:sz w:val="19"/>
              </w:rPr>
              <w:t>3</w:t>
            </w:r>
          </w:p>
        </w:tc>
        <w:tc>
          <w:tcPr>
            <w:tcW w:type="dxa" w:w="4896"/>
          </w:tcPr>
          <w:p>
            <w:r/>
            <w:r>
              <w:rPr>
                <w:b w:val="0"/>
                <w:sz w:val="19"/>
              </w:rPr>
              <w:t>Alembic migrated the wrong database, destructively</w:t>
            </w:r>
          </w:p>
        </w:tc>
        <w:tc>
          <w:tcPr>
            <w:tcW w:type="dxa" w:w="1584"/>
          </w:tcPr>
          <w:p>
            <w:r/>
            <w:r>
              <w:rPr>
                <w:b/>
                <w:color w:val="9C2F28"/>
                <w:sz w:val="18"/>
              </w:rPr>
              <w:t>HIGH</w:t>
            </w:r>
          </w:p>
        </w:tc>
        <w:tc>
          <w:tcPr>
            <w:tcW w:type="dxa" w:w="1296"/>
          </w:tcPr>
          <w:p>
            <w:r/>
            <w:r>
              <w:rPr>
                <w:b/>
                <w:color w:val="1F6B45"/>
                <w:sz w:val="18"/>
              </w:rPr>
              <w:t>FIXED</w:t>
            </w:r>
          </w:p>
        </w:tc>
      </w:tr>
      <w:tr>
        <w:tc>
          <w:tcPr>
            <w:tcW w:type="dxa" w:w="576"/>
          </w:tcPr>
          <w:p>
            <w:r/>
            <w:r>
              <w:rPr>
                <w:b w:val="0"/>
                <w:sz w:val="19"/>
              </w:rPr>
              <w:t>4</w:t>
            </w:r>
          </w:p>
        </w:tc>
        <w:tc>
          <w:tcPr>
            <w:tcW w:type="dxa" w:w="4896"/>
          </w:tcPr>
          <w:p>
            <w:r/>
            <w:r>
              <w:rPr>
                <w:b w:val="0"/>
                <w:sz w:val="19"/>
              </w:rPr>
              <w:t>Migration 0002's downgrade never worked</w:t>
            </w:r>
          </w:p>
        </w:tc>
        <w:tc>
          <w:tcPr>
            <w:tcW w:type="dxa" w:w="1584"/>
          </w:tcPr>
          <w:p>
            <w:r/>
            <w:r>
              <w:rPr>
                <w:b/>
                <w:color w:val="9C2F28"/>
                <w:sz w:val="18"/>
              </w:rPr>
              <w:t>HIGH</w:t>
            </w:r>
          </w:p>
        </w:tc>
        <w:tc>
          <w:tcPr>
            <w:tcW w:type="dxa" w:w="1296"/>
          </w:tcPr>
          <w:p>
            <w:r/>
            <w:r>
              <w:rPr>
                <w:b/>
                <w:color w:val="1F6B45"/>
                <w:sz w:val="18"/>
              </w:rPr>
              <w:t>FIXED</w:t>
            </w:r>
          </w:p>
        </w:tc>
      </w:tr>
      <w:tr>
        <w:tc>
          <w:tcPr>
            <w:tcW w:type="dxa" w:w="576"/>
          </w:tcPr>
          <w:p>
            <w:r/>
            <w:r>
              <w:rPr>
                <w:b w:val="0"/>
                <w:sz w:val="19"/>
              </w:rPr>
              <w:t>5</w:t>
            </w:r>
          </w:p>
        </w:tc>
        <w:tc>
          <w:tcPr>
            <w:tcW w:type="dxa" w:w="4896"/>
          </w:tcPr>
          <w:p>
            <w:r/>
            <w:r>
              <w:rPr>
                <w:rFonts w:ascii="Consolas" w:hAnsi="Consolas"/>
                <w:b w:val="0"/>
                <w:sz w:val="18"/>
              </w:rPr>
              <w:t>review_cards</w:t>
            </w:r>
            <w:r>
              <w:rPr>
                <w:b w:val="0"/>
                <w:sz w:val="19"/>
              </w:rPr>
              <w:t xml:space="preserve"> had no retention policy</w:t>
            </w:r>
          </w:p>
        </w:tc>
        <w:tc>
          <w:tcPr>
            <w:tcW w:type="dxa" w:w="1584"/>
          </w:tcPr>
          <w:p>
            <w:r/>
            <w:r>
              <w:rPr>
                <w:b/>
                <w:color w:val="8A5A08"/>
                <w:sz w:val="18"/>
              </w:rPr>
              <w:t>MEDIUM</w:t>
            </w:r>
          </w:p>
        </w:tc>
        <w:tc>
          <w:tcPr>
            <w:tcW w:type="dxa" w:w="1296"/>
          </w:tcPr>
          <w:p>
            <w:r/>
            <w:r>
              <w:rPr>
                <w:b/>
                <w:color w:val="1F6B45"/>
                <w:sz w:val="18"/>
              </w:rPr>
              <w:t>FIXED</w:t>
            </w:r>
          </w:p>
        </w:tc>
      </w:tr>
      <w:tr>
        <w:tc>
          <w:tcPr>
            <w:tcW w:type="dxa" w:w="576"/>
          </w:tcPr>
          <w:p>
            <w:r/>
            <w:r>
              <w:rPr>
                <w:b w:val="0"/>
                <w:sz w:val="19"/>
              </w:rPr>
              <w:t>6</w:t>
            </w:r>
          </w:p>
        </w:tc>
        <w:tc>
          <w:tcPr>
            <w:tcW w:type="dxa" w:w="4896"/>
          </w:tcPr>
          <w:p>
            <w:r/>
            <w:r>
              <w:rPr>
                <w:rFonts w:ascii="Consolas" w:hAnsi="Consolas"/>
                <w:b w:val="0"/>
                <w:sz w:val="18"/>
              </w:rPr>
              <w:t>alembic.ini</w:t>
            </w:r>
            <w:r>
              <w:rPr>
                <w:b w:val="0"/>
                <w:sz w:val="19"/>
              </w:rPr>
              <w:t xml:space="preserve"> used a key renamed in Alembic 1.16</w:t>
            </w:r>
          </w:p>
        </w:tc>
        <w:tc>
          <w:tcPr>
            <w:tcW w:type="dxa" w:w="1584"/>
          </w:tcPr>
          <w:p>
            <w:r/>
            <w:r>
              <w:rPr>
                <w:b/>
                <w:color w:val="1F6B45"/>
                <w:sz w:val="18"/>
              </w:rPr>
              <w:t>LOW</w:t>
            </w:r>
          </w:p>
        </w:tc>
        <w:tc>
          <w:tcPr>
            <w:tcW w:type="dxa" w:w="1296"/>
          </w:tcPr>
          <w:p>
            <w:r/>
            <w:r>
              <w:rPr>
                <w:b/>
                <w:color w:val="1F6B45"/>
                <w:sz w:val="18"/>
              </w:rPr>
              <w:t>FIXED</w:t>
            </w:r>
          </w:p>
        </w:tc>
      </w:tr>
    </w:tbl>
    <w:p/>
    <w:p>
      <w:pPr>
        <w:pStyle w:val="Heading2"/>
      </w:pPr>
      <w:r>
        <w:t>3.1  ORM deletes defeated every cascade</w:t>
      </w:r>
    </w:p>
    <w:p>
      <w:r>
        <w:rPr>
          <w:b w:val="0"/>
        </w:rPr>
        <w:t xml:space="preserve">Every foreign key in this schema carries an explicit </w:t>
      </w:r>
      <w:r>
        <w:rPr>
          <w:rFonts w:ascii="Consolas" w:hAnsi="Consolas"/>
          <w:b w:val="0"/>
          <w:sz w:val="20"/>
        </w:rPr>
        <w:t>ON DELETE</w:t>
      </w:r>
      <w:r>
        <w:rPr>
          <w:b w:val="0"/>
        </w:rPr>
        <w:t xml:space="preserve"> policy. That is where §6's lifecycle rules actually live — twelve of them are </w:t>
      </w:r>
      <w:r>
        <w:rPr>
          <w:rFonts w:ascii="Consolas" w:hAnsi="Consolas"/>
          <w:b w:val="0"/>
          <w:sz w:val="20"/>
        </w:rPr>
        <w:t>CASCADE</w:t>
      </w:r>
      <w:r>
        <w:rPr>
          <w:b w:val="0"/>
        </w:rPr>
        <w:t xml:space="preserve">. SQLAlchemy does not read those clauses. Its default behaviour on deleting a parent is to load the children and issue </w:t>
      </w:r>
      <w:r>
        <w:rPr>
          <w:rFonts w:ascii="Consolas" w:hAnsi="Consolas"/>
          <w:b w:val="0"/>
          <w:sz w:val="20"/>
        </w:rPr>
        <w:t>UPDATE child SET fk = NULL</w:t>
      </w:r>
      <w:r>
        <w:rPr>
          <w:b w:val="0"/>
        </w:rPr>
        <w:t xml:space="preserve"> before the parent's </w:t>
      </w:r>
      <w:r>
        <w:rPr>
          <w:rFonts w:ascii="Consolas" w:hAnsi="Consolas"/>
          <w:b w:val="0"/>
          <w:sz w:val="20"/>
        </w:rPr>
        <w:t>DELETE</w:t>
      </w:r>
      <w:r>
        <w:rPr>
          <w:b w:val="0"/>
        </w:rPr>
        <w:t>, which defeats the database-level cascade entirely.</w:t>
      </w:r>
    </w:p>
    <w:p>
      <w:r>
        <w:rPr>
          <w:b w:val="0"/>
        </w:rPr>
        <w:t xml:space="preserve">None of the twenty-four relationships in the models set </w:t>
      </w:r>
      <w:r>
        <w:rPr>
          <w:rFonts w:ascii="Consolas" w:hAnsi="Consolas"/>
          <w:b w:val="0"/>
          <w:sz w:val="20"/>
        </w:rPr>
        <w:t>passive_deletes=True</w:t>
      </w:r>
      <w:r>
        <w:rPr>
          <w:b w:val="0"/>
        </w:rPr>
        <w:t xml:space="preserve">. Because all twelve child foreign keys are </w:t>
      </w:r>
      <w:r>
        <w:rPr>
          <w:rFonts w:ascii="Consolas" w:hAnsi="Consolas"/>
          <w:b w:val="0"/>
          <w:sz w:val="20"/>
        </w:rPr>
        <w:t>NOT NULL</w:t>
      </w:r>
      <w:r>
        <w:rPr>
          <w:b w:val="0"/>
        </w:rPr>
        <w:t>, every ORM delete of a parent failed outright with a not-null violation. Had any of them been nullable, the failure mode would have been worse: silently orphaning rows the database was explicitly told to remove.</w:t>
      </w:r>
    </w:p>
    <w:p>
      <w:pPr>
        <w:pStyle w:val="IntenseQuote"/>
      </w:pPr>
      <w:r>
        <w:rPr>
          <w:b/>
          <w:color w:val="9C2F28"/>
          <w:sz w:val="18"/>
        </w:rPr>
        <w:t xml:space="preserve">WHY IT MATTERS  </w:t>
      </w:r>
      <w:r>
        <w:rPr>
          <w:b w:val="0"/>
        </w:rPr>
        <w:t>This is not an edge case. It is every delete through the ORM, on every parent table in the schema — mastery, sessions, journal entries, sources, assessments. Any code deleting a parent row would have failed on first use.</w:t>
      </w:r>
    </w:p>
    <w:p>
      <w:r>
        <w:rPr>
          <w:b w:val="0"/>
        </w:rPr>
        <w:t xml:space="preserve">All twelve parent-side relationships now set </w:t>
      </w:r>
      <w:r>
        <w:rPr>
          <w:rFonts w:ascii="Consolas" w:hAnsi="Consolas"/>
          <w:b w:val="0"/>
          <w:sz w:val="20"/>
        </w:rPr>
        <w:t>passive_deletes=True</w:t>
      </w:r>
      <w:r>
        <w:rPr>
          <w:b w:val="0"/>
        </w:rPr>
        <w:t xml:space="preserve">. A new offline test, </w:t>
      </w:r>
      <w:r>
        <w:rPr>
          <w:rFonts w:ascii="Consolas" w:hAnsi="Consolas"/>
          <w:b w:val="0"/>
          <w:sz w:val="20"/>
        </w:rPr>
        <w:t>tests/schema/test_relationship_conventions.py</w:t>
      </w:r>
      <w:r>
        <w:rPr>
          <w:b w:val="0"/>
        </w:rPr>
        <w:t>, walks the mapper metadata and fails if any relationship backed by a database-owned delete policy does not defer to it. It carries a coverage guard so it cannot pass by finding nothing to check.</w:t>
      </w:r>
    </w:p>
    <w:p>
      <w:pPr>
        <w:pStyle w:val="Heading2"/>
      </w:pPr>
      <w:r>
        <w:t>3.2  Right-to-erasure failed for the second learner</w:t>
      </w:r>
    </w:p>
    <w:p>
      <w:r>
        <w:rPr>
          <w:b w:val="0"/>
        </w:rPr>
        <w:t xml:space="preserve">Specification §10 step 2 anonymises a departing learner's </w:t>
      </w:r>
      <w:r>
        <w:rPr>
          <w:rFonts w:ascii="Consolas" w:hAnsi="Consolas"/>
          <w:b w:val="0"/>
          <w:sz w:val="20"/>
        </w:rPr>
        <w:t>cost_ledger</w:t>
      </w:r>
      <w:r>
        <w:rPr>
          <w:b w:val="0"/>
        </w:rPr>
        <w:t xml:space="preserve"> rows by nulling </w:t>
      </w:r>
      <w:r>
        <w:rPr>
          <w:rFonts w:ascii="Consolas" w:hAnsi="Consolas"/>
          <w:b w:val="0"/>
          <w:sz w:val="20"/>
        </w:rPr>
        <w:t>user_id</w:t>
      </w:r>
      <w:r>
        <w:rPr>
          <w:b w:val="0"/>
        </w:rPr>
        <w:t xml:space="preserve">. Specification §6.12 states that rows with a null owner represent post-erasure aggregates, and gives </w:t>
      </w:r>
      <w:r>
        <w:rPr>
          <w:rFonts w:ascii="Consolas" w:hAnsi="Consolas"/>
          <w:b w:val="0"/>
          <w:sz w:val="20"/>
        </w:rPr>
        <w:t>uq_cost_ledger_day</w:t>
      </w:r>
      <w:r>
        <w:rPr>
          <w:b w:val="0"/>
        </w:rPr>
        <w:t xml:space="preserve"> the modifier </w:t>
      </w:r>
      <w:r>
        <w:rPr>
          <w:rFonts w:ascii="Consolas" w:hAnsi="Consolas"/>
          <w:b w:val="0"/>
          <w:sz w:val="20"/>
        </w:rPr>
        <w:t>NULLS NOT DISTINCT</w:t>
      </w:r>
      <w:r>
        <w:rPr>
          <w:b w:val="0"/>
        </w:rPr>
        <w:t>.</w:t>
      </w:r>
    </w:p>
    <w:p>
      <w:r>
        <w:rPr>
          <w:b w:val="0"/>
        </w:rPr>
        <w:t xml:space="preserve">Those two rules contradict each other. </w:t>
      </w:r>
      <w:r>
        <w:rPr>
          <w:rFonts w:ascii="Consolas" w:hAnsi="Consolas"/>
          <w:b w:val="0"/>
          <w:sz w:val="20"/>
        </w:rPr>
        <w:t>NULLS NOT DISTINCT</w:t>
      </w:r>
      <w:r>
        <w:rPr>
          <w:b w:val="0"/>
        </w:rPr>
        <w:t xml:space="preserve"> makes </w:t>
      </w:r>
      <w:r>
        <w:rPr>
          <w:rFonts w:ascii="Consolas" w:hAnsi="Consolas"/>
          <w:b w:val="0"/>
          <w:sz w:val="20"/>
        </w:rPr>
        <w:t>(NULL, day, model)</w:t>
      </w:r>
      <w:r>
        <w:rPr>
          <w:b w:val="0"/>
        </w:rPr>
        <w:t xml:space="preserve"> a single shared row rather than one row per erased learner. The plain anonymising update therefore succeeds for the first learner erased on a given day and raises a unique violation for the second — aborting the erasure.</w:t>
      </w:r>
    </w:p>
    <w:p>
      <w:pPr>
        <w:pStyle w:val="IntenseQuote"/>
      </w:pPr>
      <w:r>
        <w:rPr>
          <w:b/>
          <w:color w:val="9C2F28"/>
          <w:sz w:val="18"/>
        </w:rPr>
        <w:t xml:space="preserve">WHY IT MATTERS  </w:t>
      </w:r>
      <w:r>
        <w:rPr>
          <w:b w:val="0"/>
        </w:rPr>
        <w:t>Right to erasure is a statutory obligation under PIPEDA, not a feature. The second and every subsequent erasure request on a day where an earlier-erased learner used the same model would have failed, and failed loudly, at exactly the moment the system is legally obliged to succeed.</w:t>
      </w:r>
    </w:p>
    <w:p>
      <w:r>
        <w:rPr>
          <w:rFonts w:ascii="Consolas" w:hAnsi="Consolas"/>
          <w:b w:val="0"/>
          <w:sz w:val="20"/>
        </w:rPr>
        <w:t>erase_user</w:t>
      </w:r>
      <w:r>
        <w:rPr>
          <w:b w:val="0"/>
        </w:rPr>
        <w:t xml:space="preserve"> now folds the learner's rows into the shared aggregate — an </w:t>
      </w:r>
      <w:r>
        <w:rPr>
          <w:rFonts w:ascii="Consolas" w:hAnsi="Consolas"/>
          <w:b w:val="0"/>
          <w:sz w:val="20"/>
        </w:rPr>
        <w:t>INSERT ... ON CONFLICT ... DO UPDATE</w:t>
      </w:r>
      <w:r>
        <w:rPr>
          <w:b w:val="0"/>
        </w:rPr>
        <w:t xml:space="preserve"> summing every token and cost column, then deleting the originals. The generated </w:t>
      </w:r>
      <w:r>
        <w:rPr>
          <w:rFonts w:ascii="Consolas" w:hAnsi="Consolas"/>
          <w:b w:val="0"/>
          <w:sz w:val="20"/>
        </w:rPr>
        <w:t>cost_usd</w:t>
      </w:r>
      <w:r>
        <w:rPr>
          <w:b w:val="0"/>
        </w:rPr>
        <w:t xml:space="preserve"> column is never written. This makes the null-owner rows true aggregates, which is what §6.12 describes. It is recorded as divergence V13, because the specification's own procedure cannot satisfy the specification's own constraint; §10 step 2 should read “merge into” rather than “anonymise”.</w:t>
      </w:r>
    </w:p>
    <w:p>
      <w:pPr>
        <w:pStyle w:val="Heading2"/>
      </w:pPr>
      <w:r>
        <w:t>3.3  Alembic migrated the wrong database</w:t>
      </w:r>
    </w:p>
    <w:p>
      <w:r>
        <w:rPr>
          <w:b w:val="0"/>
        </w:rPr>
        <w:t xml:space="preserve">The Alembic environment overrode </w:t>
      </w:r>
      <w:r>
        <w:rPr>
          <w:rFonts w:ascii="Consolas" w:hAnsi="Consolas"/>
          <w:b w:val="0"/>
          <w:sz w:val="20"/>
        </w:rPr>
        <w:t>sqlalchemy.url</w:t>
      </w:r>
      <w:r>
        <w:rPr>
          <w:b w:val="0"/>
        </w:rPr>
        <w:t xml:space="preserve"> unconditionally from settings, discarding whatever the caller had configured. The migration tests set that URL deliberately, to point at a scratch database they are allowed to drop and recreate. The override meant they dropped the scratch database's schema and then migrated </w:t>
      </w:r>
      <w:r>
        <w:rPr>
          <w:rFonts w:ascii="Consolas" w:hAnsi="Consolas"/>
          <w:b w:val="0"/>
          <w:sz w:val="20"/>
        </w:rPr>
        <w:t>STUDIUM_DATABASE_URL</w:t>
      </w:r>
      <w:r>
        <w:rPr>
          <w:b w:val="0"/>
        </w:rPr>
        <w:t xml:space="preserve"> instead.</w:t>
      </w:r>
    </w:p>
    <w:p>
      <w:pPr>
        <w:pStyle w:val="IntenseQuote"/>
      </w:pPr>
      <w:r>
        <w:rPr>
          <w:b/>
          <w:color w:val="9C2F28"/>
          <w:sz w:val="18"/>
        </w:rPr>
        <w:t xml:space="preserve">WHY IT MATTERS  </w:t>
      </w:r>
      <w:r>
        <w:rPr>
          <w:b w:val="0"/>
        </w:rPr>
        <w:t xml:space="preserve">One of those tests runs </w:t>
      </w:r>
      <w:r>
        <w:rPr>
          <w:rFonts w:ascii="Consolas" w:hAnsi="Consolas"/>
          <w:b w:val="0"/>
          <w:sz w:val="20"/>
        </w:rPr>
        <w:t>downgrade base</w:t>
      </w:r>
      <w:r>
        <w:rPr>
          <w:b w:val="0"/>
        </w:rPr>
        <w:t xml:space="preserve">, which drops every table. Running the migration suite on a machine where </w:t>
      </w:r>
      <w:r>
        <w:rPr>
          <w:rFonts w:ascii="Consolas" w:hAnsi="Consolas"/>
          <w:b w:val="0"/>
          <w:sz w:val="20"/>
        </w:rPr>
        <w:t>STUDIUM_DATABASE_URL</w:t>
      </w:r>
      <w:r>
        <w:rPr>
          <w:b w:val="0"/>
        </w:rPr>
        <w:t xml:space="preserve"> pointed at a real database would have dropped every table in it. It failed safe here only because that database happened to be unreachable.</w:t>
      </w:r>
    </w:p>
    <w:p>
      <w:r>
        <w:rPr>
          <w:b w:val="0"/>
        </w:rPr>
        <w:t>The configured URL now wins, with settings as the fallback. The same fix added a connection timeout: without one, pointing at a host that drops packets rather than refusing them blocks on the operating system's TCP timeout, which is what turned this into a ten-minute apparent hang rather than an error.</w:t>
      </w:r>
    </w:p>
    <w:p>
      <w:pPr>
        <w:pStyle w:val="Heading2"/>
      </w:pPr>
      <w:r>
        <w:t>3.4  Migration 0002's downgrade never worked</w:t>
      </w:r>
    </w:p>
    <w:p>
      <w:r>
        <w:rPr>
          <w:b w:val="0"/>
        </w:rPr>
        <w:t xml:space="preserve">The upgrade creates a check constraint under the metadata naming convention, which yields </w:t>
      </w:r>
      <w:r>
        <w:rPr>
          <w:rFonts w:ascii="Consolas" w:hAnsi="Consolas"/>
          <w:b w:val="0"/>
          <w:sz w:val="20"/>
        </w:rPr>
        <w:t>ck_concepts_module_slug_format</w:t>
      </w:r>
      <w:r>
        <w:rPr>
          <w:b w:val="0"/>
        </w:rPr>
        <w:t xml:space="preserve">. The downgrade passed that already-prefixed name back to </w:t>
      </w:r>
      <w:r>
        <w:rPr>
          <w:rFonts w:ascii="Consolas" w:hAnsi="Consolas"/>
          <w:b w:val="0"/>
          <w:sz w:val="20"/>
        </w:rPr>
        <w:t>drop_constraint</w:t>
      </w:r>
      <w:r>
        <w:rPr>
          <w:b w:val="0"/>
        </w:rPr>
        <w:t xml:space="preserve">, which applied the convention a second time and attempted to drop </w:t>
      </w:r>
      <w:r>
        <w:rPr>
          <w:rFonts w:ascii="Consolas" w:hAnsi="Consolas"/>
          <w:b w:val="0"/>
          <w:sz w:val="20"/>
        </w:rPr>
        <w:t>ck_concepts_ck_concepts_module_slug_format</w:t>
      </w:r>
      <w:r>
        <w:rPr>
          <w:b w:val="0"/>
        </w:rPr>
        <w:t xml:space="preserve"> — a name that has never existed. Any rollback past 0002 failed.</w:t>
      </w:r>
    </w:p>
    <w:p>
      <w:r>
        <w:rPr>
          <w:b w:val="0"/>
        </w:rPr>
        <w:t>This is precisely what §13 check 3 exists to catch, and it could not run until the tooling defect in 3.3 was fixed. With the bare name passed, a full downgrade to base now tears down all 34 tables, every enum type and every function cleanly.</w:t>
      </w:r>
    </w:p>
    <w:p>
      <w:pPr>
        <w:pStyle w:val="Heading2"/>
      </w:pPr>
      <w:r>
        <w:t>3.5  Retention and configuration</w:t>
      </w:r>
    </w:p>
    <w:p>
      <w:r>
        <w:rPr>
          <w:rFonts w:ascii="Consolas" w:hAnsi="Consolas"/>
          <w:b w:val="0"/>
          <w:sz w:val="20"/>
        </w:rPr>
        <w:t>review_cards</w:t>
      </w:r>
      <w:r>
        <w:rPr>
          <w:b w:val="0"/>
        </w:rPr>
        <w:t xml:space="preserve"> had no retention policy. The completeness test enumerates real tables and checks each has a §10 lifecycle; </w:t>
      </w:r>
      <w:r>
        <w:rPr>
          <w:rFonts w:ascii="Consolas" w:hAnsi="Consolas"/>
          <w:b w:val="0"/>
          <w:sz w:val="20"/>
        </w:rPr>
        <w:t>concept_mastery</w:t>
      </w:r>
      <w:r>
        <w:rPr>
          <w:b w:val="0"/>
        </w:rPr>
        <w:t xml:space="preserve"> had been given an explicit never-age-out policy and its sibling was missed. Ageing a review card out would silently drop a concept from the rotation while its mastery row still claimed it was tracked. It now carries the same policy and leaves with the enrollment.</w:t>
      </w:r>
    </w:p>
    <w:p>
      <w:r>
        <w:rPr>
          <w:rFonts w:ascii="Consolas" w:hAnsi="Consolas"/>
          <w:b w:val="0"/>
          <w:sz w:val="20"/>
        </w:rPr>
        <w:t>alembic.ini</w:t>
      </w:r>
      <w:r>
        <w:rPr>
          <w:b w:val="0"/>
        </w:rPr>
        <w:t xml:space="preserve"> used </w:t>
      </w:r>
      <w:r>
        <w:rPr>
          <w:rFonts w:ascii="Consolas" w:hAnsi="Consolas"/>
          <w:b w:val="0"/>
          <w:sz w:val="20"/>
        </w:rPr>
        <w:t>version_path_separator</w:t>
      </w:r>
      <w:r>
        <w:rPr>
          <w:b w:val="0"/>
        </w:rPr>
        <w:t xml:space="preserve">, renamed in Alembic 1.16. The old key governs only version locations, so </w:t>
      </w:r>
      <w:r>
        <w:rPr>
          <w:rFonts w:ascii="Consolas" w:hAnsi="Consolas"/>
          <w:b w:val="0"/>
          <w:sz w:val="20"/>
        </w:rPr>
        <w:t>prepend_sys_path</w:t>
      </w:r>
      <w:r>
        <w:rPr>
          <w:b w:val="0"/>
        </w:rPr>
        <w:t xml:space="preserve"> fell back to splitting on spaces, commas and colons — which bisects a Windows path at the drive letter. This one failed at configuration load, before any migration ran, and blocked all four migration tests.</w:t>
      </w:r>
    </w:p>
    <w:p>
      <w:pPr>
        <w:pStyle w:val="Heading1"/>
      </w:pPr>
      <w:r>
        <w:t>4.  Defects in the tests themselves</w:t>
      </w:r>
    </w:p>
    <w:p>
      <w:r>
        <w:rPr>
          <w:b w:val="0"/>
        </w:rPr>
        <w:t>The remaining failures were tests asserting things that are not true. These are worth recording because a test that fails for the wrong reason is worse than no test: it trains people to ignore red.</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
              <w:rPr>
                <w:b/>
                <w:sz w:val="18"/>
              </w:rPr>
              <w:t>Assertion</w:t>
            </w:r>
          </w:p>
        </w:tc>
        <w:tc>
          <w:tcPr>
            <w:tcW w:type="dxa" w:w="3600"/>
          </w:tcPr>
          <w:p>
            <w:r/>
            <w:r>
              <w:rPr>
                <w:b/>
                <w:sz w:val="18"/>
              </w:rPr>
              <w:t>Why it was wrong</w:t>
            </w:r>
          </w:p>
        </w:tc>
        <w:tc>
          <w:tcPr>
            <w:tcW w:type="dxa" w:w="3024"/>
          </w:tcPr>
          <w:p>
            <w:r/>
            <w:r>
              <w:rPr>
                <w:b/>
                <w:sz w:val="18"/>
              </w:rPr>
              <w:t>Now</w:t>
            </w:r>
          </w:p>
        </w:tc>
      </w:tr>
      <w:tr>
        <w:tc>
          <w:tcPr>
            <w:tcW w:type="dxa" w:w="2304"/>
          </w:tcPr>
          <w:p>
            <w:r/>
            <w:r>
              <w:rPr>
                <w:b w:val="0"/>
                <w:sz w:val="19"/>
              </w:rPr>
              <w:t>UUIDv7 values come out strictly sorted</w:t>
            </w:r>
          </w:p>
        </w:tc>
        <w:tc>
          <w:tcPr>
            <w:tcW w:type="dxa" w:w="3600"/>
          </w:tcPr>
          <w:p>
            <w:r/>
            <w:r>
              <w:rPr>
                <w:b w:val="0"/>
                <w:sz w:val="19"/>
              </w:rPr>
              <w:t>RFC 9562 §6.2 makes the sub-millisecond counter optional; this implementation randomises those bits, so ids minted inside one millisecond have no defined order</w:t>
            </w:r>
          </w:p>
        </w:tc>
        <w:tc>
          <w:tcPr>
            <w:tcW w:type="dxa" w:w="3024"/>
          </w:tcPr>
          <w:p>
            <w:r/>
            <w:r>
              <w:rPr>
                <w:b w:val="0"/>
                <w:sz w:val="19"/>
              </w:rPr>
              <w:t>Asserts the 48-bit timestamp prefix never goes backwards, plus total ordering across a sleep</w:t>
            </w:r>
          </w:p>
        </w:tc>
      </w:tr>
      <w:tr>
        <w:tc>
          <w:tcPr>
            <w:tcW w:type="dxa" w:w="2304"/>
          </w:tcPr>
          <w:p>
            <w:r/>
            <w:r>
              <w:rPr>
                <w:b w:val="0"/>
                <w:sz w:val="19"/>
              </w:rPr>
              <w:t>The planner uses an index, not a sequential scan</w:t>
            </w:r>
          </w:p>
        </w:tc>
        <w:tc>
          <w:tcPr>
            <w:tcW w:type="dxa" w:w="3600"/>
          </w:tcPr>
          <w:p>
            <w:r/>
            <w:r>
              <w:rPr>
                <w:b w:val="0"/>
                <w:sz w:val="19"/>
              </w:rPr>
              <w:t>On a fixture-sized table a sequential scan is genuinely cheaper and Postgres is right to choose it; the test measured row counts, not §7</w:t>
            </w:r>
          </w:p>
        </w:tc>
        <w:tc>
          <w:tcPr>
            <w:tcW w:type="dxa" w:w="3024"/>
          </w:tcPr>
          <w:p>
            <w:r/>
            <w:r>
              <w:rPr>
                <w:b w:val="0"/>
                <w:sz w:val="19"/>
              </w:rPr>
              <w:t xml:space="preserve">Runs under </w:t>
            </w:r>
            <w:r>
              <w:rPr>
                <w:rFonts w:ascii="Consolas" w:hAnsi="Consolas"/>
                <w:b w:val="0"/>
                <w:sz w:val="18"/>
              </w:rPr>
              <w:t>enable_seqscan = off</w:t>
            </w:r>
            <w:r>
              <w:rPr>
                <w:b w:val="0"/>
                <w:sz w:val="19"/>
              </w:rPr>
              <w:t>, which tests that a usable index exists — the actual invariant</w:t>
            </w:r>
          </w:p>
        </w:tc>
      </w:tr>
      <w:tr>
        <w:tc>
          <w:tcPr>
            <w:tcW w:type="dxa" w:w="2304"/>
          </w:tcPr>
          <w:p>
            <w:r/>
            <w:r>
              <w:rPr>
                <w:b w:val="0"/>
                <w:sz w:val="19"/>
              </w:rPr>
              <w:t xml:space="preserve">Migration head is </w:t>
            </w:r>
            <w:r>
              <w:rPr>
                <w:rFonts w:ascii="Consolas" w:hAnsi="Consolas"/>
                <w:b w:val="0"/>
                <w:sz w:val="18"/>
              </w:rPr>
              <w:t>0003</w:t>
            </w:r>
          </w:p>
        </w:tc>
        <w:tc>
          <w:tcPr>
            <w:tcW w:type="dxa" w:w="3600"/>
          </w:tcPr>
          <w:p>
            <w:r/>
            <w:r>
              <w:rPr>
                <w:b w:val="0"/>
                <w:sz w:val="19"/>
              </w:rPr>
              <w:t>Frozen for five migrations because nothing could move it</w:t>
            </w:r>
          </w:p>
        </w:tc>
        <w:tc>
          <w:tcPr>
            <w:tcW w:type="dxa" w:w="3024"/>
          </w:tcPr>
          <w:p>
            <w:r/>
            <w:r>
              <w:rPr>
                <w:b w:val="0"/>
                <w:sz w:val="19"/>
              </w:rPr>
              <w:t xml:space="preserve">Derived from </w:t>
            </w:r>
            <w:r>
              <w:rPr>
                <w:rFonts w:ascii="Consolas" w:hAnsi="Consolas"/>
                <w:b w:val="0"/>
                <w:sz w:val="18"/>
              </w:rPr>
              <w:t>ScriptDirectory</w:t>
            </w:r>
            <w:r>
              <w:rPr>
                <w:b w:val="0"/>
                <w:sz w:val="19"/>
              </w:rPr>
              <w:t>; table count derived from metadata</w:t>
            </w:r>
          </w:p>
        </w:tc>
      </w:tr>
      <w:tr>
        <w:tc>
          <w:tcPr>
            <w:tcW w:type="dxa" w:w="2304"/>
          </w:tcPr>
          <w:p>
            <w:r/>
            <w:r>
              <w:rPr>
                <w:b w:val="0"/>
                <w:sz w:val="19"/>
              </w:rPr>
              <w:t xml:space="preserve">Two </w:t>
            </w:r>
            <w:r>
              <w:rPr>
                <w:rFonts w:ascii="Consolas" w:hAnsi="Consolas"/>
                <w:b w:val="0"/>
                <w:sz w:val="18"/>
              </w:rPr>
              <w:t>pg_dump</w:t>
            </w:r>
            <w:r>
              <w:rPr>
                <w:b w:val="0"/>
                <w:sz w:val="19"/>
              </w:rPr>
              <w:t xml:space="preserve"> outputs compare equal</w:t>
            </w:r>
          </w:p>
        </w:tc>
        <w:tc>
          <w:tcPr>
            <w:tcW w:type="dxa" w:w="3600"/>
          </w:tcPr>
          <w:p>
            <w:r/>
            <w:r>
              <w:rPr>
                <w:b w:val="0"/>
                <w:sz w:val="19"/>
              </w:rPr>
              <w:t xml:space="preserve">Recent </w:t>
            </w:r>
            <w:r>
              <w:rPr>
                <w:rFonts w:ascii="Consolas" w:hAnsi="Consolas"/>
                <w:b w:val="0"/>
                <w:sz w:val="18"/>
              </w:rPr>
              <w:t>pg_dump</w:t>
            </w:r>
            <w:r>
              <w:rPr>
                <w:b w:val="0"/>
                <w:sz w:val="19"/>
              </w:rPr>
              <w:t xml:space="preserve"> emits a </w:t>
            </w:r>
            <w:r>
              <w:rPr>
                <w:rFonts w:ascii="Consolas" w:hAnsi="Consolas"/>
                <w:b w:val="0"/>
                <w:sz w:val="18"/>
              </w:rPr>
              <w:t>\restrict</w:t>
            </w:r>
            <w:r>
              <w:rPr>
                <w:b w:val="0"/>
                <w:sz w:val="19"/>
              </w:rPr>
              <w:t xml:space="preserve"> token regenerated every run, so the test compared two random strings</w:t>
            </w:r>
          </w:p>
        </w:tc>
        <w:tc>
          <w:tcPr>
            <w:tcW w:type="dxa" w:w="3024"/>
          </w:tcPr>
          <w:p>
            <w:r/>
            <w:r>
              <w:rPr>
                <w:b w:val="0"/>
                <w:sz w:val="19"/>
              </w:rPr>
              <w:t>Token lines filtered; round-trip verified over 1,070 identical schema lines</w:t>
            </w:r>
          </w:p>
        </w:tc>
      </w:tr>
      <w:tr>
        <w:tc>
          <w:tcPr>
            <w:tcW w:type="dxa" w:w="2304"/>
          </w:tcPr>
          <w:p>
            <w:r/>
            <w:r>
              <w:rPr>
                <w:b w:val="0"/>
                <w:sz w:val="19"/>
              </w:rPr>
              <w:t>The fixture can be built twice in one transaction</w:t>
            </w:r>
          </w:p>
        </w:tc>
        <w:tc>
          <w:tcPr>
            <w:tcW w:type="dxa" w:w="3600"/>
          </w:tcPr>
          <w:p>
            <w:r/>
            <w:r>
              <w:rPr>
                <w:rFonts w:ascii="Consolas" w:hAnsi="Consolas"/>
                <w:b w:val="0"/>
                <w:sz w:val="18"/>
              </w:rPr>
              <w:t>subjects.slug</w:t>
            </w:r>
            <w:r>
              <w:rPr>
                <w:b w:val="0"/>
                <w:sz w:val="19"/>
              </w:rPr>
              <w:t xml:space="preserve"> is globally unique, so a second build collided</w:t>
            </w:r>
          </w:p>
        </w:tc>
        <w:tc>
          <w:tcPr>
            <w:tcW w:type="dxa" w:w="3024"/>
          </w:tcPr>
          <w:p>
            <w:r/>
            <w:r>
              <w:rPr>
                <w:b w:val="0"/>
                <w:sz w:val="19"/>
              </w:rPr>
              <w:t>Slug derived from the account email</w:t>
            </w:r>
          </w:p>
        </w:tc>
      </w:tr>
    </w:tbl>
    <w:p/>
    <w:p>
      <w:pPr>
        <w:pStyle w:val="IntenseQuote"/>
      </w:pPr>
      <w:r>
        <w:rPr>
          <w:b/>
          <w:color w:val="2B46A8"/>
          <w:sz w:val="18"/>
        </w:rPr>
        <w:t xml:space="preserve">ALSO FIXED  </w:t>
      </w:r>
      <w:r>
        <w:rPr>
          <w:b w:val="0"/>
        </w:rPr>
        <w:t>The online tier took 62 seconds to report “no database” because nothing cached the reachability check and one fixture opened connections with no timeout. It now answers in about 13 seconds with a clear reason, which matters because that is the path every developer without Docker takes on every run.</w:t>
      </w:r>
    </w:p>
    <w:p>
      <w:pPr>
        <w:pStyle w:val="Heading1"/>
      </w:pPr>
      <w:r>
        <w:t>5.  Continuous integration</w:t>
      </w:r>
    </w:p>
    <w:p>
      <w:r>
        <w:rPr>
          <w:b w:val="0"/>
        </w:rPr>
        <w:t xml:space="preserve">The specification describes CI wiring in §14 and nothing implemented it. There is now a workflow at </w:t>
      </w:r>
      <w:r>
        <w:rPr>
          <w:rFonts w:ascii="Consolas" w:hAnsi="Consolas"/>
          <w:b w:val="0"/>
          <w:sz w:val="20"/>
        </w:rPr>
        <w:t>.github/workflows/data-layer.yml</w:t>
      </w:r>
      <w:r>
        <w:rPr>
          <w:b w:val="0"/>
        </w:rPr>
        <w:t xml:space="preserve"> following that section exactly.</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
              <w:rPr>
                <w:b/>
                <w:sz w:val="18"/>
              </w:rPr>
              <w:t>Job</w:t>
            </w:r>
          </w:p>
        </w:tc>
        <w:tc>
          <w:tcPr>
            <w:tcW w:type="dxa" w:w="1728"/>
          </w:tcPr>
          <w:p>
            <w:r/>
            <w:r>
              <w:rPr>
                <w:b/>
                <w:sz w:val="18"/>
              </w:rPr>
              <w:t>When</w:t>
            </w:r>
          </w:p>
        </w:tc>
        <w:tc>
          <w:tcPr>
            <w:tcW w:type="dxa" w:w="5328"/>
          </w:tcPr>
          <w:p>
            <w:r/>
            <w:r>
              <w:rPr>
                <w:b/>
                <w:sz w:val="18"/>
              </w:rPr>
              <w:t>What</w:t>
            </w:r>
          </w:p>
        </w:tc>
      </w:tr>
      <w:tr>
        <w:tc>
          <w:tcPr>
            <w:tcW w:type="dxa" w:w="1872"/>
          </w:tcPr>
          <w:p>
            <w:r/>
            <w:r>
              <w:rPr>
                <w:b w:val="0"/>
                <w:sz w:val="19"/>
              </w:rPr>
              <w:t>Tier 1 — offline</w:t>
            </w:r>
          </w:p>
        </w:tc>
        <w:tc>
          <w:tcPr>
            <w:tcW w:type="dxa" w:w="1728"/>
          </w:tcPr>
          <w:p>
            <w:r/>
            <w:r>
              <w:rPr>
                <w:b w:val="0"/>
                <w:sz w:val="19"/>
              </w:rPr>
              <w:t>Every push</w:t>
            </w:r>
          </w:p>
        </w:tc>
        <w:tc>
          <w:tcPr>
            <w:tcW w:type="dxa" w:w="5328"/>
          </w:tcPr>
          <w:p>
            <w:r/>
            <w:r>
              <w:rPr>
                <w:b w:val="0"/>
                <w:sz w:val="19"/>
              </w:rPr>
              <w:t>Ruff plus 390 tests against SQLAlchemy metadata and migration source. No database; about a second.</w:t>
            </w:r>
          </w:p>
        </w:tc>
      </w:tr>
      <w:tr>
        <w:tc>
          <w:tcPr>
            <w:tcW w:type="dxa" w:w="1872"/>
          </w:tcPr>
          <w:p>
            <w:r/>
            <w:r>
              <w:rPr>
                <w:b w:val="0"/>
                <w:sz w:val="19"/>
              </w:rPr>
              <w:t>changes</w:t>
            </w:r>
          </w:p>
        </w:tc>
        <w:tc>
          <w:tcPr>
            <w:tcW w:type="dxa" w:w="1728"/>
          </w:tcPr>
          <w:p>
            <w:r/>
            <w:r>
              <w:rPr>
                <w:b w:val="0"/>
                <w:sz w:val="19"/>
              </w:rPr>
              <w:t>Every push</w:t>
            </w:r>
          </w:p>
        </w:tc>
        <w:tc>
          <w:tcPr>
            <w:tcW w:type="dxa" w:w="5328"/>
          </w:tcPr>
          <w:p>
            <w:r/>
            <w:r>
              <w:rPr>
                <w:b w:val="0"/>
                <w:sz w:val="19"/>
              </w:rPr>
              <w:t xml:space="preserve">Decides whether Tier 2 applies: </w:t>
            </w:r>
            <w:r>
              <w:rPr>
                <w:rFonts w:ascii="Consolas" w:hAnsi="Consolas"/>
                <w:b w:val="0"/>
                <w:sz w:val="18"/>
              </w:rPr>
              <w:t>main</w:t>
            </w:r>
            <w:r>
              <w:rPr>
                <w:b w:val="0"/>
                <w:sz w:val="19"/>
              </w:rPr>
              <w:t xml:space="preserve"> always, pull requests only when they touch models, migrations, </w:t>
            </w:r>
            <w:r>
              <w:rPr>
                <w:rFonts w:ascii="Consolas" w:hAnsi="Consolas"/>
                <w:b w:val="0"/>
                <w:sz w:val="18"/>
              </w:rPr>
              <w:t>privacy</w:t>
            </w:r>
            <w:r>
              <w:rPr>
                <w:b w:val="0"/>
                <w:sz w:val="19"/>
              </w:rPr>
              <w:t xml:space="preserve"> or </w:t>
            </w:r>
            <w:r>
              <w:rPr>
                <w:rFonts w:ascii="Consolas" w:hAnsi="Consolas"/>
                <w:b w:val="0"/>
                <w:sz w:val="18"/>
              </w:rPr>
              <w:t>cost</w:t>
            </w:r>
            <w:r>
              <w:rPr>
                <w:b w:val="0"/>
                <w:sz w:val="19"/>
              </w:rPr>
              <w:t>.</w:t>
            </w:r>
          </w:p>
        </w:tc>
      </w:tr>
      <w:tr>
        <w:tc>
          <w:tcPr>
            <w:tcW w:type="dxa" w:w="1872"/>
          </w:tcPr>
          <w:p>
            <w:r/>
            <w:r>
              <w:rPr>
                <w:b w:val="0"/>
                <w:sz w:val="19"/>
              </w:rPr>
              <w:t>Tier 2 — online</w:t>
            </w:r>
          </w:p>
        </w:tc>
        <w:tc>
          <w:tcPr>
            <w:tcW w:type="dxa" w:w="1728"/>
          </w:tcPr>
          <w:p>
            <w:r/>
            <w:r>
              <w:rPr>
                <w:b w:val="0"/>
                <w:sz w:val="19"/>
              </w:rPr>
              <w:t>Conditional</w:t>
            </w:r>
          </w:p>
        </w:tc>
        <w:tc>
          <w:tcPr>
            <w:tcW w:type="dxa" w:w="5328"/>
          </w:tcPr>
          <w:p>
            <w:r/>
            <w:r>
              <w:rPr>
                <w:b w:val="0"/>
                <w:sz w:val="19"/>
              </w:rPr>
              <w:t>Provisions Postgres from the compose file, applies the schema, runs the 48 database-backed tests.</w:t>
            </w:r>
          </w:p>
        </w:tc>
      </w:tr>
    </w:tbl>
    <w:p/>
    <w:p>
      <w:r>
        <w:rPr>
          <w:b w:val="0"/>
        </w:rPr>
        <w:t xml:space="preserve">Tier 2 builds its database from </w:t>
      </w:r>
      <w:r>
        <w:rPr>
          <w:rFonts w:ascii="Consolas" w:hAnsi="Consolas"/>
          <w:b w:val="0"/>
          <w:sz w:val="20"/>
        </w:rPr>
        <w:t>docker-compose.test.yml</w:t>
      </w:r>
      <w:r>
        <w:rPr>
          <w:b w:val="0"/>
        </w:rPr>
        <w:t xml:space="preserve"> rather than a CI-native service block, so continuous integration and a developer's laptop run a byte-identical Postgres: same pinned image, same init script, same three databases. Two failure modes are guarded explicitly because they would otherwise pass silently:</w:t>
      </w:r>
    </w:p>
    <w:p>
      <w:pPr>
        <w:pStyle w:val="ListBullet"/>
      </w:pPr>
      <w:r>
        <w:rPr>
          <w:rFonts w:ascii="Consolas" w:hAnsi="Consolas"/>
          <w:b w:val="0"/>
          <w:sz w:val="20"/>
        </w:rPr>
        <w:t>pg_dump</w:t>
      </w:r>
      <w:r>
        <w:rPr>
          <w:b w:val="0"/>
        </w:rPr>
        <w:t xml:space="preserve"> presence and major version are asserted. The reversibility test skips when it is absent, which in CI would mean §13 check 3 quietly stops running rather than failing.</w:t>
      </w:r>
    </w:p>
    <w:p>
      <w:pPr>
        <w:pStyle w:val="ListBullet"/>
      </w:pPr>
      <w:r>
        <w:rPr>
          <w:b w:val="0"/>
        </w:rPr>
        <w:t>The four required extensions are verified before migrating. Without pgvector, every test dies at migration 0001 with an unhelpful error; this fails where the cause is legible.</w:t>
      </w:r>
    </w:p>
    <w:p>
      <w:pPr>
        <w:pStyle w:val="IntenseQuote"/>
      </w:pPr>
      <w:r>
        <w:rPr>
          <w:b/>
          <w:color w:val="8A5A08"/>
          <w:sz w:val="18"/>
        </w:rPr>
        <w:t xml:space="preserve">NOT YET EXERCISED  </w:t>
      </w:r>
      <w:r>
        <w:rPr>
          <w:b w:val="0"/>
        </w:rPr>
        <w:t>The workflow's YAML and path filter were validated locally, but it has never run on GitHub — there is no remote behind it yet. Treat the first run as the real test of it.</w:t>
      </w:r>
    </w:p>
    <w:p>
      <w:pPr>
        <w:pStyle w:val="Heading1"/>
      </w:pPr>
      <w:r>
        <w:t>6.  Verification status</w:t>
      </w:r>
    </w:p>
    <w:p>
      <w:r>
        <w:rPr>
          <w:b w:val="0"/>
        </w:rPr>
        <w:t>The distinction the previous two reports drew — between what was implemented and what was actually verified — now resolves in most places. What follows is the honest split.</w:t>
      </w:r>
    </w:p>
    <w:tbl>
      <w:tblPr>
        <w:tblStyle w:val="LightGrid-Accent1"/>
        <w:tblW w:type="auto" w:w="0"/>
        <w:tblLook w:firstColumn="1" w:firstRow="1" w:lastColumn="0" w:lastRow="0" w:noHBand="0" w:noVBand="1" w:val="04A0"/>
      </w:tblPr>
      <w:tblGrid>
        <w:gridCol w:w="2880"/>
        <w:gridCol w:w="2880"/>
        <w:gridCol w:w="2880"/>
      </w:tblGrid>
      <w:tr>
        <w:tc>
          <w:tcPr>
            <w:tcW w:type="dxa" w:w="3744"/>
          </w:tcPr>
          <w:p>
            <w:r/>
            <w:r>
              <w:rPr>
                <w:b/>
                <w:sz w:val="18"/>
              </w:rPr>
              <w:t>Property</w:t>
            </w:r>
          </w:p>
        </w:tc>
        <w:tc>
          <w:tcPr>
            <w:tcW w:type="dxa" w:w="1584"/>
          </w:tcPr>
          <w:p>
            <w:r/>
            <w:r>
              <w:rPr>
                <w:b/>
                <w:sz w:val="18"/>
              </w:rPr>
              <w:t>Status</w:t>
            </w:r>
          </w:p>
        </w:tc>
        <w:tc>
          <w:tcPr>
            <w:tcW w:type="dxa" w:w="3600"/>
          </w:tcPr>
          <w:p>
            <w:r/>
            <w:r>
              <w:rPr>
                <w:b/>
                <w:sz w:val="18"/>
              </w:rPr>
              <w:t>How</w:t>
            </w:r>
          </w:p>
        </w:tc>
      </w:tr>
      <w:tr>
        <w:tc>
          <w:tcPr>
            <w:tcW w:type="dxa" w:w="3744"/>
          </w:tcPr>
          <w:p>
            <w:r/>
            <w:r>
              <w:rPr>
                <w:b w:val="0"/>
                <w:sz w:val="19"/>
              </w:rPr>
              <w:t>Schema applies to an empty database</w:t>
            </w:r>
          </w:p>
        </w:tc>
        <w:tc>
          <w:tcPr>
            <w:tcW w:type="dxa" w:w="1584"/>
          </w:tcPr>
          <w:p>
            <w:r/>
            <w:r>
              <w:rPr>
                <w:b/>
                <w:color w:val="1F6B45"/>
                <w:sz w:val="18"/>
              </w:rPr>
              <w:t>VERIFIED</w:t>
            </w:r>
          </w:p>
        </w:tc>
        <w:tc>
          <w:tcPr>
            <w:tcW w:type="dxa" w:w="3600"/>
          </w:tcPr>
          <w:p>
            <w:r/>
            <w:r>
              <w:rPr>
                <w:b w:val="0"/>
                <w:sz w:val="19"/>
              </w:rPr>
              <w:t>All 8 migrations, first attempt, no errors</w:t>
            </w:r>
          </w:p>
        </w:tc>
      </w:tr>
      <w:tr>
        <w:tc>
          <w:tcPr>
            <w:tcW w:type="dxa" w:w="3744"/>
          </w:tcPr>
          <w:p>
            <w:r/>
            <w:r>
              <w:rPr>
                <w:b w:val="0"/>
                <w:sz w:val="19"/>
              </w:rPr>
              <w:t>Migrations fully reversible</w:t>
            </w:r>
          </w:p>
        </w:tc>
        <w:tc>
          <w:tcPr>
            <w:tcW w:type="dxa" w:w="1584"/>
          </w:tcPr>
          <w:p>
            <w:r/>
            <w:r>
              <w:rPr>
                <w:b/>
                <w:color w:val="1F6B45"/>
                <w:sz w:val="18"/>
              </w:rPr>
              <w:t>VERIFIED</w:t>
            </w:r>
          </w:p>
        </w:tc>
        <w:tc>
          <w:tcPr>
            <w:tcW w:type="dxa" w:w="3600"/>
          </w:tcPr>
          <w:p>
            <w:r/>
            <w:r>
              <w:rPr>
                <w:b w:val="0"/>
                <w:sz w:val="19"/>
              </w:rPr>
              <w:t>§13 check 3: 1,070 identical schema lines</w:t>
            </w:r>
          </w:p>
        </w:tc>
      </w:tr>
      <w:tr>
        <w:tc>
          <w:tcPr>
            <w:tcW w:type="dxa" w:w="3744"/>
          </w:tcPr>
          <w:p>
            <w:r/>
            <w:r>
              <w:rPr>
                <w:b w:val="0"/>
                <w:sz w:val="19"/>
              </w:rPr>
              <w:t>Downgrade to base leaves nothing</w:t>
            </w:r>
          </w:p>
        </w:tc>
        <w:tc>
          <w:tcPr>
            <w:tcW w:type="dxa" w:w="1584"/>
          </w:tcPr>
          <w:p>
            <w:r/>
            <w:r>
              <w:rPr>
                <w:b/>
                <w:color w:val="1F6B45"/>
                <w:sz w:val="18"/>
              </w:rPr>
              <w:t>VERIFIED</w:t>
            </w:r>
          </w:p>
        </w:tc>
        <w:tc>
          <w:tcPr>
            <w:tcW w:type="dxa" w:w="3600"/>
          </w:tcPr>
          <w:p>
            <w:r/>
            <w:r>
              <w:rPr>
                <w:b w:val="0"/>
                <w:sz w:val="19"/>
              </w:rPr>
              <w:t>34 tables, enums and functions all removed</w:t>
            </w:r>
          </w:p>
        </w:tc>
      </w:tr>
      <w:tr>
        <w:tc>
          <w:tcPr>
            <w:tcW w:type="dxa" w:w="3744"/>
          </w:tcPr>
          <w:p>
            <w:r/>
            <w:r>
              <w:rPr>
                <w:b w:val="0"/>
                <w:sz w:val="19"/>
              </w:rPr>
              <w:t>Cascades and constraints behave</w:t>
            </w:r>
          </w:p>
        </w:tc>
        <w:tc>
          <w:tcPr>
            <w:tcW w:type="dxa" w:w="1584"/>
          </w:tcPr>
          <w:p>
            <w:r/>
            <w:r>
              <w:rPr>
                <w:b/>
                <w:color w:val="1F6B45"/>
                <w:sz w:val="18"/>
              </w:rPr>
              <w:t>VERIFIED</w:t>
            </w:r>
          </w:p>
        </w:tc>
        <w:tc>
          <w:tcPr>
            <w:tcW w:type="dxa" w:w="3600"/>
          </w:tcPr>
          <w:p>
            <w:r/>
            <w:r>
              <w:rPr>
                <w:b w:val="0"/>
                <w:sz w:val="19"/>
              </w:rPr>
              <w:t>Integrity tier, 37 tests</w:t>
            </w:r>
          </w:p>
        </w:tc>
      </w:tr>
      <w:tr>
        <w:tc>
          <w:tcPr>
            <w:tcW w:type="dxa" w:w="3744"/>
          </w:tcPr>
          <w:p>
            <w:r/>
            <w:r>
              <w:rPr>
                <w:b w:val="0"/>
                <w:sz w:val="19"/>
              </w:rPr>
              <w:t>Right-to-erasure retains and removes correctly</w:t>
            </w:r>
          </w:p>
        </w:tc>
        <w:tc>
          <w:tcPr>
            <w:tcW w:type="dxa" w:w="1584"/>
          </w:tcPr>
          <w:p>
            <w:r/>
            <w:r>
              <w:rPr>
                <w:b/>
                <w:color w:val="1F6B45"/>
                <w:sz w:val="18"/>
              </w:rPr>
              <w:t>VERIFIED</w:t>
            </w:r>
          </w:p>
        </w:tc>
        <w:tc>
          <w:tcPr>
            <w:tcW w:type="dxa" w:w="3600"/>
          </w:tcPr>
          <w:p>
            <w:r/>
            <w:r>
              <w:rPr>
                <w:b w:val="0"/>
                <w:sz w:val="19"/>
              </w:rPr>
              <w:t>Erasure tier, including multi-learner</w:t>
            </w:r>
          </w:p>
        </w:tc>
      </w:tr>
      <w:tr>
        <w:tc>
          <w:tcPr>
            <w:tcW w:type="dxa" w:w="3744"/>
          </w:tcPr>
          <w:p>
            <w:r/>
            <w:r>
              <w:rPr>
                <w:b w:val="0"/>
                <w:sz w:val="19"/>
              </w:rPr>
              <w:t>Cost roll-up attributes to the right owner</w:t>
            </w:r>
          </w:p>
        </w:tc>
        <w:tc>
          <w:tcPr>
            <w:tcW w:type="dxa" w:w="1584"/>
          </w:tcPr>
          <w:p>
            <w:r/>
            <w:r>
              <w:rPr>
                <w:b/>
                <w:color w:val="1F6B45"/>
                <w:sz w:val="18"/>
              </w:rPr>
              <w:t>VERIFIED</w:t>
            </w:r>
          </w:p>
        </w:tc>
        <w:tc>
          <w:tcPr>
            <w:tcW w:type="dxa" w:w="3600"/>
          </w:tcPr>
          <w:p>
            <w:r/>
            <w:r>
              <w:rPr>
                <w:b w:val="0"/>
                <w:sz w:val="19"/>
              </w:rPr>
              <w:t>All five sources</w:t>
            </w:r>
          </w:p>
        </w:tc>
      </w:tr>
      <w:tr>
        <w:tc>
          <w:tcPr>
            <w:tcW w:type="dxa" w:w="3744"/>
          </w:tcPr>
          <w:p>
            <w:r/>
            <w:r>
              <w:rPr>
                <w:b w:val="0"/>
                <w:sz w:val="19"/>
              </w:rPr>
              <w:t>§7 hot paths have usable indexes</w:t>
            </w:r>
          </w:p>
        </w:tc>
        <w:tc>
          <w:tcPr>
            <w:tcW w:type="dxa" w:w="1584"/>
          </w:tcPr>
          <w:p>
            <w:r/>
            <w:r>
              <w:rPr>
                <w:b/>
                <w:color w:val="1F6B45"/>
                <w:sz w:val="18"/>
              </w:rPr>
              <w:t>VERIFIED</w:t>
            </w:r>
          </w:p>
        </w:tc>
        <w:tc>
          <w:tcPr>
            <w:tcW w:type="dxa" w:w="3600"/>
          </w:tcPr>
          <w:p>
            <w:r/>
            <w:r>
              <w:rPr>
                <w:b w:val="0"/>
                <w:sz w:val="19"/>
              </w:rPr>
              <w:t xml:space="preserve">Plan shape under </w:t>
            </w:r>
            <w:r>
              <w:rPr>
                <w:rFonts w:ascii="Consolas" w:hAnsi="Consolas"/>
                <w:b w:val="0"/>
                <w:sz w:val="18"/>
              </w:rPr>
              <w:t>enable_seqscan = off</w:t>
            </w:r>
          </w:p>
        </w:tc>
      </w:tr>
      <w:tr>
        <w:tc>
          <w:tcPr>
            <w:tcW w:type="dxa" w:w="3744"/>
          </w:tcPr>
          <w:p>
            <w:r/>
            <w:r>
              <w:rPr>
                <w:b w:val="0"/>
                <w:sz w:val="19"/>
              </w:rPr>
              <w:t>Access control projections</w:t>
            </w:r>
          </w:p>
        </w:tc>
        <w:tc>
          <w:tcPr>
            <w:tcW w:type="dxa" w:w="1584"/>
          </w:tcPr>
          <w:p>
            <w:r/>
            <w:r>
              <w:rPr>
                <w:b/>
                <w:color w:val="1F6B45"/>
                <w:sz w:val="18"/>
              </w:rPr>
              <w:t>VERIFIED</w:t>
            </w:r>
          </w:p>
        </w:tc>
        <w:tc>
          <w:tcPr>
            <w:tcW w:type="dxa" w:w="3600"/>
          </w:tcPr>
          <w:p>
            <w:r/>
            <w:r>
              <w:rPr>
                <w:b w:val="0"/>
                <w:sz w:val="19"/>
              </w:rPr>
              <w:t>Offline tier</w:t>
            </w:r>
          </w:p>
        </w:tc>
      </w:tr>
      <w:tr>
        <w:tc>
          <w:tcPr>
            <w:tcW w:type="dxa" w:w="3744"/>
          </w:tcPr>
          <w:p>
            <w:r/>
            <w:r>
              <w:rPr>
                <w:b w:val="0"/>
                <w:sz w:val="19"/>
              </w:rPr>
              <w:t>§8's session-start latency claim</w:t>
            </w:r>
          </w:p>
        </w:tc>
        <w:tc>
          <w:tcPr>
            <w:tcW w:type="dxa" w:w="1584"/>
          </w:tcPr>
          <w:p>
            <w:r/>
            <w:r>
              <w:rPr>
                <w:b/>
                <w:color w:val="1F6B45"/>
                <w:sz w:val="18"/>
              </w:rPr>
              <w:t>VERIFIED</w:t>
            </w:r>
          </w:p>
        </w:tc>
        <w:tc>
          <w:tcPr>
            <w:tcW w:type="dxa" w:w="3600"/>
          </w:tcPr>
          <w:p>
            <w:r/>
            <w:r>
              <w:rPr>
                <w:b w:val="0"/>
                <w:sz w:val="19"/>
              </w:rPr>
              <w:t>Measured at all three §15 tiers; see the addendum</w:t>
            </w:r>
          </w:p>
        </w:tc>
      </w:tr>
      <w:tr>
        <w:tc>
          <w:tcPr>
            <w:tcW w:type="dxa" w:w="3744"/>
          </w:tcPr>
          <w:p>
            <w:r/>
            <w:r>
              <w:rPr>
                <w:b w:val="0"/>
                <w:sz w:val="19"/>
              </w:rPr>
              <w:t>§8's cost budget check</w:t>
            </w:r>
          </w:p>
        </w:tc>
        <w:tc>
          <w:tcPr>
            <w:tcW w:type="dxa" w:w="1584"/>
          </w:tcPr>
          <w:p>
            <w:r/>
            <w:r>
              <w:rPr>
                <w:b/>
                <w:color w:val="8A5A08"/>
                <w:sz w:val="18"/>
              </w:rPr>
              <w:t>OPEN</w:t>
            </w:r>
          </w:p>
        </w:tc>
        <w:tc>
          <w:tcPr>
            <w:tcW w:type="dxa" w:w="3600"/>
          </w:tcPr>
          <w:p>
            <w:r/>
            <w:r>
              <w:rPr>
                <w:b w:val="0"/>
                <w:sz w:val="19"/>
              </w:rPr>
              <w:t>Quadratic in user count; divergence V14</w:t>
            </w:r>
          </w:p>
        </w:tc>
      </w:tr>
      <w:tr>
        <w:tc>
          <w:tcPr>
            <w:tcW w:type="dxa" w:w="3744"/>
          </w:tcPr>
          <w:p>
            <w:r/>
            <w:r>
              <w:rPr>
                <w:b w:val="0"/>
                <w:sz w:val="19"/>
              </w:rPr>
              <w:t>CI runs on push</w:t>
            </w:r>
          </w:p>
        </w:tc>
        <w:tc>
          <w:tcPr>
            <w:tcW w:type="dxa" w:w="1584"/>
          </w:tcPr>
          <w:p>
            <w:r/>
            <w:r>
              <w:rPr>
                <w:b/>
                <w:color w:val="8A5A08"/>
                <w:sz w:val="18"/>
              </w:rPr>
              <w:t>NOT RUN</w:t>
            </w:r>
          </w:p>
        </w:tc>
        <w:tc>
          <w:tcPr>
            <w:tcW w:type="dxa" w:w="3600"/>
          </w:tcPr>
          <w:p>
            <w:r/>
            <w:r>
              <w:rPr>
                <w:b w:val="0"/>
                <w:sz w:val="19"/>
              </w:rPr>
              <w:t>Workflow written, no remote yet</w:t>
            </w:r>
          </w:p>
        </w:tc>
      </w:tr>
      <w:tr>
        <w:tc>
          <w:tcPr>
            <w:tcW w:type="dxa" w:w="3744"/>
          </w:tcPr>
          <w:p>
            <w:r/>
            <w:r>
              <w:rPr>
                <w:b w:val="0"/>
                <w:sz w:val="19"/>
              </w:rPr>
              <w:t>Draft v0.4 carry-forward on real data</w:t>
            </w:r>
          </w:p>
        </w:tc>
        <w:tc>
          <w:tcPr>
            <w:tcW w:type="dxa" w:w="1584"/>
          </w:tcPr>
          <w:p>
            <w:r/>
            <w:r>
              <w:rPr>
                <w:b/>
                <w:color w:val="8A5A08"/>
                <w:sz w:val="18"/>
              </w:rPr>
              <w:t>NOT RUN</w:t>
            </w:r>
          </w:p>
        </w:tc>
        <w:tc>
          <w:tcPr>
            <w:tcW w:type="dxa" w:w="3600"/>
          </w:tcPr>
          <w:p>
            <w:r/>
            <w:r>
              <w:rPr>
                <w:b w:val="0"/>
                <w:sz w:val="19"/>
              </w:rPr>
              <w:t>Only synthetic rows so far</w:t>
            </w:r>
          </w:p>
        </w:tc>
      </w:tr>
    </w:tbl>
    <w:p/>
    <w:p>
      <w:pPr>
        <w:pStyle w:val="IntenseQuote"/>
      </w:pPr>
      <w:r>
        <w:rPr>
          <w:b/>
          <w:color w:val="2B46A8"/>
          <w:sz w:val="18"/>
        </w:rPr>
        <w:t xml:space="preserve">READ THIS CAREFULLY  </w:t>
      </w:r>
      <w:r>
        <w:rPr>
          <w:b w:val="0"/>
        </w:rPr>
        <w:t>“Verified” here means the behaviour was exercised against a real Postgres 16 and observed to be correct. It does not mean the system is proven at production volume, under concurrency, or against real learner data. Those are different claims and none of them has been made.</w:t>
      </w:r>
    </w:p>
    <w:p>
      <w:pPr>
        <w:pStyle w:val="Heading1"/>
      </w:pPr>
      <w:r>
        <w:t>7.  What remains open</w:t>
      </w:r>
    </w:p>
    <w:p>
      <w:r>
        <w:rPr>
          <w:b w:val="0"/>
        </w:rPr>
        <w:t>Three items were open when this report was first issued. Two have since been closed and are covered in the addendum; the third is unchanged.</w:t>
      </w:r>
    </w:p>
    <w:p>
      <w:pPr>
        <w:pStyle w:val="ListNumber"/>
      </w:pPr>
      <w:r>
        <w:rPr>
          <w:b/>
        </w:rPr>
        <w:t>The draft migration had only seen synthetic data.</w:t>
      </w:r>
      <w:r>
        <w:rPr>
          <w:b w:val="0"/>
        </w:rPr>
        <w:t xml:space="preserve"> Closed. Run against the real v0.4 coursepack, which found two defects in the loader — see the addendum.</w:t>
      </w:r>
    </w:p>
    <w:p>
      <w:pPr>
        <w:pStyle w:val="ListNumber"/>
      </w:pPr>
      <w:r>
        <w:rPr>
          <w:b/>
        </w:rPr>
        <w:t>Performance was unmeasured.</w:t>
      </w:r>
      <w:r>
        <w:rPr>
          <w:b w:val="0"/>
        </w:rPr>
        <w:t xml:space="preserve"> Closed. Measured at all three of §15's sizing tiers, which confirmed §8's own claim and found one query that does not hold — see the addendum.</w:t>
      </w:r>
    </w:p>
    <w:p>
      <w:pPr>
        <w:pStyle w:val="ListNumber"/>
      </w:pPr>
      <w:r>
        <w:rPr>
          <w:b/>
        </w:rPr>
        <w:t>The CI workflow has never run.</w:t>
      </w:r>
      <w:r>
        <w:rPr>
          <w:b w:val="0"/>
        </w:rPr>
        <w:t xml:space="preserve"> Still open. It needs a remote and a first push. Everything checkable locally has been checked, but a workflow that has not executed is a plan, not a pipeline.</w:t>
      </w:r>
    </w:p>
    <w:p>
      <w:pPr>
        <w:pStyle w:val="IntenseQuote"/>
      </w:pPr>
      <w:r>
        <w:rPr>
          <w:b/>
          <w:color w:val="8A5A08"/>
          <w:sz w:val="18"/>
        </w:rPr>
        <w:t xml:space="preserve">CORRECTION  </w:t>
      </w:r>
      <w:r>
        <w:rPr>
          <w:b w:val="0"/>
        </w:rPr>
        <w:t>The first issue of this report attributed a “sub-10ms target” to §14. No such target exists. §14 asks for EXPLAIN ANALYZE with wall-clock “loosely bounded”, and the only numeric performance statement in the specification is §8's own claim that the five session-start queries run in single-digit milliseconds on a warm cache at MVP scale. That claim is what the measurement tested, and the invented target has been removed throughout.</w:t>
      </w:r>
    </w:p>
    <w:p>
      <w:r>
        <w:rPr>
          <w:b w:val="0"/>
        </w:rPr>
        <w:t xml:space="preserve">Beyond those, the twelve divergences from specification v1.1 recorded in </w:t>
      </w:r>
      <w:r>
        <w:rPr>
          <w:rFonts w:ascii="Consolas" w:hAnsi="Consolas"/>
          <w:b w:val="0"/>
          <w:sz w:val="20"/>
        </w:rPr>
        <w:t>DIVERGENCES.md</w:t>
      </w:r>
      <w:r>
        <w:rPr>
          <w:b w:val="0"/>
        </w:rPr>
        <w:t xml:space="preserve"> remain as they were, with one addition — V13, the erasure and ledger conflict described in 3.2. The decision not to issue a v1.2 still stands; V13 folds into the next revision alongside V1 through V3, and subsystem 2 will force that revision soon enough.</w:t>
      </w:r>
    </w:p>
    <w:p>
      <w:pPr>
        <w:pStyle w:val="Heading1"/>
      </w:pPr>
      <w:r>
        <w:t>8.  Assessment</w:t>
      </w:r>
    </w:p>
    <w:p>
      <w:r>
        <w:rPr>
          <w:b w:val="0"/>
        </w:rPr>
        <w:t>The schema was right. That is the substantive finding, and it was not a foregone conclusion — 34 tables, 80 indexes and 8 migrations written against a specification, applied to a real database for the first time, worked without modification. Nothing in the table definitions, constraints, enums or functions needed to change.</w:t>
      </w:r>
    </w:p>
    <w:p>
      <w:r>
        <w:rPr>
          <w:b w:val="0"/>
        </w:rPr>
        <w:t>The code around the schema was not. Six defects, two of them severe enough to have stopped the product: every ORM delete would have failed, and every erasure request after the first in a day would have failed. Neither was reachable by static analysis. Both were found within minutes of a database existing.</w:t>
      </w:r>
    </w:p>
    <w:p>
      <w:pPr>
        <w:pStyle w:val="IntenseQuote"/>
      </w:pPr>
      <w:r>
        <w:rPr>
          <w:b/>
          <w:color w:val="2B46A8"/>
          <w:sz w:val="18"/>
        </w:rPr>
        <w:t xml:space="preserve">THE LESSON  </w:t>
      </w:r>
      <w:r>
        <w:rPr>
          <w:b w:val="0"/>
        </w:rPr>
        <w:t>The offline tier is genuinely valuable — it grew to 390 tests and it catches things a database never would, such as a missing foreign key index. But it cannot observe behaviour, and the two critical defects here were both purely behavioural. A test suite that has never executed is an untested test suite.</w:t>
      </w:r>
    </w:p>
    <w:p>
      <w:r>
        <w:rPr>
          <w:b w:val="0"/>
        </w:rPr>
        <w:t>Subsystem 1 is now complete in the sense that matters for handing it to subsystem 2: the schema exists, applies, reverses, and behaves as specified under test. It is not proven at production scale, and the CI that would keep it honest has not yet run. Those are the two things I would close before treating the data layer as settled.</w:t>
      </w:r>
    </w:p>
    <w:p>
      <w:pPr>
        <w:pStyle w:val="Heading1"/>
      </w:pPr>
      <w:r>
        <w:t>Addendum: closing the validation gate</w:t>
      </w:r>
    </w:p>
    <w:p>
      <w:r>
        <w:rPr>
          <w:b w:val="0"/>
        </w:rPr>
        <w:t>Added 17 August 2026. Two of the three items above were closed after this report was first issued, on a decision that they should be closed before subsystem 2's build lands rather than in parallel with it. Both found defects, which is the argument for the sequencing.</w:t>
      </w:r>
    </w:p>
    <w:p>
      <w:pPr>
        <w:pStyle w:val="Heading2"/>
      </w:pPr>
      <w:r>
        <w:t>A.1  The draft carry-forward</w:t>
      </w:r>
    </w:p>
    <w:p>
      <w:r>
        <w:rPr>
          <w:b w:val="0"/>
        </w:rPr>
        <w:t xml:space="preserve">Run against the real v0.4 coursepack for the first time. It failed immediately and loudly, which is what </w:t>
      </w:r>
      <w:r>
        <w:rPr>
          <w:rFonts w:ascii="Consolas" w:hAnsi="Consolas"/>
          <w:b w:val="0"/>
          <w:sz w:val="20"/>
        </w:rPr>
        <w:t>migrate_from_draft.py</w:t>
      </w:r>
      <w:r>
        <w:rPr>
          <w:b w:val="0"/>
        </w:rPr>
        <w:t xml:space="preserve"> was built to do: the draft's files wrap the pack in an envelope — </w:t>
      </w:r>
      <w:r>
        <w:rPr>
          <w:rFonts w:ascii="Consolas" w:hAnsi="Consolas"/>
          <w:b w:val="0"/>
          <w:sz w:val="20"/>
        </w:rPr>
        <w:t>unit_key</w:t>
      </w:r>
      <w:r>
        <w:rPr>
          <w:b w:val="0"/>
        </w:rPr>
        <w:t xml:space="preserve">, </w:t>
      </w:r>
      <w:r>
        <w:rPr>
          <w:rFonts w:ascii="Consolas" w:hAnsi="Consolas"/>
          <w:b w:val="0"/>
          <w:sz w:val="20"/>
        </w:rPr>
        <w:t>title</w:t>
      </w:r>
      <w:r>
        <w:rPr>
          <w:b w:val="0"/>
        </w:rPr>
        <w:t xml:space="preserve">, </w:t>
      </w:r>
      <w:r>
        <w:rPr>
          <w:rFonts w:ascii="Consolas" w:hAnsi="Consolas"/>
          <w:b w:val="0"/>
          <w:sz w:val="20"/>
        </w:rPr>
        <w:t>module_key</w:t>
      </w:r>
      <w:r>
        <w:rPr>
          <w:b w:val="0"/>
        </w:rPr>
        <w:t xml:space="preserve">, </w:t>
      </w:r>
      <w:r>
        <w:rPr>
          <w:rFonts w:ascii="Consolas" w:hAnsi="Consolas"/>
          <w:b w:val="0"/>
          <w:sz w:val="20"/>
        </w:rPr>
        <w:t>model</w:t>
      </w:r>
      <w:r>
        <w:rPr>
          <w:b w:val="0"/>
        </w:rPr>
        <w:t xml:space="preserve">, </w:t>
      </w:r>
      <w:r>
        <w:rPr>
          <w:rFonts w:ascii="Consolas" w:hAnsi="Consolas"/>
          <w:b w:val="0"/>
          <w:sz w:val="20"/>
        </w:rPr>
        <w:t>ingested_at</w:t>
      </w:r>
      <w:r>
        <w:rPr>
          <w:b w:val="0"/>
        </w:rPr>
        <w:t xml:space="preserve">, </w:t>
      </w:r>
      <w:r>
        <w:rPr>
          <w:rFonts w:ascii="Consolas" w:hAnsi="Consolas"/>
          <w:b w:val="0"/>
          <w:sz w:val="20"/>
        </w:rPr>
        <w:t>pack</w:t>
      </w:r>
      <w:r>
        <w:rPr>
          <w:b w:val="0"/>
        </w:rPr>
        <w:t xml:space="preserve"> — and only </w:t>
      </w:r>
      <w:r>
        <w:rPr>
          <w:rFonts w:ascii="Consolas" w:hAnsi="Consolas"/>
          <w:b w:val="0"/>
          <w:sz w:val="20"/>
        </w:rPr>
        <w:t>pack</w:t>
      </w:r>
      <w:r>
        <w:rPr>
          <w:b w:val="0"/>
        </w:rPr>
        <w:t xml:space="preserve"> matches the </w:t>
      </w:r>
      <w:r>
        <w:rPr>
          <w:rFonts w:ascii="Consolas" w:hAnsi="Consolas"/>
          <w:b w:val="0"/>
          <w:sz w:val="20"/>
        </w:rPr>
        <w:t>UnitPack</w:t>
      </w:r>
      <w:r>
        <w:rPr>
          <w:b w:val="0"/>
        </w:rPr>
        <w:t xml:space="preserve"> model. The loader validated the whole document and failed on all five required fields.</w:t>
      </w:r>
    </w:p>
    <w:p>
      <w:r>
        <w:rPr>
          <w:b w:val="0"/>
        </w:rPr>
        <w:t xml:space="preserve">The visible half was the crash. The silent half mattered more: even after unwrapping, the loader discarded </w:t>
      </w:r>
      <w:r>
        <w:rPr>
          <w:rFonts w:ascii="Consolas" w:hAnsi="Consolas"/>
          <w:b w:val="0"/>
          <w:sz w:val="20"/>
        </w:rPr>
        <w:t>model</w:t>
      </w:r>
      <w:r>
        <w:rPr>
          <w:b w:val="0"/>
        </w:rPr>
        <w:t xml:space="preserve"> and </w:t>
      </w:r>
      <w:r>
        <w:rPr>
          <w:rFonts w:ascii="Consolas" w:hAnsi="Consolas"/>
          <w:b w:val="0"/>
          <w:sz w:val="20"/>
        </w:rPr>
        <w:t>ingested_at</w:t>
      </w:r>
      <w:r>
        <w:rPr>
          <w:b w:val="0"/>
        </w:rPr>
        <w:t xml:space="preserve">, both of which </w:t>
      </w:r>
      <w:r>
        <w:rPr>
          <w:rFonts w:ascii="Consolas" w:hAnsi="Consolas"/>
          <w:b w:val="0"/>
          <w:sz w:val="20"/>
        </w:rPr>
        <w:t>content_artifacts</w:t>
      </w:r>
      <w:r>
        <w:rPr>
          <w:b w:val="0"/>
        </w:rPr>
        <w:t xml:space="preserve"> has columns for. All 76 artifacts would have landed with null attribution — no error, no warning. Both are fixed, and the migration now carries full provenance. </w:t>
      </w:r>
      <w:r>
        <w:rPr>
          <w:b/>
        </w:rPr>
        <w:t>Nothing here required a schema change</w:t>
      </w:r>
      <w:r>
        <w:rPr>
          <w:b w:val="0"/>
        </w:rPr>
        <w:t>; the schema already modelled everything the draft carries.</w:t>
      </w:r>
    </w:p>
    <w:p>
      <w:pPr>
        <w:pStyle w:val="IntenseQuote"/>
      </w:pPr>
      <w:r>
        <w:rPr>
          <w:b/>
          <w:color w:val="2B46A8"/>
          <w:sz w:val="18"/>
        </w:rPr>
        <w:t xml:space="preserve">PATTERN  </w:t>
      </w:r>
      <w:r>
        <w:rPr>
          <w:b w:val="0"/>
        </w:rPr>
        <w:t>This is the second instance of the schema declaring provenance that a writer path never populates, after V2's missing session join. Two is enough to name the pattern — an ingestion-side provenance gap — and not enough to prescribe a general fix. A third occurrence is the trigger to specify a “no null provenance without a warning” invariant at the ingestion boundary.</w:t>
      </w:r>
    </w:p>
    <w:p>
      <w:r>
        <w:rPr>
          <w:b w:val="0"/>
        </w:rPr>
        <w:t xml:space="preserve">The run also flagged 27 items for review before publish, which is §12 working as designed. Two produced decisions: the Clojure module was removed from the MVP subject because its material is two in-copyright commercial textbooks and the rights posture is public-domain and open-licence only; and the licence classifier was deleted outright. That classifier inferred </w:t>
      </w:r>
      <w:r>
        <w:rPr>
          <w:rFonts w:ascii="Consolas" w:hAnsi="Consolas"/>
          <w:b w:val="0"/>
          <w:sz w:val="20"/>
        </w:rPr>
        <w:t>public_domain</w:t>
      </w:r>
      <w:r>
        <w:rPr>
          <w:b w:val="0"/>
        </w:rPr>
        <w:t xml:space="preserve"> from filename substrings and, on the real corpus, marked a named academic's lecture slides as public domain. A false positive on licence asserts a redistribution right that does not exist. Every source now migrates unreviewed, and a human sets the licence or it stays that way.</w:t>
      </w:r>
    </w:p>
    <w:p>
      <w:pPr>
        <w:pStyle w:val="Heading2"/>
      </w:pPr>
      <w:r>
        <w:t>A.2  Performance</w:t>
      </w:r>
    </w:p>
    <w:p>
      <w:r>
        <w:rPr>
          <w:b w:val="0"/>
        </w:rPr>
        <w:t xml:space="preserve">Measured at all three of §15's sizing tiers against a synthetic cohort — at the largest, 403,000 session turns, 201,500 agent traces and 182,500 ledger rows. Per-learner activity rates are assumptions, not specification, and are recorded in one dataclass in </w:t>
      </w:r>
      <w:r>
        <w:rPr>
          <w:rFonts w:ascii="Consolas" w:hAnsi="Consolas"/>
          <w:b w:val="0"/>
          <w:sz w:val="20"/>
        </w:rPr>
        <w:t>scripts/seed_volume.py</w:t>
      </w:r>
      <w:r>
        <w:rPr>
          <w:b w:val="0"/>
        </w:rPr>
        <w:t xml:space="preserve"> so they can be disputed in one place.</w:t>
      </w:r>
    </w:p>
    <w:p>
      <w:r>
        <w:rPr>
          <w:b w:val="0"/>
        </w:rPr>
        <w:t>§8's claim — the five session-start queries — holds at every tier: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016"/>
          </w:tcPr>
          <w:p>
            <w:r/>
            <w:r>
              <w:rPr>
                <w:b/>
                <w:sz w:val="18"/>
              </w:rPr>
              <w:t>Tier</w:t>
            </w:r>
          </w:p>
        </w:tc>
        <w:tc>
          <w:tcPr>
            <w:tcW w:type="dxa" w:w="1584"/>
          </w:tcPr>
          <w:p>
            <w:r/>
            <w:r>
              <w:rPr>
                <w:b/>
                <w:sz w:val="18"/>
              </w:rPr>
              <w:t>Learners</w:t>
            </w:r>
          </w:p>
        </w:tc>
        <w:tc>
          <w:tcPr>
            <w:tcW w:type="dxa" w:w="2592"/>
          </w:tcPr>
          <w:p>
            <w:r/>
            <w:r>
              <w:rPr>
                <w:b/>
                <w:sz w:val="18"/>
              </w:rPr>
              <w:t>Session-start total</w:t>
            </w:r>
          </w:p>
        </w:tc>
        <w:tc>
          <w:tcPr>
            <w:tcW w:type="dxa" w:w="1728"/>
          </w:tcPr>
          <w:p>
            <w:r/>
            <w:r>
              <w:rPr>
                <w:b/>
                <w:sz w:val="18"/>
              </w:rPr>
              <w:t>Verdict</w:t>
            </w:r>
          </w:p>
        </w:tc>
      </w:tr>
      <w:tr>
        <w:tc>
          <w:tcPr>
            <w:tcW w:type="dxa" w:w="2016"/>
          </w:tcPr>
          <w:p>
            <w:r/>
            <w:r>
              <w:rPr>
                <w:b w:val="0"/>
                <w:sz w:val="19"/>
              </w:rPr>
              <w:t>MVP</w:t>
            </w:r>
          </w:p>
        </w:tc>
        <w:tc>
          <w:tcPr>
            <w:tcW w:type="dxa" w:w="1584"/>
          </w:tcPr>
          <w:p>
            <w:r/>
            <w:r>
              <w:rPr>
                <w:b w:val="0"/>
                <w:sz w:val="19"/>
              </w:rPr>
              <w:t>3</w:t>
            </w:r>
          </w:p>
        </w:tc>
        <w:tc>
          <w:tcPr>
            <w:tcW w:type="dxa" w:w="2592"/>
          </w:tcPr>
          <w:p>
            <w:r/>
            <w:r>
              <w:rPr>
                <w:b w:val="0"/>
                <w:sz w:val="19"/>
              </w:rPr>
              <w:t>5.80 ms</w:t>
            </w:r>
          </w:p>
        </w:tc>
        <w:tc>
          <w:tcPr>
            <w:tcW w:type="dxa" w:w="1728"/>
          </w:tcPr>
          <w:p>
            <w:r/>
            <w:r>
              <w:rPr>
                <w:b/>
                <w:color w:val="1F6B45"/>
                <w:sz w:val="18"/>
              </w:rPr>
              <w:t>PASSING</w:t>
            </w:r>
          </w:p>
        </w:tc>
      </w:tr>
      <w:tr>
        <w:tc>
          <w:tcPr>
            <w:tcW w:type="dxa" w:w="2016"/>
          </w:tcPr>
          <w:p>
            <w:r/>
            <w:r>
              <w:rPr>
                <w:b w:val="0"/>
                <w:sz w:val="19"/>
              </w:rPr>
              <w:t>Classroom</w:t>
            </w:r>
          </w:p>
        </w:tc>
        <w:tc>
          <w:tcPr>
            <w:tcW w:type="dxa" w:w="1584"/>
          </w:tcPr>
          <w:p>
            <w:r/>
            <w:r>
              <w:rPr>
                <w:b w:val="0"/>
                <w:sz w:val="19"/>
              </w:rPr>
              <w:t>30</w:t>
            </w:r>
          </w:p>
        </w:tc>
        <w:tc>
          <w:tcPr>
            <w:tcW w:type="dxa" w:w="2592"/>
          </w:tcPr>
          <w:p>
            <w:r/>
            <w:r>
              <w:rPr>
                <w:b w:val="0"/>
                <w:sz w:val="19"/>
              </w:rPr>
              <w:t>3.98 ms</w:t>
            </w:r>
          </w:p>
        </w:tc>
        <w:tc>
          <w:tcPr>
            <w:tcW w:type="dxa" w:w="1728"/>
          </w:tcPr>
          <w:p>
            <w:r/>
            <w:r>
              <w:rPr>
                <w:b/>
                <w:color w:val="1F6B45"/>
                <w:sz w:val="18"/>
              </w:rPr>
              <w:t>PASSING</w:t>
            </w:r>
          </w:p>
        </w:tc>
      </w:tr>
      <w:tr>
        <w:tc>
          <w:tcPr>
            <w:tcW w:type="dxa" w:w="2016"/>
          </w:tcPr>
          <w:p>
            <w:r/>
            <w:r>
              <w:rPr>
                <w:b w:val="0"/>
                <w:sz w:val="19"/>
              </w:rPr>
              <w:t>University</w:t>
            </w:r>
          </w:p>
        </w:tc>
        <w:tc>
          <w:tcPr>
            <w:tcW w:type="dxa" w:w="1584"/>
          </w:tcPr>
          <w:p>
            <w:r/>
            <w:r>
              <w:rPr>
                <w:b w:val="0"/>
                <w:sz w:val="19"/>
              </w:rPr>
              <w:t>500</w:t>
            </w:r>
          </w:p>
        </w:tc>
        <w:tc>
          <w:tcPr>
            <w:tcW w:type="dxa" w:w="2592"/>
          </w:tcPr>
          <w:p>
            <w:r/>
            <w:r>
              <w:rPr>
                <w:b w:val="0"/>
                <w:sz w:val="19"/>
              </w:rPr>
              <w:t>4.40 ms</w:t>
            </w:r>
          </w:p>
        </w:tc>
        <w:tc>
          <w:tcPr>
            <w:tcW w:type="dxa" w:w="1728"/>
          </w:tcPr>
          <w:p>
            <w:r/>
            <w:r>
              <w:rPr>
                <w:b/>
                <w:color w:val="1F6B45"/>
                <w:sz w:val="18"/>
              </w:rPr>
              <w:t>PASSING</w:t>
            </w:r>
          </w:p>
        </w:tc>
      </w:tr>
    </w:tbl>
    <w:p/>
    <w:p>
      <w:r>
        <w:rPr>
          <w:b w:val="0"/>
        </w:rPr>
        <w:t>Flat across a 167-fold increase in learners. The five queries are index-bound and none degrades.</w:t>
      </w:r>
    </w:p>
    <w:p>
      <w:r>
        <w:rPr>
          <w:b w:val="0"/>
        </w:rPr>
        <w:t>§8's cost budget check does not:</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
              <w:rPr>
                <w:b/>
                <w:sz w:val="18"/>
              </w:rPr>
              <w:t>Tier</w:t>
            </w:r>
          </w:p>
        </w:tc>
        <w:tc>
          <w:tcPr>
            <w:tcW w:type="dxa" w:w="2592"/>
          </w:tcPr>
          <w:p>
            <w:r/>
            <w:r>
              <w:rPr>
                <w:b/>
                <w:sz w:val="18"/>
              </w:rPr>
              <w:t>§8's query</w:t>
            </w:r>
          </w:p>
        </w:tc>
        <w:tc>
          <w:tcPr>
            <w:tcW w:type="dxa" w:w="2592"/>
          </w:tcPr>
          <w:p>
            <w:r/>
            <w:r>
              <w:rPr>
                <w:b/>
                <w:sz w:val="18"/>
              </w:rPr>
              <w:t>The implementation</w:t>
            </w:r>
          </w:p>
        </w:tc>
      </w:tr>
      <w:tr>
        <w:tc>
          <w:tcPr>
            <w:tcW w:type="dxa" w:w="2016"/>
          </w:tcPr>
          <w:p>
            <w:r/>
            <w:r>
              <w:rPr>
                <w:b w:val="0"/>
                <w:sz w:val="19"/>
              </w:rPr>
              <w:t>MVP</w:t>
            </w:r>
          </w:p>
        </w:tc>
        <w:tc>
          <w:tcPr>
            <w:tcW w:type="dxa" w:w="2592"/>
          </w:tcPr>
          <w:p>
            <w:r/>
            <w:r>
              <w:rPr>
                <w:b w:val="0"/>
                <w:sz w:val="19"/>
              </w:rPr>
              <w:t>1.34 ms</w:t>
            </w:r>
          </w:p>
        </w:tc>
        <w:tc>
          <w:tcPr>
            <w:tcW w:type="dxa" w:w="2592"/>
          </w:tcPr>
          <w:p>
            <w:r/>
            <w:r>
              <w:rPr>
                <w:b w:val="0"/>
                <w:sz w:val="19"/>
              </w:rPr>
              <w:t>—</w:t>
            </w:r>
          </w:p>
        </w:tc>
      </w:tr>
      <w:tr>
        <w:tc>
          <w:tcPr>
            <w:tcW w:type="dxa" w:w="2016"/>
          </w:tcPr>
          <w:p>
            <w:r/>
            <w:r>
              <w:rPr>
                <w:b w:val="0"/>
                <w:sz w:val="19"/>
              </w:rPr>
              <w:t>Classroom</w:t>
            </w:r>
          </w:p>
        </w:tc>
        <w:tc>
          <w:tcPr>
            <w:tcW w:type="dxa" w:w="2592"/>
          </w:tcPr>
          <w:p>
            <w:r/>
            <w:r>
              <w:rPr>
                <w:b w:val="0"/>
                <w:sz w:val="19"/>
              </w:rPr>
              <w:t>3.30 ms</w:t>
            </w:r>
          </w:p>
        </w:tc>
        <w:tc>
          <w:tcPr>
            <w:tcW w:type="dxa" w:w="2592"/>
          </w:tcPr>
          <w:p>
            <w:r/>
            <w:r>
              <w:rPr>
                <w:b w:val="0"/>
                <w:sz w:val="19"/>
              </w:rPr>
              <w:t>—</w:t>
            </w:r>
          </w:p>
        </w:tc>
      </w:tr>
      <w:tr>
        <w:tc>
          <w:tcPr>
            <w:tcW w:type="dxa" w:w="2016"/>
          </w:tcPr>
          <w:p>
            <w:r/>
            <w:r>
              <w:rPr>
                <w:b w:val="0"/>
                <w:sz w:val="19"/>
              </w:rPr>
              <w:t>University</w:t>
            </w:r>
          </w:p>
        </w:tc>
        <w:tc>
          <w:tcPr>
            <w:tcW w:type="dxa" w:w="2592"/>
          </w:tcPr>
          <w:p>
            <w:r/>
            <w:r>
              <w:rPr>
                <w:b w:val="0"/>
                <w:sz w:val="19"/>
              </w:rPr>
              <w:t>3,515 ms</w:t>
            </w:r>
          </w:p>
        </w:tc>
        <w:tc>
          <w:tcPr>
            <w:tcW w:type="dxa" w:w="2592"/>
          </w:tcPr>
          <w:p>
            <w:r/>
            <w:r>
              <w:rPr>
                <w:b w:val="0"/>
                <w:sz w:val="19"/>
              </w:rPr>
              <w:t>4.67 ms</w:t>
            </w:r>
          </w:p>
        </w:tc>
      </w:tr>
    </w:tbl>
    <w:p/>
    <w:p>
      <w:r>
        <w:rPr>
          <w:b w:val="0"/>
        </w:rPr>
        <w:t xml:space="preserve">The fault is query shape, not schema and not data distribution. </w:t>
      </w:r>
      <w:r>
        <w:rPr>
          <w:rFonts w:ascii="Consolas" w:hAnsi="Consolas"/>
          <w:b w:val="0"/>
          <w:sz w:val="20"/>
        </w:rPr>
        <w:t>RIGHT JOIN user_budget_caps ubc ON ubc.user_id = :user_id</w:t>
      </w:r>
      <w:r>
        <w:rPr>
          <w:b w:val="0"/>
        </w:rPr>
        <w:t xml:space="preserve"> contains no join predicate — it relates the caps table to a constant rather than to the ledger — so the join degenerates into a cross product. The measured plan removes 91,067,500 rows by join filter to return one. Both tables grow with the user count, making the cost quadratic in users.</w:t>
      </w:r>
    </w:p>
    <w:p>
      <w:r>
        <w:rPr>
          <w:b w:val="0"/>
        </w:rPr>
        <w:t xml:space="preserve">The same query is also incorrect. </w:t>
      </w:r>
      <w:r>
        <w:rPr>
          <w:rFonts w:ascii="Consolas" w:hAnsi="Consolas"/>
          <w:b w:val="0"/>
          <w:sz w:val="20"/>
        </w:rPr>
        <w:t>OR cl.user_id IS NULL</w:t>
      </w:r>
      <w:r>
        <w:rPr>
          <w:b w:val="0"/>
        </w:rPr>
        <w:t xml:space="preserve"> reads the post-erasure aggregate rows §6.12 reserves and sums them into an individual's spend. Measured with a single erased-learner row of $999 present, it reports $1000.25 for a learner who spent $2.48. Every erasure would permanently inflate every remaining learner's budget check.</w:t>
      </w:r>
    </w:p>
    <w:p>
      <w:pPr>
        <w:pStyle w:val="IntenseQuote"/>
      </w:pPr>
      <w:r>
        <w:rPr>
          <w:b/>
          <w:color w:val="1F6B45"/>
          <w:sz w:val="18"/>
        </w:rPr>
        <w:t xml:space="preserve">ALREADY CORRECT IN CODE  </w:t>
      </w:r>
      <w:r>
        <w:rPr>
          <w:rFonts w:ascii="Consolas" w:hAnsi="Consolas"/>
          <w:b w:val="0"/>
          <w:sz w:val="20"/>
        </w:rPr>
        <w:t>studium.cost.budget_status</w:t>
      </w:r>
      <w:r>
        <w:rPr>
          <w:b w:val="0"/>
        </w:rPr>
        <w:t xml:space="preserve"> uses two CTEs each filtered on </w:t>
      </w:r>
      <w:r>
        <w:rPr>
          <w:rFonts w:ascii="Consolas" w:hAnsi="Consolas"/>
          <w:b w:val="0"/>
          <w:sz w:val="20"/>
        </w:rPr>
        <w:t>user_id</w:t>
      </w:r>
      <w:r>
        <w:rPr>
          <w:b w:val="0"/>
        </w:rPr>
        <w:t xml:space="preserve"> and never reads null-owner rows — 4.67 ms at university scale, and right. That divergence predates the measurement: the query was written correctly and the reasoning was never recorded. It is now V14, including that omission.</w:t>
      </w:r>
    </w:p>
    <w:p>
      <w:pPr>
        <w:pStyle w:val="Heading2"/>
      </w:pPr>
      <w:r>
        <w:t>A.3  What the gate still needs</w:t>
      </w:r>
    </w:p>
    <w:p>
      <w:r>
        <w:rPr>
          <w:b w:val="0"/>
        </w:rPr>
        <w:t>CI remains the open item, and it needs a remote to push to. One change was made to it: ruff and pytest are now scoped to subsystem 1's paths. The working tree also holds subsystem 2 material, and linting or testing it would make a green run claim those files are reviewed when they have not been through any review cycle. The workflow certifies subsystem 1 and should certify exactly that. Both path lists widen as part of ratifying subsystem 2, not before.</w:t>
      </w:r>
    </w:p>
    <w:p>
      <w:pPr>
        <w:pStyle w:val="Heading1"/>
      </w:pPr>
      <w:r>
        <w:t>Supporting documents</w:t>
      </w:r>
    </w:p>
    <w:tbl>
      <w:tblPr>
        <w:tblStyle w:val="LightGrid-Accent1"/>
        <w:tblW w:type="auto" w:w="0"/>
        <w:tblLook w:firstColumn="1" w:firstRow="1" w:lastColumn="0" w:lastRow="0" w:noHBand="0" w:noVBand="1" w:val="04A0"/>
      </w:tblPr>
      <w:tblGrid>
        <w:gridCol w:w="4320"/>
        <w:gridCol w:w="4320"/>
      </w:tblGrid>
      <w:tr>
        <w:tc>
          <w:tcPr>
            <w:tcW w:type="dxa" w:w="4032"/>
          </w:tcPr>
          <w:p>
            <w:r/>
            <w:r>
              <w:rPr>
                <w:b/>
                <w:sz w:val="18"/>
              </w:rPr>
              <w:t>Document</w:t>
            </w:r>
          </w:p>
        </w:tc>
        <w:tc>
          <w:tcPr>
            <w:tcW w:type="dxa" w:w="4896"/>
          </w:tcPr>
          <w:p>
            <w:r/>
            <w:r>
              <w:rPr>
                <w:b/>
                <w:sz w:val="18"/>
              </w:rPr>
              <w:t>Location</w:t>
            </w:r>
          </w:p>
        </w:tc>
      </w:tr>
      <w:tr>
        <w:tc>
          <w:tcPr>
            <w:tcW w:type="dxa" w:w="4032"/>
          </w:tcPr>
          <w:p>
            <w:r/>
            <w:r>
              <w:rPr>
                <w:b w:val="0"/>
                <w:sz w:val="19"/>
              </w:rPr>
              <w:t>Data Layer Build Report (v1.0)</w:t>
            </w:r>
          </w:p>
        </w:tc>
        <w:tc>
          <w:tcPr>
            <w:tcW w:type="dxa" w:w="4896"/>
          </w:tcPr>
          <w:p>
            <w:r/>
            <w:r>
              <w:rPr>
                <w:b w:val="0"/>
                <w:sz w:val="19"/>
              </w:rPr>
              <w:t>Version 1/data-layer-build-report.docx</w:t>
            </w:r>
          </w:p>
        </w:tc>
      </w:tr>
      <w:tr>
        <w:tc>
          <w:tcPr>
            <w:tcW w:type="dxa" w:w="4032"/>
          </w:tcPr>
          <w:p>
            <w:r/>
            <w:r>
              <w:rPr>
                <w:b w:val="0"/>
                <w:sz w:val="19"/>
              </w:rPr>
              <w:t>Data Layer Build Report (v1.1)</w:t>
            </w:r>
          </w:p>
        </w:tc>
        <w:tc>
          <w:tcPr>
            <w:tcW w:type="dxa" w:w="4896"/>
          </w:tcPr>
          <w:p>
            <w:r/>
            <w:r>
              <w:rPr>
                <w:b w:val="0"/>
                <w:sz w:val="19"/>
              </w:rPr>
              <w:t>Version 2/data-layer-build-report.docx</w:t>
            </w:r>
          </w:p>
        </w:tc>
      </w:tr>
      <w:tr>
        <w:tc>
          <w:tcPr>
            <w:tcW w:type="dxa" w:w="4032"/>
          </w:tcPr>
          <w:p>
            <w:r/>
            <w:r>
              <w:rPr>
                <w:b w:val="0"/>
                <w:sz w:val="19"/>
              </w:rPr>
              <w:t>Data Layer Defect Resolution</w:t>
            </w:r>
          </w:p>
        </w:tc>
        <w:tc>
          <w:tcPr>
            <w:tcW w:type="dxa" w:w="4896"/>
          </w:tcPr>
          <w:p>
            <w:r/>
            <w:r>
              <w:rPr>
                <w:b w:val="0"/>
                <w:sz w:val="19"/>
              </w:rPr>
              <w:t>Version 2/data-layer-defect-resolution.docx</w:t>
            </w:r>
          </w:p>
        </w:tc>
      </w:tr>
      <w:tr>
        <w:tc>
          <w:tcPr>
            <w:tcW w:type="dxa" w:w="4032"/>
          </w:tcPr>
          <w:p>
            <w:r/>
            <w:r>
              <w:rPr>
                <w:b w:val="0"/>
                <w:sz w:val="19"/>
              </w:rPr>
              <w:t>Divergences from specification</w:t>
            </w:r>
          </w:p>
        </w:tc>
        <w:tc>
          <w:tcPr>
            <w:tcW w:type="dxa" w:w="4896"/>
          </w:tcPr>
          <w:p>
            <w:r/>
            <w:r>
              <w:rPr>
                <w:b w:val="0"/>
                <w:sz w:val="19"/>
              </w:rPr>
              <w:t>backend/DIVERGENCES.md</w:t>
            </w:r>
          </w:p>
        </w:tc>
      </w:tr>
      <w:tr>
        <w:tc>
          <w:tcPr>
            <w:tcW w:type="dxa" w:w="4032"/>
          </w:tcPr>
          <w:p>
            <w:r/>
            <w:r>
              <w:rPr>
                <w:b w:val="0"/>
                <w:sz w:val="19"/>
              </w:rPr>
              <w:t>CI workflow</w:t>
            </w:r>
          </w:p>
        </w:tc>
        <w:tc>
          <w:tcPr>
            <w:tcW w:type="dxa" w:w="4896"/>
          </w:tcPr>
          <w:p>
            <w:r/>
            <w:r>
              <w:rPr>
                <w:b w:val="0"/>
                <w:sz w:val="19"/>
              </w:rPr>
              <w:t>.github/workflows/data-layer.yml</w:t>
            </w:r>
          </w:p>
        </w:tc>
      </w:tr>
      <w:tr>
        <w:tc>
          <w:tcPr>
            <w:tcW w:type="dxa" w:w="4032"/>
          </w:tcPr>
          <w:p>
            <w:r/>
            <w:r>
              <w:rPr>
                <w:b w:val="0"/>
                <w:sz w:val="19"/>
              </w:rPr>
              <w:t>Relationship convention test</w:t>
            </w:r>
          </w:p>
        </w:tc>
        <w:tc>
          <w:tcPr>
            <w:tcW w:type="dxa" w:w="4896"/>
          </w:tcPr>
          <w:p>
            <w:r/>
            <w:r>
              <w:rPr>
                <w:b w:val="0"/>
                <w:sz w:val="19"/>
              </w:rPr>
              <w:t>backend/tests/schema/test_relationship_conventions.py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6536A"/>
        <w:sz w:val="16"/>
      </w:rPr>
      <w:t xml:space="preserve">Data Layer Verification Pass   ·   Page </w:t>
    </w:r>
    <w:r>
      <w:rPr>
        <w:color w:val="46536A"/>
        <w:sz w:val="16"/>
      </w:rPr>
      <w:fldChar w:fldCharType="begin"/>
      <w:instrText xml:space="preserve">PAGE</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Layer Verification Pass</dc:title>
  <dc:subject>Subsystem 1 — first execution against a live Postgres 16</dc:subject>
  <dc:creator>Yannis Munayi</dc:creator>
  <cp:keywords>Studium; data layer; verification; Postgres; CI</cp:keywords>
  <dc:description>What running the online test tier for the first time found: six defects, two of them critical. Addendum: the draft carry-forward and performance measurement, which found three more. All fixed or recorded.</dc:description>
  <cp:lastModifiedBy/>
  <cp:revision>1</cp:revision>
  <dcterms:created xsi:type="dcterms:W3CDTF">2013-12-23T23:15:00Z</dcterms:created>
  <dcterms:modified xsi:type="dcterms:W3CDTF">2013-12-23T23:15:00Z</dcterms:modified>
  <cp:category/>
</cp:coreProperties>
</file>