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Studium Retrieval and Knowledge Substrate — Build Report</w:t>
      </w:r>
    </w:p>
    <w:p>
      <w:r>
        <w:t>Subsystem 3 of 7  ·  Specification v1.0  ·  19 August 2026</w:t>
      </w:r>
    </w:p>
    <w:p>
      <w:pPr>
        <w:pStyle w:val="IntenseQuote"/>
      </w:pPr>
      <w:r>
        <w:t>Retrieval is built and running. Chunking, embedding, hybrid search, reranking, the concept-graph constraint, stance weighting, citation resolution and thin-grounding detection all exist and are exercised by tests. Twelve divergences are recorded, three of them load-bearing — including one case where the specified INSERT would be rejected by the schema on the most common path it describes.</w:t>
      </w:r>
    </w:p>
    <w:p>
      <w:pPr>
        <w:pStyle w:val="Heading1"/>
      </w:pPr>
      <w:r>
        <w:t>1. What “verified” means in this report</w:t>
      </w:r>
    </w:p>
    <w:p>
      <w:r>
        <w:t>Three tiers were run and they establish different things. Which is which matters more than the totals, so it is stated before any number below is used.</w:t>
      </w:r>
    </w:p>
    <w:p>
      <w:pPr>
        <w:pStyle w:val="ListBullet"/>
      </w:pPr>
      <w:r>
        <w:t>Tier 1 (148 retrieval tests, offline) establishes that the algorithms are correct in isolation — chunking determinism and type assignment, RRF arithmetic against hand-computed values, the citation-numbering contract, marker parsing including nine adversarial forms, the thin-grounding thresholds at 0.49 and 0.51, cache expiry, and the circuit breaker. No database, no network, no provider SDK installed.</w:t>
      </w:r>
    </w:p>
    <w:p>
      <w:pPr>
        <w:pStyle w:val="ListBullet"/>
      </w:pPr>
      <w:r>
        <w:t>Tier 2 (31 tests, live Postgres 16.15 with pgvector 0.8.6 at migration 0009) establishes that the queries do what they claim against a real server: HNSW returns an exact match first, the generated tsvector column tracks its source text and rejects direct writes, the concept-graph filter narrows, the curated boost survives the round trip, and citation resolution renumbers stored rows in chunk_id order.</w:t>
      </w:r>
    </w:p>
    <w:p>
      <w:pPr>
        <w:pStyle w:val="ListBullet"/>
      </w:pPr>
      <w:r>
        <w:t>Tier 3 (7 tests, real Voyage API) is written and has not been run: no Voyage key was available. Everything it covers — real embedding dimensionality, whether rerank-2 surfaces hand-labelled relevant passages, and whether its scores clear the 0.5 floor §13 assumes — is therefore unverified.</w:t>
      </w:r>
    </w:p>
    <w:p>
      <w:r>
        <w:t>Verified in this report therefore means: exercised against real Postgres 16.15 with pgvector, using deterministic stub providers in place of Voyage. The retrieval pipeline has never made a real embedding or rerank call. That is the single largest gap in this build and §6 below treats it as such rather than as a footnote.</w:t>
      </w:r>
    </w:p>
    <w:p>
      <w:pPr>
        <w:pStyle w:val="Heading1"/>
      </w:pPr>
      <w:r>
        <w:t>2. What was built</w:t>
      </w:r>
    </w:p>
    <w:p>
      <w:r>
        <w:t>About 3,320 lines across 8 retrieval modules, with 2,112 lines of tests. One migration, two additive columns, one new HTTP endpoint, and three call-site changes in subsystem 2.</w:t>
      </w:r>
    </w:p>
    <w:p>
      <w:pPr>
        <w:pStyle w:val="Heading2"/>
      </w:pPr>
      <w:r>
        <w:t>2.1 The modules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Module</w:t>
            </w:r>
          </w:p>
        </w:tc>
        <w:tc>
          <w:tcPr>
            <w:tcW w:type="dxa" w:w="2880"/>
          </w:tcPr>
          <w:p>
            <w:r>
              <w:rPr>
                <w:b/>
              </w:rPr>
              <w:t>Spec</w:t>
            </w:r>
          </w:p>
        </w:tc>
        <w:tc>
          <w:tcPr>
            <w:tcW w:type="dxa" w:w="2880"/>
          </w:tcPr>
          <w:p>
            <w:r>
              <w:rPr>
                <w:b/>
              </w:rPr>
              <w:t>What it owns</w:t>
            </w:r>
          </w:p>
        </w:tc>
      </w:tr>
      <w:tr>
        <w:tc>
          <w:tcPr>
            <w:tcW w:type="dxa" w:w="2880"/>
          </w:tcPr>
          <w:p>
            <w:r>
              <w:t>types.py</w:t>
            </w:r>
          </w:p>
        </w:tc>
        <w:tc>
          <w:tcPr>
            <w:tcW w:type="dxa" w:w="2880"/>
          </w:tcPr>
          <w:p>
            <w:r>
              <w:t>§6, §11, §13</w:t>
            </w:r>
          </w:p>
        </w:tc>
        <w:tc>
          <w:tcPr>
            <w:tcW w:type="dxa" w:w="2880"/>
          </w:tcPr>
          <w:p>
            <w:r>
              <w:t>The retrieve_passages contract, the numbering rule, the stance table, and the thin-grounding thresholds</w:t>
            </w:r>
          </w:p>
        </w:tc>
      </w:tr>
      <w:tr>
        <w:tc>
          <w:tcPr>
            <w:tcW w:type="dxa" w:w="2880"/>
          </w:tcPr>
          <w:p>
            <w:r>
              <w:t>chunking.py</w:t>
            </w:r>
          </w:p>
        </w:tc>
        <w:tc>
          <w:tcPr>
            <w:tcW w:type="dxa" w:w="2880"/>
          </w:tcPr>
          <w:p>
            <w:r>
              <w:t>§7</w:t>
            </w:r>
          </w:p>
        </w:tc>
        <w:tc>
          <w:tcPr>
            <w:tcW w:type="dxa" w:w="2880"/>
          </w:tcPr>
          <w:p>
            <w:r>
              <w:t>Target sizes, the five-level break-preference hierarchy, overlap, chunk-type assignment, atomic code and math blocks. Pure and deterministic; no database, no clock, no randomness</w:t>
            </w:r>
          </w:p>
        </w:tc>
      </w:tr>
      <w:tr>
        <w:tc>
          <w:tcPr>
            <w:tcW w:type="dxa" w:w="2880"/>
          </w:tcPr>
          <w:p>
            <w:r>
              <w:t>providers.py</w:t>
            </w:r>
          </w:p>
        </w:tc>
        <w:tc>
          <w:tcPr>
            <w:tcW w:type="dxa" w:w="2880"/>
          </w:tcPr>
          <w:p>
            <w:r>
              <w:t>§4, §8, §16</w:t>
            </w:r>
          </w:p>
        </w:tc>
        <w:tc>
          <w:tcPr>
            <w:tcW w:type="dxa" w:w="2880"/>
          </w:tcPr>
          <w:p>
            <w:r>
              <w:t>EmbeddingProvider and Reranker protocols, the Voyage implementations, the retry ladder, the circuit breaker, and deterministic stubs</w:t>
            </w:r>
          </w:p>
        </w:tc>
      </w:tr>
      <w:tr>
        <w:tc>
          <w:tcPr>
            <w:tcW w:type="dxa" w:w="2880"/>
          </w:tcPr>
          <w:p>
            <w:r>
              <w:t>search.py</w:t>
            </w:r>
          </w:p>
        </w:tc>
        <w:tc>
          <w:tcPr>
            <w:tcW w:type="dxa" w:w="2880"/>
          </w:tcPr>
          <w:p>
            <w:r>
              <w:t>§9, §10</w:t>
            </w:r>
          </w:p>
        </w:tc>
        <w:tc>
          <w:tcPr>
            <w:tcW w:type="dxa" w:w="2880"/>
          </w:tcPr>
          <w:p>
            <w:r>
              <w:t>Vector and keyword SQL, RRF fusion with the curated and stance boosts, the concept neighbourhood, atomic-sibling expansion</w:t>
            </w:r>
          </w:p>
        </w:tc>
      </w:tr>
      <w:tr>
        <w:tc>
          <w:tcPr>
            <w:tcW w:type="dxa" w:w="2880"/>
          </w:tcPr>
          <w:p>
            <w:r>
              <w:t>service.py</w:t>
            </w:r>
          </w:p>
        </w:tc>
        <w:tc>
          <w:tcPr>
            <w:tcW w:type="dxa" w:w="2880"/>
          </w:tcPr>
          <w:p>
            <w:r>
              <w:t>§6, §16</w:t>
            </w:r>
          </w:p>
        </w:tc>
        <w:tc>
          <w:tcPr>
            <w:tcW w:type="dxa" w:w="2880"/>
          </w:tcPr>
          <w:p>
            <w:r>
              <w:t>The pipeline end to end, and every degradation path</w:t>
            </w:r>
          </w:p>
        </w:tc>
      </w:tr>
      <w:tr>
        <w:tc>
          <w:tcPr>
            <w:tcW w:type="dxa" w:w="2880"/>
          </w:tcPr>
          <w:p>
            <w:r>
              <w:t>citations.py</w:t>
            </w:r>
          </w:p>
        </w:tc>
        <w:tc>
          <w:tcPr>
            <w:tcW w:type="dxa" w:w="2880"/>
          </w:tcPr>
          <w:p>
            <w:r>
              <w:t>§12</w:t>
            </w:r>
          </w:p>
        </w:tc>
        <w:tc>
          <w:tcPr>
            <w:tcW w:type="dxa" w:w="2880"/>
          </w:tcPr>
          <w:p>
            <w:r>
              <w:t>Marker parsing, invalid-citation detection, and read-time resolution to passage provenance</w:t>
            </w:r>
          </w:p>
        </w:tc>
      </w:tr>
      <w:tr>
        <w:tc>
          <w:tcPr>
            <w:tcW w:type="dxa" w:w="2880"/>
          </w:tcPr>
          <w:p>
            <w:r>
              <w:t>cache.py</w:t>
            </w:r>
          </w:p>
        </w:tc>
        <w:tc>
          <w:tcPr>
            <w:tcW w:type="dxa" w:w="2880"/>
          </w:tcPr>
          <w:p>
            <w:r>
              <w:t>§14</w:t>
            </w:r>
          </w:p>
        </w:tc>
        <w:tc>
          <w:tcPr>
            <w:tcW w:type="dxa" w:w="2880"/>
          </w:tcPr>
          <w:p>
            <w:r>
              <w:t>The five-minute result cache and the load-bearing warm set</w:t>
            </w:r>
          </w:p>
        </w:tc>
      </w:tr>
      <w:tr>
        <w:tc>
          <w:tcPr>
            <w:tcW w:type="dxa" w:w="2880"/>
          </w:tcPr>
          <w:p>
            <w:r>
              <w:t>embedding_worker.py</w:t>
            </w:r>
          </w:p>
        </w:tc>
        <w:tc>
          <w:tcPr>
            <w:tcW w:type="dxa" w:w="2880"/>
          </w:tcPr>
          <w:p>
            <w:r>
              <w:t>§8</w:t>
            </w:r>
          </w:p>
        </w:tc>
        <w:tc>
          <w:tcPr>
            <w:tcW w:type="dxa" w:w="2880"/>
          </w:tcPr>
          <w:p>
            <w:r>
              <w:t>Batching, load-bearing priority, the failing-chunk retry</w:t>
            </w:r>
          </w:p>
        </w:tc>
      </w:tr>
    </w:tbl>
    <w:p/>
    <w:p>
      <w:pPr>
        <w:pStyle w:val="Heading2"/>
      </w:pPr>
      <w:r>
        <w:t>2.2 Everything else the spec names</w:t>
      </w:r>
    </w:p>
    <w:p>
      <w:pPr>
        <w:pStyle w:val="ListBullet"/>
      </w:pPr>
      <w:r>
        <w:t>Migration 0009: the chunk_kind enum, source_chunks.chunk_type, and source_chunks.tsvector_text as a STORED generated column with a GIN index (§5). Round-trips down and up cleanly.</w:t>
      </w:r>
    </w:p>
    <w:p>
      <w:pPr>
        <w:pStyle w:val="ListBullet"/>
      </w:pPr>
      <w:r>
        <w:t>GET /api/artifacts/{id}/citations (§12), returning source title, authors, page range, section path, excerpt with offsets, and a source_deleted flag for the retired-source case.</w:t>
      </w:r>
    </w:p>
    <w:p>
      <w:pPr>
        <w:pStyle w:val="ListBullet"/>
      </w:pPr>
      <w:r>
        <w:t>Degradation copy for the unavailable-retrieval case, in the same module as the agent runtime's (§16).</w:t>
      </w:r>
    </w:p>
    <w:p>
      <w:pPr>
        <w:pStyle w:val="ListBullet"/>
      </w:pPr>
      <w:r>
        <w:t>A separate CI workflow with its own Tier 1 / Tier 2 split, a non-empty-collection guard, and an explicit check that pgvector is installed and tsvector_text really is STORED before the online tier runs (§17).</w:t>
      </w:r>
    </w:p>
    <w:p>
      <w:pPr>
        <w:pStyle w:val="ListBullet"/>
      </w:pPr>
      <w:r>
        <w:t>The shared lambda-calculus fixture extended to four sources with twenty chunks each, spanning every chunk_kind and four curated roles (§17).</w:t>
      </w:r>
    </w:p>
    <w:p>
      <w:pPr>
        <w:pStyle w:val="Heading1"/>
      </w:pPr>
      <w:r>
        <w:t>3. Verification results</w:t>
      </w:r>
    </w:p>
    <w:p>
      <w:pPr>
        <w:pStyle w:val="Heading2"/>
      </w:pPr>
      <w:r>
        <w:t>3.1 Test tiers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Tier</w:t>
            </w:r>
          </w:p>
        </w:tc>
        <w:tc>
          <w:tcPr>
            <w:tcW w:type="dxa" w:w="2160"/>
          </w:tcPr>
          <w:p>
            <w:r>
              <w:rPr>
                <w:b/>
              </w:rPr>
              <w:t>Requires</w:t>
            </w:r>
          </w:p>
        </w:tc>
        <w:tc>
          <w:tcPr>
            <w:tcW w:type="dxa" w:w="2160"/>
          </w:tcPr>
          <w:p>
            <w:r>
              <w:rPr>
                <w:b/>
              </w:rPr>
              <w:t>Tests</w:t>
            </w:r>
          </w:p>
        </w:tc>
        <w:tc>
          <w:tcPr>
            <w:tcW w:type="dxa" w:w="2160"/>
          </w:tcPr>
          <w:p>
            <w:r>
              <w:rPr>
                <w:b/>
              </w:rPr>
              <w:t>Result</w:t>
            </w:r>
          </w:p>
        </w:tc>
      </w:tr>
      <w:tr>
        <w:tc>
          <w:tcPr>
            <w:tcW w:type="dxa" w:w="2160"/>
          </w:tcPr>
          <w:p>
            <w:r>
              <w:t>1 — offline</w:t>
            </w:r>
          </w:p>
        </w:tc>
        <w:tc>
          <w:tcPr>
            <w:tcW w:type="dxa" w:w="2160"/>
          </w:tcPr>
          <w:p>
            <w:r>
              <w:t>nothing</w:t>
            </w:r>
          </w:p>
        </w:tc>
        <w:tc>
          <w:tcPr>
            <w:tcW w:type="dxa" w:w="2160"/>
          </w:tcPr>
          <w:p>
            <w:r>
              <w:t>148</w:t>
            </w:r>
          </w:p>
        </w:tc>
        <w:tc>
          <w:tcPr>
            <w:tcW w:type="dxa" w:w="2160"/>
          </w:tcPr>
          <w:p>
            <w:r>
              <w:t>148 passed</w:t>
            </w:r>
          </w:p>
        </w:tc>
      </w:tr>
      <w:tr>
        <w:tc>
          <w:tcPr>
            <w:tcW w:type="dxa" w:w="2160"/>
          </w:tcPr>
          <w:p>
            <w:r>
              <w:t>2 — online</w:t>
            </w:r>
          </w:p>
        </w:tc>
        <w:tc>
          <w:tcPr>
            <w:tcW w:type="dxa" w:w="2160"/>
          </w:tcPr>
          <w:p>
            <w:r>
              <w:t>Postgres 16.15 + pgvector 0.8.6</w:t>
            </w:r>
          </w:p>
        </w:tc>
        <w:tc>
          <w:tcPr>
            <w:tcW w:type="dxa" w:w="2160"/>
          </w:tcPr>
          <w:p>
            <w:r>
              <w:t>31</w:t>
            </w:r>
          </w:p>
        </w:tc>
        <w:tc>
          <w:tcPr>
            <w:tcW w:type="dxa" w:w="2160"/>
          </w:tcPr>
          <w:p>
            <w:r>
              <w:t>31 passed</w:t>
            </w:r>
          </w:p>
        </w:tc>
      </w:tr>
      <w:tr>
        <w:tc>
          <w:tcPr>
            <w:tcW w:type="dxa" w:w="2160"/>
          </w:tcPr>
          <w:p>
            <w:r>
              <w:t>3 — paid</w:t>
            </w:r>
          </w:p>
        </w:tc>
        <w:tc>
          <w:tcPr>
            <w:tcW w:type="dxa" w:w="2160"/>
          </w:tcPr>
          <w:p>
            <w:r>
              <w:t>Voyage API key</w:t>
            </w:r>
          </w:p>
        </w:tc>
        <w:tc>
          <w:tcPr>
            <w:tcW w:type="dxa" w:w="2160"/>
          </w:tcPr>
          <w:p>
            <w:r>
              <w:t>7</w:t>
            </w:r>
          </w:p>
        </w:tc>
        <w:tc>
          <w:tcPr>
            <w:tcW w:type="dxa" w:w="2160"/>
          </w:tcPr>
          <w:p>
            <w:r>
              <w:t>written, not run</w:t>
            </w:r>
          </w:p>
        </w:tc>
      </w:tr>
      <w:tr>
        <w:tc>
          <w:tcPr>
            <w:tcW w:type="dxa" w:w="2160"/>
          </w:tcPr>
          <w:p>
            <w:r>
              <w:t>Whole backend</w:t>
            </w:r>
          </w:p>
        </w:tc>
        <w:tc>
          <w:tcPr>
            <w:tcW w:type="dxa" w:w="2160"/>
          </w:tcPr>
          <w:p>
            <w:r>
              <w:t>Postgres</w:t>
            </w:r>
          </w:p>
        </w:tc>
        <w:tc>
          <w:tcPr>
            <w:tcW w:type="dxa" w:w="2160"/>
          </w:tcPr>
          <w:p>
            <w:r>
              <w:t>1,086</w:t>
            </w:r>
          </w:p>
        </w:tc>
        <w:tc>
          <w:tcPr>
            <w:tcW w:type="dxa" w:w="2160"/>
          </w:tcPr>
          <w:p>
            <w:r>
              <w:t>1,086 passed, 4 skipped</w:t>
            </w:r>
          </w:p>
        </w:tc>
      </w:tr>
    </w:tbl>
    <w:p/>
    <w:p>
      <w:r>
        <w:t>The whole-backend row matters because this build changed subsystem 2: the retrieve_passages return type, three agent call sites, and the shared Passage model. Subsystems 1 and 2 were re-run in full and are green, which is the evidence that the contract change did not break what depended on it.</w:t>
      </w:r>
    </w:p>
    <w:p>
      <w:pPr>
        <w:pStyle w:val="Heading2"/>
      </w:pPr>
      <w:r>
        <w:t>3.2 The §17 Tier 1 requirements, and how they were met</w:t>
      </w:r>
    </w:p>
    <w:tbl>
      <w:tblPr>
        <w:tblStyle w:val="LightGrid-Accent1"/>
        <w:tblW w:type="auto" w:w="0"/>
        <w:tblLook w:firstColumn="1" w:firstRow="1" w:lastColumn="0" w:lastRow="0" w:noHBand="0" w:noVBand="1" w:val="04A0"/>
      </w:tblPr>
      <w:tblGrid>
        <w:gridCol w:w="4320"/>
        <w:gridCol w:w="4320"/>
      </w:tblGrid>
      <w:tr>
        <w:tc>
          <w:tcPr>
            <w:tcW w:type="dxa" w:w="4320"/>
          </w:tcPr>
          <w:p>
            <w:r>
              <w:rPr>
                <w:b/>
              </w:rPr>
              <w:t>§17 requirement</w:t>
            </w:r>
          </w:p>
        </w:tc>
        <w:tc>
          <w:tcPr>
            <w:tcW w:type="dxa" w:w="4320"/>
          </w:tcPr>
          <w:p>
            <w:r>
              <w:rPr>
                <w:b/>
              </w:rPr>
              <w:t>How it is tested</w:t>
            </w:r>
          </w:p>
        </w:tc>
      </w:tr>
      <w:tr>
        <w:tc>
          <w:tcPr>
            <w:tcW w:type="dxa" w:w="4320"/>
          </w:tcPr>
          <w:p>
            <w:r>
              <w:t>Chunking determinism</w:t>
            </w:r>
          </w:p>
        </w:tc>
        <w:tc>
          <w:tcPr>
            <w:tcW w:type="dxa" w:w="4320"/>
          </w:tcPr>
          <w:p>
            <w:r>
              <w:t>Hash comparison over five repeat invocations, across a fixture spanning every chunk type, plus a coverage guard asserting the fixture is non-empty and a CI step that re-runs it alone</w:t>
            </w:r>
          </w:p>
        </w:tc>
      </w:tr>
      <w:tr>
        <w:tc>
          <w:tcPr>
            <w:tcW w:type="dxa" w:w="4320"/>
          </w:tcPr>
          <w:p>
            <w:r>
              <w:t>Chunking correctness</w:t>
            </w:r>
          </w:p>
        </w:tc>
        <w:tc>
          <w:tcPr>
            <w:tcW w:type="dxa" w:w="4320"/>
          </w:tcPr>
          <w:p>
            <w:r>
              <w:t>Per-type fixtures; adversarial cases for a code block past the 2000-token limit splitting at a blank line, and for text with no sentence or word boundaries falling to character cutting</w:t>
            </w:r>
          </w:p>
        </w:tc>
      </w:tr>
      <w:tr>
        <w:tc>
          <w:tcPr>
            <w:tcW w:type="dxa" w:w="4320"/>
          </w:tcPr>
          <w:p>
            <w:r>
              <w:t>Passage numbering contract</w:t>
            </w:r>
          </w:p>
        </w:tc>
        <w:tc>
          <w:tcPr>
            <w:tcW w:type="dxa" w:w="4320"/>
          </w:tcPr>
          <w:p>
            <w:r>
              <w:t>Three chunks fed in four different orders produce the same chunk_id-sorted numbering every time</w:t>
            </w:r>
          </w:p>
        </w:tc>
      </w:tr>
      <w:tr>
        <w:tc>
          <w:tcPr>
            <w:tcW w:type="dxa" w:w="4320"/>
          </w:tcPr>
          <w:p>
            <w:r>
              <w:t>Citation marker parsing</w:t>
            </w:r>
          </w:p>
        </w:tc>
        <w:tc>
          <w:tcPr>
            <w:tcW w:type="dxa" w:w="4320"/>
          </w:tcPr>
          <w:p>
            <w:r>
              <w:t>The documented example, plus nine malformed forms that must not raise, a reversed range, out-of-range markers, and unicode</w:t>
            </w:r>
          </w:p>
        </w:tc>
      </w:tr>
      <w:tr>
        <w:tc>
          <w:tcPr>
            <w:tcW w:type="dxa" w:w="4320"/>
          </w:tcPr>
          <w:p>
            <w:r>
              <w:t>Fusion arithmetic</w:t>
            </w:r>
          </w:p>
        </w:tc>
        <w:tc>
          <w:tcPr>
            <w:tcW w:type="dxa" w:w="4320"/>
          </w:tcPr>
          <w:p>
            <w:r>
              <w:t>RRF checked against the spec's own worked figures (0.0328 and 0.0164), and against hand-computed values for the boosts</w:t>
            </w:r>
          </w:p>
        </w:tc>
      </w:tr>
      <w:tr>
        <w:tc>
          <w:tcPr>
            <w:tcW w:type="dxa" w:w="4320"/>
          </w:tcPr>
          <w:p>
            <w:r>
              <w:t>Stance mapping</w:t>
            </w:r>
          </w:p>
        </w:tc>
        <w:tc>
          <w:tcPr>
            <w:tcW w:type="dxa" w:w="4320"/>
          </w:tcPr>
          <w:p>
            <w:r>
              <w:t>Every stance maps; the table matches §11 exactly; every preferred role is checked against the real concept_source_role enum</w:t>
            </w:r>
          </w:p>
        </w:tc>
      </w:tr>
      <w:tr>
        <w:tc>
          <w:tcPr>
            <w:tcW w:type="dxa" w:w="4320"/>
          </w:tcPr>
          <w:p>
            <w:r>
              <w:t>Thin-grounding thresholds</w:t>
            </w:r>
          </w:p>
        </w:tc>
        <w:tc>
          <w:tcPr>
            <w:tcW w:type="dxa" w:w="4320"/>
          </w:tcPr>
          <w:p>
            <w:r>
              <w:t>Fires at 2 passages and not at 3; fires at avg 0.49 and not at 0.51; 0.50 exactly is not thin</w:t>
            </w:r>
          </w:p>
        </w:tc>
      </w:tr>
    </w:tbl>
    <w:p/>
    <w:p>
      <w:pPr>
        <w:pStyle w:val="Heading2"/>
      </w:pPr>
      <w:r>
        <w:t>3.3 Measured chunk-size distribution</w:t>
      </w:r>
    </w:p>
    <w:p>
      <w:r>
        <w:t>§19's first open question asks whether the 400-token target with a 600-token maximum survives contact with real text. It cannot be answered without a real corpus, but the machinery reports it and the test fixtures give an early reading.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Measure</w:t>
            </w:r>
          </w:p>
        </w:tc>
        <w:tc>
          <w:tcPr>
            <w:tcW w:type="dxa" w:w="2880"/>
          </w:tcPr>
          <w:p>
            <w:r>
              <w:rPr>
                <w:b/>
              </w:rPr>
              <w:t>Value</w:t>
            </w:r>
          </w:p>
        </w:tc>
        <w:tc>
          <w:tcPr>
            <w:tcW w:type="dxa" w:w="2880"/>
          </w:tcPr>
          <w:p>
            <w:r>
              <w:rPr>
                <w:b/>
              </w:rPr>
              <w:t>Target</w:t>
            </w:r>
          </w:p>
        </w:tc>
      </w:tr>
      <w:tr>
        <w:tc>
          <w:tcPr>
            <w:tcW w:type="dxa" w:w="2880"/>
          </w:tcPr>
          <w:p>
            <w:r>
              <w:t>Body chunks produced</w:t>
            </w:r>
          </w:p>
        </w:tc>
        <w:tc>
          <w:tcPr>
            <w:tcW w:type="dxa" w:w="2880"/>
          </w:tcPr>
          <w:p>
            <w:r>
              <w:t>20</w:t>
            </w:r>
          </w:p>
        </w:tc>
        <w:tc>
          <w:tcPr>
            <w:tcW w:type="dxa" w:w="2880"/>
          </w:tcPr>
          <w:p>
            <w:r>
              <w:t>—</w:t>
            </w:r>
          </w:p>
        </w:tc>
      </w:tr>
      <w:tr>
        <w:tc>
          <w:tcPr>
            <w:tcW w:type="dxa" w:w="2880"/>
          </w:tcPr>
          <w:p>
            <w:r>
              <w:t>Mean size</w:t>
            </w:r>
          </w:p>
        </w:tc>
        <w:tc>
          <w:tcPr>
            <w:tcW w:type="dxa" w:w="2880"/>
          </w:tcPr>
          <w:p>
            <w:r>
              <w:t>474 tokens</w:t>
            </w:r>
          </w:p>
        </w:tc>
        <w:tc>
          <w:tcPr>
            <w:tcW w:type="dxa" w:w="2880"/>
          </w:tcPr>
          <w:p>
            <w:r>
              <w:t>400</w:t>
            </w:r>
          </w:p>
        </w:tc>
      </w:tr>
      <w:tr>
        <w:tc>
          <w:tcPr>
            <w:tcW w:type="dxa" w:w="2880"/>
          </w:tcPr>
          <w:p>
            <w:r>
              <w:t>Median size</w:t>
            </w:r>
          </w:p>
        </w:tc>
        <w:tc>
          <w:tcPr>
            <w:tcW w:type="dxa" w:w="2880"/>
          </w:tcPr>
          <w:p>
            <w:r>
              <w:t>467 tokens</w:t>
            </w:r>
          </w:p>
        </w:tc>
        <w:tc>
          <w:tcPr>
            <w:tcW w:type="dxa" w:w="2880"/>
          </w:tcPr>
          <w:p>
            <w:r>
              <w:t>400</w:t>
            </w:r>
          </w:p>
        </w:tc>
      </w:tr>
      <w:tr>
        <w:tc>
          <w:tcPr>
            <w:tcW w:type="dxa" w:w="2880"/>
          </w:tcPr>
          <w:p>
            <w:r>
              <w:t>Range</w:t>
            </w:r>
          </w:p>
        </w:tc>
        <w:tc>
          <w:tcPr>
            <w:tcW w:type="dxa" w:w="2880"/>
          </w:tcPr>
          <w:p>
            <w:r>
              <w:t>446–508 tokens</w:t>
            </w:r>
          </w:p>
        </w:tc>
        <w:tc>
          <w:tcPr>
            <w:tcW w:type="dxa" w:w="2880"/>
          </w:tcPr>
          <w:p>
            <w:r>
              <w:t>≤ 600</w:t>
            </w:r>
          </w:p>
        </w:tc>
      </w:tr>
      <w:tr>
        <w:tc>
          <w:tcPr>
            <w:tcW w:type="dxa" w:w="2880"/>
          </w:tcPr>
          <w:p>
            <w:r>
              <w:t>Chunks over the maximum</w:t>
            </w:r>
          </w:p>
        </w:tc>
        <w:tc>
          <w:tcPr>
            <w:tcW w:type="dxa" w:w="2880"/>
          </w:tcPr>
          <w:p>
            <w:r>
              <w:t>0</w:t>
            </w:r>
          </w:p>
        </w:tc>
        <w:tc>
          <w:tcPr>
            <w:tcW w:type="dxa" w:w="2880"/>
          </w:tcPr>
          <w:p>
            <w:r>
              <w:t>0</w:t>
            </w:r>
          </w:p>
        </w:tc>
      </w:tr>
    </w:tbl>
    <w:p/>
    <w:p>
      <w:r>
        <w:t>The distribution sits above target and comfortably under the maximum, which is the right side to err on: the break-preference hierarchy prefers a clean sentence boundary late in the window over a ragged cut at exactly 400. Worth re-measuring against real sources before concluding anything — this is generated prose with uniform sentence lengths, which is the easiest possible input for a boundary finder.</w:t>
      </w:r>
    </w:p>
    <w:p>
      <w:pPr>
        <w:pStyle w:val="Heading1"/>
      </w:pPr>
      <w:r>
        <w:t>4. Defects found during the build</w:t>
      </w:r>
    </w:p>
    <w:p>
      <w:r>
        <w:t>Each was found by a test or by a failing query rather than by inspection, and each is listed with what would have happened had it shipped.</w:t>
      </w:r>
    </w:p>
    <w:p>
      <w:pPr>
        <w:pStyle w:val="Heading2"/>
      </w:pPr>
      <w:r>
        <w:t>4.1 The load-bearing fallback laundered its provenance</w:t>
      </w:r>
    </w:p>
    <w:p>
      <w:r>
        <w:t>Found by a Tier 2 test that expected a concept with no curated sources to be flagged thin, and instead got six well-scored passages. §10 item 5 puts every load-bearing concept in the subject into the neighbourhood, so an entirely uncurated concept inherits their pointers. That behaviour is what the spec asks for and is arguably good — some grounding beats none.</w:t>
      </w:r>
    </w:p>
    <w:p>
      <w:r>
        <w:t>The defect was that those passages came back labelled retrieval_reason='curated', which asserts an expert selected them for this concept. Nobody had. §10 introduces that field precisely so a reviewer can distinguish an expert's choice from an inference, and the fallback was quietly defeating it. The neighbourhood is now split into core and fallback, and fallback-sourced chunks report as 'expanded'.</w:t>
      </w:r>
    </w:p>
    <w:p>
      <w:r>
        <w:t>Had it shipped, §19's open question 2 — the curated-versus-expanded ratio, the metric for whether concept-source authoring is keeping up — would have read as healthily curated on a corpus where nothing had been curated at all.</w:t>
      </w:r>
    </w:p>
    <w:p>
      <w:pPr>
        <w:pStyle w:val="Heading2"/>
      </w:pPr>
      <w:r>
        <w:t>4.2 A skipped reranker would have flooded the review queue</w:t>
      </w:r>
    </w:p>
    <w:p>
      <w:r>
        <w:t>§16 says a rerank failure returns the top-k of the fused result. Fused scores are RRF values of around 0.03, and §13's score threshold reads relevance_score on a 0–1 scale. Passing fusion scores straight through would put every degraded retrieval below the 0.5 floor and flag all of them — during an outage a reviewer can do nothing about. Degraded results now carry a positional proxy and a degraded flag instead.</w:t>
      </w:r>
    </w:p>
    <w:p>
      <w:pPr>
        <w:pStyle w:val="Heading2"/>
      </w:pPr>
      <w:r>
        <w:t>4.3 Two tests that could not have failed</w:t>
      </w:r>
    </w:p>
    <w:p>
      <w:r>
        <w:t>The first overlap tests used repetitive filler text, so every 40-character window appeared in every chunk and both “the tail carried forward” and “it did not” were unfalsifiable. Rewritten against uniquely numbered sentences. Worth recording because the tests passed in that state, and a passing test that cannot fail is worse than no test — it occupies the space where the real one would go.</w:t>
      </w:r>
    </w:p>
    <w:p>
      <w:pPr>
        <w:pStyle w:val="Heading2"/>
      </w:pPr>
      <w:r>
        <w:t>4.4 Two SQL defects the tests caught</w:t>
      </w:r>
    </w:p>
    <w:p>
      <w:pPr>
        <w:pStyle w:val="ListBullet"/>
      </w:pPr>
      <w:r>
        <w:t>SQLAlchemy's text() bind-parameter parser reads the first colon of a '::uuid' cast as another parameter name, so the neighbourhood query failed with a syntax error. Rewritten as CAST(... AS uuid).</w:t>
      </w:r>
    </w:p>
    <w:p>
      <w:pPr>
        <w:pStyle w:val="ListBullet"/>
      </w:pPr>
      <w:r>
        <w:t>One subsystem-2 test iterated the retriever's return value directly and began iterating a RetrievalResult's fields after the contract change. Caught by the full-suite run rather than the retrieval one, which is the argument for running both.</w:t>
      </w:r>
    </w:p>
    <w:p>
      <w:pPr>
        <w:pStyle w:val="Heading1"/>
      </w:pPr>
      <w:r>
        <w:t>5. Divergences from the specification</w:t>
      </w:r>
    </w:p>
    <w:p>
      <w:r>
        <w:t>Twelve, recorded in full in backend/DIVERGENCES-RETRIEVAL.md as S1–S12 and cited by ID from the code. Three are load-bearing: following the spec literally would produce something that either cannot run or is quietly wrong.</w:t>
      </w:r>
    </w:p>
    <w:p>
      <w:pPr>
        <w:pStyle w:val="Heading2"/>
      </w:pPr>
      <w:r>
        <w:t>5.1 Load-bearing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The spec says</w:t>
            </w:r>
          </w:p>
        </w:tc>
        <w:tc>
          <w:tcPr>
            <w:tcW w:type="dxa" w:w="2880"/>
          </w:tcPr>
          <w:p>
            <w:r>
              <w:rPr>
                <w:b/>
              </w:rPr>
              <w:t>What would go wrong</w:t>
            </w:r>
          </w:p>
        </w:tc>
      </w:tr>
      <w:tr>
        <w:tc>
          <w:tcPr>
            <w:tcW w:type="dxa" w:w="2880"/>
          </w:tcPr>
          <w:p>
            <w:r>
              <w:t>S1</w:t>
            </w:r>
          </w:p>
        </w:tc>
        <w:tc>
          <w:tcPr>
            <w:tcW w:type="dxa" w:w="2880"/>
          </w:tcPr>
          <w:p>
            <w:r>
              <w:t>§10 walks prerequisite and dependency edges 'from this concept'. Under subsystem 1's edge direction that yields what the concept enables, not what it depends on — and items 2 and 3 become the same query. Both directions are walked instead.</w:t>
            </w:r>
          </w:p>
        </w:tc>
        <w:tc>
          <w:tcPr>
            <w:tcW w:type="dxa" w:w="2880"/>
          </w:tcPr>
          <w:p>
            <w:r>
              <w:t>A learner meeting beta-reduction would be grounded in Church-Rosser and the Y-combinator — the material built on it — while lambda syntax and alpha-equivalence were excluded. It would look like working retrieval, because it returns plausible same-subject passages.</w:t>
            </w:r>
          </w:p>
        </w:tc>
      </w:tr>
      <w:tr>
        <w:tc>
          <w:tcPr>
            <w:tcW w:type="dxa" w:w="2880"/>
          </w:tcPr>
          <w:p>
            <w:r>
              <w:t>S2</w:t>
            </w:r>
          </w:p>
        </w:tc>
        <w:tc>
          <w:tcPr>
            <w:tcW w:type="dxa" w:w="2880"/>
          </w:tcPr>
          <w:p>
            <w:r>
              <w:t>§13 has retrieval insert the content_review_queue row itself. That table CHECKs for an artifact or a turn, and at Lecturer-grounding time neither exists yet. Retrieval detects and reports; the caller's effect batch writes.</w:t>
            </w:r>
          </w:p>
        </w:tc>
        <w:tc>
          <w:tcPr>
            <w:tcW w:type="dxa" w:w="2880"/>
          </w:tcPr>
          <w:p>
            <w:r>
              <w:t>Every thin-grounding event on the Lecturer path would raise an IntegrityError inside a function §6 promises never raises. The error would have to be swallowed, silently dropping the flag §13 calls a first-class failure in exactly the case it exists for.</w:t>
            </w:r>
          </w:p>
        </w:tc>
      </w:tr>
      <w:tr>
        <w:tc>
          <w:tcPr>
            <w:tcW w:type="dxa" w:w="2880"/>
          </w:tcPr>
          <w:p>
            <w:r>
              <w:t>S3</w:t>
            </w:r>
          </w:p>
        </w:tc>
        <w:tc>
          <w:tcPr>
            <w:tcW w:type="dxa" w:w="2880"/>
          </w:tcPr>
          <w:p>
            <w:r>
              <w:t>§8 queues an unembeddable chunk for review. Same CHECK, and an ingestion-time failure has no artifact and no turn by nature. Logged at ERROR instead.</w:t>
            </w:r>
          </w:p>
        </w:tc>
        <w:tc>
          <w:tcPr>
            <w:tcW w:type="dxa" w:w="2880"/>
          </w:tcPr>
          <w:p>
            <w:r>
              <w:t>The insert would fail and take the embedding batch down with it, so one malformed chunk would block the other 127. This is the third instance of the ingestion-side provenance gap and is raised as a spec invariant rather than patched again.</w:t>
            </w:r>
          </w:p>
        </w:tc>
      </w:tr>
    </w:tbl>
    <w:p/>
    <w:p>
      <w:pPr>
        <w:pStyle w:val="Heading2"/>
      </w:pPr>
      <w:r>
        <w:t>5.2 The rest, in brief</w:t>
      </w:r>
    </w:p>
    <w:p>
      <w:pPr>
        <w:pStyle w:val="ListBullet"/>
      </w:pPr>
      <w:r>
        <w:t>S4 — retrieve_passages returns RetrievalResult rather than a list, because the thin-grounding verdict has to reach the caller that §13 makes responsible for it. Three subsystem-2 call sites updated.</w:t>
      </w:r>
    </w:p>
    <w:p>
      <w:pPr>
        <w:pStyle w:val="ListBullet"/>
      </w:pPr>
      <w:r>
        <w:t>S5 — stance changes which passages survive the k cut, not their order; the chunk_id sort is what agent runtime §17's cache key needs.</w:t>
      </w:r>
    </w:p>
    <w:p>
      <w:pPr>
        <w:pStyle w:val="ListBullet"/>
      </w:pPr>
      <w:r>
        <w:t>S6 — atomic siblings are recovered from chunk_index adjacency, since chunk_relations is deferred to v1.1. Exact for blocks the chunker split; would false-positive on two unrelated adjacent code blocks.</w:t>
      </w:r>
    </w:p>
    <w:p>
      <w:pPr>
        <w:pStyle w:val="ListBullet"/>
      </w:pPr>
      <w:r>
        <w:t>S7 — the load-bearing fallback reports as 'expanded', not 'curated'. See 4.1.</w:t>
      </w:r>
    </w:p>
    <w:p>
      <w:pPr>
        <w:pStyle w:val="ListBullet"/>
      </w:pPr>
      <w:r>
        <w:t>S8 — the two schema columns shipped in their own migration rather than waiting for the data-layer v1.2 batch; retrieval cannot be built without either.</w:t>
      </w:r>
    </w:p>
    <w:p>
      <w:pPr>
        <w:pStyle w:val="ListBullet"/>
      </w:pPr>
      <w:r>
        <w:t>S9 — two retry ladders, not one: four attempts in the background embedding worker, one retry inside a learner-facing turn.</w:t>
      </w:r>
    </w:p>
    <w:p>
      <w:pPr>
        <w:pStyle w:val="ListBullet"/>
      </w:pPr>
      <w:r>
        <w:t>S10 — a degraded result is never cached, so a thirty-second provider blip cannot become a five-minute quality drop.</w:t>
      </w:r>
    </w:p>
    <w:p>
      <w:pPr>
        <w:pStyle w:val="ListBullet"/>
      </w:pPr>
      <w:r>
        <w:t>S11 — a skipped reranker gets positional scores rather than raw RRF. See 4.2.</w:t>
      </w:r>
    </w:p>
    <w:p>
      <w:pPr>
        <w:pStyle w:val="ListBullet"/>
      </w:pPr>
      <w:r>
        <w:t>S12 — the shared fixture is extended by an opt-in function, so existing tests keep measuring the corpus they were written against.</w:t>
      </w:r>
    </w:p>
    <w:p>
      <w:pPr>
        <w:pStyle w:val="Heading2"/>
      </w:pPr>
      <w:r>
        <w:t>5.3 Followed despite a reservation</w:t>
      </w:r>
    </w:p>
    <w:p>
      <w:r>
        <w:t>§13's 0.5 average-score threshold is uncalibrated: nothing in the spec establishes what Voyage rerank-2 returns for a good match, so whether 0.5 is a sensible floor or a number that flags everything is unknown. It is implemented exactly as specified, with a Tier 3 test that fails loudly — naming this as a §18 v1.1 candidate — if hand-labelled relevant passages score below it. That converts an unknown into a signal rather than a silent flood of review rows.</w:t>
      </w:r>
    </w:p>
    <w:p>
      <w:r>
        <w:t>§4 locks Voyage-3 and rerank-2. Both are current, both are behind protocols, and neither was swapped: §19's open question 4 expects the choice to be revisited, but doing so silently would make the spec and the code disagree about the thing §4 is most explicit about.</w:t>
      </w:r>
    </w:p>
    <w:p>
      <w:pPr>
        <w:pStyle w:val="Heading1"/>
      </w:pPr>
      <w:r>
        <w:t>6. What is not verified</w:t>
      </w:r>
    </w:p>
    <w:p>
      <w:r>
        <w:t>This is the section to read before treating anything above as a guarantee.</w:t>
      </w:r>
    </w:p>
    <w:p>
      <w:pPr>
        <w:pStyle w:val="ListBullet"/>
      </w:pPr>
      <w:r>
        <w:t>The real providers. No embedding or rerank call has ever been made. Every ranking assertion in this build ran against a hash-based stub embedder and an identity reranker, which exercise the plumbing and prove nothing about relevance. Ordering quality, the reranker's contribution over raw fusion, and the calibration of §13's score threshold are all unmeasured.</w:t>
      </w:r>
    </w:p>
    <w:p>
      <w:pPr>
        <w:pStyle w:val="ListBullet"/>
      </w:pPr>
      <w:r>
        <w:t>Real source material. Chunking has only seen generated fixtures and Markdown — uniform sentence lengths, clean structure, no PDF extraction artefacts, no ligatures, no two-column reflow. The chunk sizes in 3.3 should be read as a smoke test, not a distribution.</w:t>
      </w:r>
    </w:p>
    <w:p>
      <w:pPr>
        <w:pStyle w:val="ListBullet"/>
      </w:pPr>
      <w:r>
        <w:t>Scale. The corpus is four sources and eighty chunks. §9's performance claims — sub-50ms at MVP, sub-150ms at classroom tier, HNSW staying sub-100ms at two million chunks — are untested at any of those sizes. Nothing here says what happens at the second one.</w:t>
      </w:r>
    </w:p>
    <w:p>
      <w:pPr>
        <w:pStyle w:val="ListBullet"/>
      </w:pPr>
      <w:r>
        <w:t>The concept graph at breadth. The fixture has six concepts and eight edges. Neighbourhood expansion is exercised, but not against a graph where the two-hop set is large enough for the fallback to matter.</w:t>
      </w:r>
    </w:p>
    <w:p>
      <w:pPr>
        <w:pStyle w:val="ListBullet"/>
      </w:pPr>
      <w:r>
        <w:t>Cache warming. The five-minute result cache is tested; the startup pre-warm loop and its rolling refresh (§14) are not implemented — the load-bearing set is discoverable and the cache accepts writes, but nothing schedules them. §15's warming cost line is therefore also unmeasured.</w:t>
      </w:r>
    </w:p>
    <w:p>
      <w:pPr>
        <w:pStyle w:val="ListBullet"/>
      </w:pPr>
      <w:r>
        <w:t>Cost accounting end to end. Per-call costs are computed from §15's rates, but no retrieval cost has yet been written to cost_ledger: that path runs through the agent runtime's attribution and the ingestion jobs table, and neither has carried a real retrieval charge.</w:t>
      </w:r>
    </w:p>
    <w:p>
      <w:pPr>
        <w:pStyle w:val="Heading1"/>
      </w:pPr>
      <w:r>
        <w:t>7. What to do next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Priority</w:t>
            </w:r>
          </w:p>
        </w:tc>
        <w:tc>
          <w:tcPr>
            <w:tcW w:type="dxa" w:w="2880"/>
          </w:tcPr>
          <w:p>
            <w:r>
              <w:rPr>
                <w:b/>
              </w:rPr>
              <w:t>Item</w:t>
            </w:r>
          </w:p>
        </w:tc>
        <w:tc>
          <w:tcPr>
            <w:tcW w:type="dxa" w:w="2880"/>
          </w:tcPr>
          <w:p>
            <w:r>
              <w:rPr>
                <w:b/>
              </w:rPr>
              <w:t>Why</w:t>
            </w:r>
          </w:p>
        </w:tc>
      </w:tr>
      <w:tr>
        <w:tc>
          <w:tcPr>
            <w:tcW w:type="dxa" w:w="2880"/>
          </w:tcPr>
          <w:p>
            <w:r>
              <w:t>1</w:t>
            </w:r>
          </w:p>
        </w:tc>
        <w:tc>
          <w:tcPr>
            <w:tcW w:type="dxa" w:w="2880"/>
          </w:tcPr>
          <w:p>
            <w:r>
              <w:t>Run Tier 3 against a real Voyage key</w:t>
            </w:r>
          </w:p>
        </w:tc>
        <w:tc>
          <w:tcPr>
            <w:tcW w:type="dxa" w:w="2880"/>
          </w:tcPr>
          <w:p>
            <w:r>
              <w:t>It is the largest gap and the cheapest to close. The calibration test will say immediately whether §13's 0.5 floor is usable, and that threshold governs how much under-grounded content reaches learners unremarked.</w:t>
            </w:r>
          </w:p>
        </w:tc>
      </w:tr>
      <w:tr>
        <w:tc>
          <w:tcPr>
            <w:tcW w:type="dxa" w:w="2880"/>
          </w:tcPr>
          <w:p>
            <w:r>
              <w:t>2</w:t>
            </w:r>
          </w:p>
        </w:tc>
        <w:tc>
          <w:tcPr>
            <w:tcW w:type="dxa" w:w="2880"/>
          </w:tcPr>
          <w:p>
            <w:r>
              <w:t>Resolve the ingestion-side provenance gap</w:t>
            </w:r>
          </w:p>
        </w:tc>
        <w:tc>
          <w:tcPr>
            <w:tcW w:type="dxa" w:w="2880"/>
          </w:tcPr>
          <w:p>
            <w:r>
              <w:t>Third instance (S3). content_review_queue models content review and cannot hold an ingestion failure. Subsystem 5's call, but it needs deciding before ingestion is built on top of the gap.</w:t>
            </w:r>
          </w:p>
        </w:tc>
      </w:tr>
      <w:tr>
        <w:tc>
          <w:tcPr>
            <w:tcW w:type="dxa" w:w="2880"/>
          </w:tcPr>
          <w:p>
            <w:r>
              <w:t>3</w:t>
            </w:r>
          </w:p>
        </w:tc>
        <w:tc>
          <w:tcPr>
            <w:tcW w:type="dxa" w:w="2880"/>
          </w:tcPr>
          <w:p>
            <w:r>
              <w:t>Feed real source material through chunking</w:t>
            </w:r>
          </w:p>
        </w:tc>
        <w:tc>
          <w:tcPr>
            <w:tcW w:type="dxa" w:w="2880"/>
          </w:tcPr>
          <w:p>
            <w:r>
              <w:t>Answers §19's open question 1, and is the only way to find the PDF-extraction artefacts the break-preference hierarchy will have to survive.</w:t>
            </w:r>
          </w:p>
        </w:tc>
      </w:tr>
      <w:tr>
        <w:tc>
          <w:tcPr>
            <w:tcW w:type="dxa" w:w="2880"/>
          </w:tcPr>
          <w:p>
            <w:r>
              <w:t>4</w:t>
            </w:r>
          </w:p>
        </w:tc>
        <w:tc>
          <w:tcPr>
            <w:tcW w:type="dxa" w:w="2880"/>
          </w:tcPr>
          <w:p>
            <w:r>
              <w:t>Implement §14's pre-warm loop</w:t>
            </w:r>
          </w:p>
        </w:tc>
        <w:tc>
          <w:tcPr>
            <w:tcW w:type="dxa" w:w="2880"/>
          </w:tcPr>
          <w:p>
            <w:r>
              <w:t>Specified, not built. Small, and its absence means every load-bearing concept's first retrieval of the day is cold.</w:t>
            </w:r>
          </w:p>
        </w:tc>
      </w:tr>
      <w:tr>
        <w:tc>
          <w:tcPr>
            <w:tcW w:type="dxa" w:w="2880"/>
          </w:tcPr>
          <w:p>
            <w:r>
              <w:t>5</w:t>
            </w:r>
          </w:p>
        </w:tc>
        <w:tc>
          <w:tcPr>
            <w:tcW w:type="dxa" w:w="2880"/>
          </w:tcPr>
          <w:p>
            <w:r>
              <w:t>Fold the two schema columns into the data-layer v1.2 batch</w:t>
            </w:r>
          </w:p>
        </w:tc>
        <w:tc>
          <w:tcPr>
            <w:tcW w:type="dxa" w:w="2880"/>
          </w:tcPr>
          <w:p>
            <w:r>
              <w:t>They shipped ahead of it (S8). The batch should acknowledge them so the v1.2 document and the migration history agree.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