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Studium — Closing the Subsystem 4 Gaps</w:t>
      </w:r>
    </w:p>
    <w:p>
      <w:pPr>
        <w:jc w:val="left"/>
      </w:pPr>
      <w:r>
        <w:t>Frontend F3, F4 and F15  ·  spec debt SD5  ·  22 August 2026</w:t>
      </w:r>
    </w:p>
    <w:p>
      <w:pPr>
        <w:pStyle w:val="IntenseQuote"/>
      </w:pPr>
      <w:r>
        <w:t>All three items are closed, and closing them surfaced eleven further defects — four in the runtime, seven in the frontend. Two of the runtime four were load-bearing: no real session had ever left the OPENING state, and a lecture session had therefore never called the Lecturer at all. Both were invisible to every test tier below Tier 3, because each of those tiers supplies the state the runtime was failing to reach.</w:t>
      </w:r>
    </w:p>
    <w:p>
      <w:pPr>
        <w:pStyle w:val="Heading1"/>
      </w:pPr>
      <w:r>
        <w:t>1. What “verified” means in this report</w:t>
      </w:r>
    </w:p>
    <w:p>
      <w:r>
        <w:t>Four tiers were run. They establish different things and the difference is the substance of this report, because the defects that mattered most were invisible to three of them.</w:t>
      </w:r>
    </w:p>
    <w:p>
      <w:pPr>
        <w:pStyle w:val="ListBullet"/>
      </w:pPr>
      <w:r>
        <w:t>Tier 1 (1,068 backend offline + 222 frontend, no database, no network) establishes that pure logic is correct in isolation: the state machine table, the primitive dispatch, the schemas, the store reducers, the payload redaction.</w:t>
      </w:r>
    </w:p>
    <w:p>
      <w:pPr>
        <w:pStyle w:val="ListBullet"/>
      </w:pPr>
      <w:r>
        <w:t>Tier 2 backend (1,179 tests against real Postgres) establishes that the queries run: array aggregation, enum casts, the mastery delta window, and that one learner cannot read another's rows.</w:t>
      </w:r>
    </w:p>
    <w:p>
      <w:pPr>
        <w:pStyle w:val="ListBullet"/>
      </w:pPr>
      <w:r>
        <w:t>Tier 2 frontend (43 tests, real Chromium against a Next production build and a mocked-LLM backend over a real socket) establishes that the surfaces behave against the contract.</w:t>
      </w:r>
    </w:p>
    <w:p>
      <w:pPr>
        <w:pStyle w:val="ListBullet"/>
      </w:pPr>
      <w:r>
        <w:t>Tier 3 (real FastAPI + real Postgres + real Anthropic) establishes that the contract is the one the runtime actually speaks. It is the only tier that can, and it is where every load-bearing defect below was found.</w:t>
      </w:r>
    </w:p>
    <w:p>
      <w:r>
        <w:t>Voyage is still not provisioned, so the seven vector-retrieval paid tests skip, as they have since the retrieval build. Everything else in Tier 3 ran against real Anthropic. Where a claim below rests on a mock, it says so.</w:t>
      </w:r>
    </w:p>
    <w:p>
      <w:r>
        <w:t>One limit to state plainly: Docker Desktop stopped part-way through the final Tier 3 pass, which ended database-backed verification for the session. Everything marked verified below had already run and passed. What that cost is named in §6.</w:t>
      </w:r>
    </w:p>
    <w:p>
      <w:pPr>
        <w:pStyle w:val="Heading1"/>
      </w:pPr>
      <w:r>
        <w:t>2. The three items</w:t>
      </w:r>
    </w:p>
    <w:p>
      <w:pPr>
        <w:pStyle w:val="Heading2"/>
      </w:pPr>
      <w:r>
        <w:t>2.1 F3 / SD5 — the artifact id reaches the client</w:t>
      </w:r>
    </w:p>
    <w:p>
      <w:r>
        <w:t>Every citation marker in the product rendered and none of them resolved. GET /api/artifacts/{id}/citations worked; the client had no way to learn the id. A lecture segment becomes a content_artifacts row through a ToolEffect, and effects are returned by the agent and applied by the Orchestrator after the call completes — so when the tool_effect chunk goes out the row does not exist, and by the time it does the end chunk has already gone.</w:t>
      </w:r>
    </w:p>
    <w:p>
      <w:r>
        <w:t>SD5 predicted the fix as “one field on one chunk”. It is not. The load-bearing part is an ordering change: the Orchestrator now holds the end chunk until the effect batch commits, then emits it carrying the id the batch produced. apply_effects returns an AppliedEffects rather than a list of kind names, because the id had nowhere to travel. The Lecturer is unchanged, and so is every client component — the schema already parsed artifact_id and the store already put it on the turn.</w:t>
      </w:r>
    </w:p>
    <w:p>
      <w:r>
        <w:t>session_turns.artifact_id is written too. That column has been in the schema since data layer §6.6 and nothing had ever populated it — an SD1-shaped gap found while fixing this one. The chunk is delivered once; the row is what survives a page reload.</w:t>
      </w:r>
    </w:p>
    <w:p>
      <w:r>
        <w:t>Verified against real Anthropic and real Postgres:</w:t>
      </w:r>
    </w:p>
    <w:p>
      <w:pPr>
        <w:pStyle w:val="ListBullet"/>
      </w:pPr>
      <w:r>
        <w:t>The id on the end chunk is the primary key of a content_artifacts row, written by the lecturer, in draft status.</w:t>
      </w:r>
    </w:p>
    <w:p>
      <w:pPr>
        <w:pStyle w:val="ListBullet"/>
      </w:pPr>
      <w:r>
        <w:t>session_turns.artifact_id holds the same link, exactly once.</w:t>
      </w:r>
    </w:p>
    <w:p>
      <w:pPr>
        <w:pStyle w:val="ListBullet"/>
      </w:pPr>
      <w:r>
        <w:t>The id resolves through the citation query rather than 404-ing.</w:t>
      </w:r>
    </w:p>
    <w:p>
      <w:pPr>
        <w:pStyle w:val="ListBullet"/>
      </w:pPr>
      <w:r>
        <w:t>A Tutor turn carries no artifact_id, and a rolled-back effect batch carries none rather than a wrong one.</w:t>
      </w:r>
    </w:p>
    <w:p>
      <w:r>
        <w:t>Not verified: a populated hover card against a real corpus. That needs curated concept_sources or a vector provider, and this database has neither. A resolvable id is not a resolved citation, and the endpoint answering with an empty list for an ungrounded artifact is correct behaviour rather than a regression.</w:t>
      </w:r>
    </w:p>
    <w:p>
      <w:pPr>
        <w:pStyle w:val="Heading2"/>
      </w:pPr>
      <w:r>
        <w:t>2.2 F4 — the five read endpoints</w:t>
      </w:r>
    </w:p>
    <w:p>
      <w:r>
        <w:t>backend/studium/api/reads.py serves the desk, the journal list, the entry detail, the entry patch and the session summary, over rows the data layer already shipped and the runtime already wrote. No schema change. The three placeholder surfaces are real, and lib/api/surfaces .ts's UNAVAILABLE set is empty.</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t>Endpoint</w:t>
            </w:r>
          </w:p>
        </w:tc>
        <w:tc>
          <w:tcPr>
            <w:tcW w:type="dxa" w:w="2880"/>
          </w:tcPr>
          <w:p>
            <w:pPr>
              <w:spacing w:after="40"/>
            </w:pPr>
            <w:r>
              <w:rPr>
                <w:b/>
                <w:sz w:val="18"/>
              </w:rPr>
              <w:t>Serves</w:t>
            </w:r>
          </w:p>
        </w:tc>
        <w:tc>
          <w:tcPr>
            <w:tcW w:type="dxa" w:w="2880"/>
          </w:tcPr>
          <w:p>
            <w:pPr>
              <w:spacing w:after="40"/>
            </w:pPr>
            <w:r>
              <w:rPr>
                <w:b/>
                <w:sz w:val="18"/>
              </w:rPr>
              <w:t>Notes</w:t>
            </w:r>
          </w:p>
        </w:tc>
      </w:tr>
      <w:tr>
        <w:tc>
          <w:tcPr>
            <w:tcW w:type="dxa" w:w="2880"/>
          </w:tcPr>
          <w:p>
            <w:pPr>
              <w:spacing w:after="40"/>
            </w:pPr>
            <w:r>
              <w:rPr>
                <w:sz w:val="18"/>
              </w:rPr>
              <w:t>GET /api/user/me/desk</w:t>
            </w:r>
          </w:p>
        </w:tc>
        <w:tc>
          <w:tcPr>
            <w:tcW w:type="dxa" w:w="2880"/>
          </w:tcPr>
          <w:p>
            <w:pPr>
              <w:spacing w:after="40"/>
            </w:pPr>
            <w:r>
              <w:rPr>
                <w:sz w:val="18"/>
              </w:rPr>
              <w:t>§6.1 — the whole surface in one round trip</w:t>
            </w:r>
          </w:p>
        </w:tc>
        <w:tc>
          <w:tcPr>
            <w:tcW w:type="dxa" w:w="2880"/>
          </w:tcPr>
          <w:p>
            <w:pPr>
              <w:spacing w:after="40"/>
            </w:pPr>
            <w:r>
              <w:rPr>
                <w:sz w:val="18"/>
              </w:rPr>
              <w:t>Five queries. One endpoint rather than five, because the desk is a single glance and five requests render it in five layout-shifting stages.</w:t>
            </w:r>
          </w:p>
        </w:tc>
      </w:tr>
      <w:tr>
        <w:tc>
          <w:tcPr>
            <w:tcW w:type="dxa" w:w="2880"/>
          </w:tcPr>
          <w:p>
            <w:pPr>
              <w:spacing w:after="40"/>
            </w:pPr>
            <w:r>
              <w:rPr>
                <w:sz w:val="18"/>
              </w:rPr>
              <w:t>GET /api/user/me/journal</w:t>
            </w:r>
          </w:p>
        </w:tc>
        <w:tc>
          <w:tcPr>
            <w:tcW w:type="dxa" w:w="2880"/>
          </w:tcPr>
          <w:p>
            <w:pPr>
              <w:spacing w:after="40"/>
            </w:pPr>
            <w:r>
              <w:rPr>
                <w:sz w:val="18"/>
              </w:rPr>
              <w:t>§6.4 — filtered by status, subject, concept, date, substring</w:t>
            </w:r>
          </w:p>
        </w:tc>
        <w:tc>
          <w:tcPr>
            <w:tcW w:type="dxa" w:w="2880"/>
          </w:tcPr>
          <w:p>
            <w:pPr>
              <w:spacing w:after="40"/>
            </w:pPr>
            <w:r>
              <w:rPr>
                <w:sz w:val="18"/>
              </w:rPr>
              <w:t>Not scoped to an enrollment: §6.4 is “across the learner's subjects”, which is also what lets the surface load before anything knows which subject.</w:t>
            </w:r>
          </w:p>
        </w:tc>
      </w:tr>
      <w:tr>
        <w:tc>
          <w:tcPr>
            <w:tcW w:type="dxa" w:w="2880"/>
          </w:tcPr>
          <w:p>
            <w:pPr>
              <w:spacing w:after="40"/>
            </w:pPr>
            <w:r>
              <w:rPr>
                <w:sz w:val="18"/>
              </w:rPr>
              <w:t>GET /api/journal/{id}</w:t>
            </w:r>
          </w:p>
        </w:tc>
        <w:tc>
          <w:tcPr>
            <w:tcW w:type="dxa" w:w="2880"/>
          </w:tcPr>
          <w:p>
            <w:pPr>
              <w:spacing w:after="40"/>
            </w:pPr>
            <w:r>
              <w:rPr>
                <w:sz w:val="18"/>
              </w:rPr>
              <w:t>§6.4 — the entry and its history timeline</w:t>
            </w:r>
          </w:p>
        </w:tc>
        <w:tc>
          <w:tcPr>
            <w:tcW w:type="dxa" w:w="2880"/>
          </w:tcPr>
          <w:p>
            <w:pPr>
              <w:spacing w:after="40"/>
            </w:pPr>
            <w:r>
              <w:rPr>
                <w:sz w:val="18"/>
              </w:rPr>
              <w:t>404 for “not yours” as well as “not there”; a 403 would confirm the entry exists to someone who does not own it.</w:t>
            </w:r>
          </w:p>
        </w:tc>
      </w:tr>
      <w:tr>
        <w:tc>
          <w:tcPr>
            <w:tcW w:type="dxa" w:w="2880"/>
          </w:tcPr>
          <w:p>
            <w:pPr>
              <w:spacing w:after="40"/>
            </w:pPr>
            <w:r>
              <w:rPr>
                <w:sz w:val="18"/>
              </w:rPr>
              <w:t>PATCH /api/journal/{id}</w:t>
            </w:r>
          </w:p>
        </w:tc>
        <w:tc>
          <w:tcPr>
            <w:tcW w:type="dxa" w:w="2880"/>
          </w:tcPr>
          <w:p>
            <w:pPr>
              <w:spacing w:after="40"/>
            </w:pPr>
            <w:r>
              <w:rPr>
                <w:sz w:val="18"/>
              </w:rPr>
              <w:t>§6.4 actions, §12.1's autosaved note</w:t>
            </w:r>
          </w:p>
        </w:tc>
        <w:tc>
          <w:tcPr>
            <w:tcW w:type="dxa" w:w="2880"/>
          </w:tcPr>
          <w:p>
            <w:pPr>
              <w:spacing w:after="40"/>
            </w:pPr>
            <w:r>
              <w:rPr>
                <w:sz w:val="18"/>
              </w:rPr>
              <w:t>Three fields and pointedly not a fourth: hypothesis is not in the request model, so no request shape reaches it.</w:t>
            </w:r>
          </w:p>
        </w:tc>
      </w:tr>
      <w:tr>
        <w:tc>
          <w:tcPr>
            <w:tcW w:type="dxa" w:w="2880"/>
          </w:tcPr>
          <w:p>
            <w:pPr>
              <w:spacing w:after="40"/>
            </w:pPr>
            <w:r>
              <w:rPr>
                <w:sz w:val="18"/>
              </w:rPr>
              <w:t>GET /api/session/{id}/summary</w:t>
            </w:r>
          </w:p>
        </w:tc>
        <w:tc>
          <w:tcPr>
            <w:tcW w:type="dxa" w:w="2880"/>
          </w:tcPr>
          <w:p>
            <w:pPr>
              <w:spacing w:after="40"/>
            </w:pPr>
            <w:r>
              <w:rPr>
                <w:sz w:val="18"/>
              </w:rPr>
              <w:t>§6.5 — summary, mastery deltas, threads, next focus</w:t>
            </w:r>
          </w:p>
        </w:tc>
        <w:tc>
          <w:tcPr>
            <w:tcW w:type="dxa" w:w="2880"/>
          </w:tcPr>
          <w:p>
            <w:pPr>
              <w:spacing w:after="40"/>
            </w:pPr>
            <w:r>
              <w:rPr>
                <w:sz w:val="18"/>
              </w:rPr>
              <w:t>404 means “not summarised yet”, which the close endpoint already reports and the client already has copy for.</w:t>
            </w:r>
          </w:p>
        </w:tc>
      </w:tr>
    </w:tbl>
    <w:p/>
    <w:p>
      <w:r>
        <w:t>Identity arrives as a header the Next proxy sets from the server-side session, stripping any inbound value first. That makes the scoping structural — no client code path can forget to identify itself, and none can lie about it. It does not make the API authenticated: the backend trusts the header exactly as POST /api/session already trusts a user_id in its body. F7 is unchanged, neither widened nor closed.</w:t>
      </w:r>
    </w:p>
    <w:p>
      <w:r>
        <w:t>Verified: 32 tests against real Postgres, including a scoping class that checks a second learner gets 404s and an empty list. Then against the real stack — a real Curator summary with a real mastery delta (0.10 → 0.16), and a real Confusion-Tracker journal entry, both read through the endpoints and rendered in a real browser.</w:t>
      </w:r>
    </w:p>
    <w:p>
      <w:pPr>
        <w:pStyle w:val="Heading2"/>
      </w:pPr>
      <w:r>
        <w:t>2.3 F15 — let_me_try_one routes to the bench</w:t>
      </w:r>
    </w:p>
    <w:p>
      <w:r>
        <w:t>F15's own diagnosis said “the runtime does this correctly” and that only the classroom was missing. The classroom was indeed missing, and the runtime was not correct. Three defects sat behind it — R13, R14 and R16 in §3 — none visible from the frontend.</w:t>
      </w:r>
    </w:p>
    <w:p>
      <w:r>
        <w:t>There was also a defect in the payload. The handler sent the whole PracticeProblem, model_answer and expected_key_points included. §11.2 withholds the model answer until the learner has attempted, and the bench having no component that draws it is a weaker guarantee than the browser never receiving it. The problem is now split: the Orchestrator keeps the key for the Evaluator, the client gets the question, and the client's schema has no field for the answer. Checked on the wire, not in the rendering, at both Tier 2 and Tier 3.</w:t>
      </w:r>
    </w:p>
    <w:p>
      <w:r>
        <w:t>Verified end to end against real Anthropic: a real Curator selects a problem, the runtime transitions to LAB, the bench renders the two-column workspace, a real Evaluator grades a submission and the verdict appears. A wrong answer keeps the problem on screen; a right one leaves the bench.</w:t>
      </w:r>
    </w:p>
    <w:p>
      <w:pPr>
        <w:pStyle w:val="Heading1"/>
      </w:pPr>
      <w:r>
        <w:t>3. Defects found while closing them</w:t>
      </w:r>
    </w:p>
    <w:p>
      <w:r>
        <w:t>Eleven, and they divide cleanly by how they hid. The runtime four were hidden by test fixtures supplying the state the runtime was failing to produce. The frontend seven were hidden by there being no data: a schema nothing parses, a colour nothing paints, and a cache updater nothing calls cannot be wrong until something exercises them.</w:t>
      </w:r>
    </w:p>
    <w:p>
      <w:pPr>
        <w:pStyle w:val="Heading2"/>
      </w:pPr>
      <w:r>
        <w:t>3.1 Runtime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t>ID</w:t>
            </w:r>
          </w:p>
        </w:tc>
        <w:tc>
          <w:tcPr>
            <w:tcW w:type="dxa" w:w="2880"/>
          </w:tcPr>
          <w:p>
            <w:pPr>
              <w:spacing w:after="40"/>
            </w:pPr>
            <w:r>
              <w:rPr>
                <w:b/>
                <w:sz w:val="18"/>
              </w:rPr>
              <w:t>Defect</w:t>
            </w:r>
          </w:p>
        </w:tc>
        <w:tc>
          <w:tcPr>
            <w:tcW w:type="dxa" w:w="2880"/>
          </w:tcPr>
          <w:p>
            <w:pPr>
              <w:spacing w:after="40"/>
            </w:pPr>
            <w:r>
              <w:rPr>
                <w:b/>
                <w:sz w:val="18"/>
              </w:rPr>
              <w:t>Consequence</w:t>
            </w:r>
          </w:p>
        </w:tc>
      </w:tr>
      <w:tr>
        <w:tc>
          <w:tcPr>
            <w:tcW w:type="dxa" w:w="2880"/>
          </w:tcPr>
          <w:p>
            <w:pPr>
              <w:spacing w:after="40"/>
            </w:pPr>
            <w:r>
              <w:rPr>
                <w:sz w:val="18"/>
              </w:rPr>
              <w:t>R13</w:t>
            </w:r>
          </w:p>
        </w:tc>
        <w:tc>
          <w:tcPr>
            <w:tcW w:type="dxa" w:w="2880"/>
          </w:tcPr>
          <w:p>
            <w:pPr>
              <w:spacing w:after="40"/>
            </w:pPr>
            <w:r>
              <w:rPr>
                <w:sz w:val="18"/>
              </w:rPr>
              <w:t>PRIMITIVE_INVOKED had rows only from TUTORIAL, but the palette is on the classroom.</w:t>
            </w:r>
          </w:p>
        </w:tc>
        <w:tc>
          <w:tcPr>
            <w:tcW w:type="dxa" w:w="2880"/>
          </w:tcPr>
          <w:p>
            <w:pPr>
              <w:spacing w:after="40"/>
            </w:pPr>
            <w:r>
              <w:rPr>
                <w:sz w:val="18"/>
              </w:rPr>
              <w:t>Load-bearing. From a lecture the chunk said LAB and the machine stayed put. The learner's next message routed to the Tutor instead of the Evaluator. Nothing errored — two components each correct on their own reading of the state.</w:t>
            </w:r>
          </w:p>
        </w:tc>
      </w:tr>
      <w:tr>
        <w:tc>
          <w:tcPr>
            <w:tcW w:type="dxa" w:w="2880"/>
          </w:tcPr>
          <w:p>
            <w:pPr>
              <w:spacing w:after="40"/>
            </w:pPr>
            <w:r>
              <w:rPr>
                <w:sz w:val="18"/>
              </w:rPr>
              <w:t>R14</w:t>
            </w:r>
          </w:p>
        </w:tc>
        <w:tc>
          <w:tcPr>
            <w:tcW w:type="dxa" w:w="2880"/>
          </w:tcPr>
          <w:p>
            <w:pPr>
              <w:spacing w:after="40"/>
            </w:pPr>
            <w:r>
              <w:rPr>
                <w:sz w:val="18"/>
              </w:rPr>
              <w:t>Nothing in production ever fired context_ready.</w:t>
            </w:r>
          </w:p>
        </w:tc>
        <w:tc>
          <w:tcPr>
            <w:tcW w:type="dxa" w:w="2880"/>
          </w:tcPr>
          <w:p>
            <w:pPr>
              <w:spacing w:after="40"/>
            </w:pPr>
            <w:r>
              <w:rPr>
                <w:sz w:val="18"/>
              </w:rPr>
              <w:t>Load-bearing. No real session left OPENING. Interrupts were refused for the whole session; no primitive could move anything; and because _handle_conversational falls through to the Tutor for unnamed states, a lecture session never called the Lecturer — no segment, no artifact, nothing for §10 to resolve. F3 was closed and would still have had nothing to show.</w:t>
            </w:r>
          </w:p>
        </w:tc>
      </w:tr>
      <w:tr>
        <w:tc>
          <w:tcPr>
            <w:tcW w:type="dxa" w:w="2880"/>
          </w:tcPr>
          <w:p>
            <w:pPr>
              <w:spacing w:after="40"/>
            </w:pPr>
            <w:r>
              <w:rPr>
                <w:sz w:val="18"/>
              </w:rPr>
              <w:t>R15</w:t>
            </w:r>
          </w:p>
        </w:tc>
        <w:tc>
          <w:tcPr>
            <w:tcW w:type="dxa" w:w="2880"/>
          </w:tcPr>
          <w:p>
            <w:pPr>
              <w:spacing w:after="40"/>
            </w:pPr>
            <w:r>
              <w:rPr>
                <w:sz w:val="18"/>
              </w:rPr>
              <w:t>A resumed session reported the requested mode, not its own.</w:t>
            </w:r>
          </w:p>
        </w:tc>
        <w:tc>
          <w:tcPr>
            <w:tcW w:type="dxa" w:w="2880"/>
          </w:tcPr>
          <w:p>
            <w:pPr>
              <w:spacing w:after="40"/>
            </w:pPr>
            <w:r>
              <w:rPr>
                <w:sz w:val="18"/>
              </w:rPr>
              <w:t>§20 allows one active session per learner, so opening a second returns the first. A learner asking for a lecture silently got an old tutorial, and every turn disagreed about which agent should serve it.</w:t>
            </w:r>
          </w:p>
        </w:tc>
      </w:tr>
      <w:tr>
        <w:tc>
          <w:tcPr>
            <w:tcW w:type="dxa" w:w="2880"/>
          </w:tcPr>
          <w:p>
            <w:pPr>
              <w:spacing w:after="40"/>
            </w:pPr>
            <w:r>
              <w:rPr>
                <w:sz w:val="18"/>
              </w:rPr>
              <w:t>R16</w:t>
            </w:r>
          </w:p>
        </w:tc>
        <w:tc>
          <w:tcPr>
            <w:tcW w:type="dxa" w:w="2880"/>
          </w:tcPr>
          <w:p>
            <w:pPr>
              <w:spacing w:after="40"/>
            </w:pPr>
            <w:r>
              <w:rPr>
                <w:sz w:val="18"/>
              </w:rPr>
              <w:t>A client had no way to declare an intent it already knew.</w:t>
            </w:r>
          </w:p>
        </w:tc>
        <w:tc>
          <w:tcPr>
            <w:tcW w:type="dxa" w:w="2880"/>
          </w:tcPr>
          <w:p>
            <w:pPr>
              <w:spacing w:after="40"/>
            </w:pPr>
            <w:r>
              <w:rPr>
                <w:sz w:val="18"/>
              </w:rPr>
              <w:t>The bench's Submit is an answer whatever words are in the box, and “It reduces to the identity.” classifies as a comment — which in LAB routes to the Tutor and is never graded. LearnerInput.intent existed; TurnRequest had no field for it.</w:t>
            </w:r>
          </w:p>
        </w:tc>
      </w:tr>
    </w:tbl>
    <w:p/>
    <w:p>
      <w:pPr>
        <w:pStyle w:val="Heading2"/>
      </w:pPr>
      <w:r>
        <w:t>3.2 Frontend</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t>ID</w:t>
            </w:r>
          </w:p>
        </w:tc>
        <w:tc>
          <w:tcPr>
            <w:tcW w:type="dxa" w:w="2880"/>
          </w:tcPr>
          <w:p>
            <w:pPr>
              <w:spacing w:after="40"/>
            </w:pPr>
            <w:r>
              <w:rPr>
                <w:b/>
                <w:sz w:val="18"/>
              </w:rPr>
              <w:t>Defect</w:t>
            </w:r>
          </w:p>
        </w:tc>
        <w:tc>
          <w:tcPr>
            <w:tcW w:type="dxa" w:w="2880"/>
          </w:tcPr>
          <w:p>
            <w:pPr>
              <w:spacing w:after="40"/>
            </w:pPr>
            <w:r>
              <w:rPr>
                <w:b/>
                <w:sz w:val="18"/>
              </w:rPr>
              <w:t>Consequence</w:t>
            </w:r>
          </w:p>
        </w:tc>
      </w:tr>
      <w:tr>
        <w:tc>
          <w:tcPr>
            <w:tcW w:type="dxa" w:w="2880"/>
          </w:tcPr>
          <w:p>
            <w:pPr>
              <w:spacing w:after="40"/>
            </w:pPr>
            <w:r>
              <w:rPr>
                <w:sz w:val="18"/>
              </w:rPr>
              <w:t>F16</w:t>
            </w:r>
          </w:p>
        </w:tc>
        <w:tc>
          <w:tcPr>
            <w:tcW w:type="dxa" w:w="2880"/>
          </w:tcPr>
          <w:p>
            <w:pPr>
              <w:spacing w:after="40"/>
            </w:pPr>
            <w:r>
              <w:rPr>
                <w:sz w:val="18"/>
              </w:rPr>
              <w:t>Two specs disagree about the Tracker's hypothesis.</w:t>
            </w:r>
          </w:p>
        </w:tc>
        <w:tc>
          <w:tcPr>
            <w:tcW w:type="dxa" w:w="2880"/>
          </w:tcPr>
          <w:p>
            <w:pPr>
              <w:spacing w:after="40"/>
            </w:pPr>
            <w:r>
              <w:rPr>
                <w:sz w:val="18"/>
              </w:rPr>
              <w:t>Data layer §11 says never serialise it; frontend §6.4 asks for it with framing. Resolved in favour of the projection that already shipped, as one constant with both specs quoted above it. Not this build's call to overturn.</w:t>
            </w:r>
          </w:p>
        </w:tc>
      </w:tr>
      <w:tr>
        <w:tc>
          <w:tcPr>
            <w:tcW w:type="dxa" w:w="2880"/>
          </w:tcPr>
          <w:p>
            <w:pPr>
              <w:spacing w:after="40"/>
            </w:pPr>
            <w:r>
              <w:rPr>
                <w:sz w:val="18"/>
              </w:rPr>
              <w:t>F17</w:t>
            </w:r>
          </w:p>
        </w:tc>
        <w:tc>
          <w:tcPr>
            <w:tcW w:type="dxa" w:w="2880"/>
          </w:tcPr>
          <w:p>
            <w:pPr>
              <w:spacing w:after="40"/>
            </w:pPr>
            <w:r>
              <w:rPr>
                <w:sz w:val="18"/>
              </w:rPr>
              <w:t>journal_event_kind has eight values; the schema had six, and one of the six was wrong.</w:t>
            </w:r>
          </w:p>
        </w:tc>
        <w:tc>
          <w:tcPr>
            <w:tcW w:type="dxa" w:w="2880"/>
          </w:tcPr>
          <w:p>
            <w:pPr>
              <w:spacing w:after="40"/>
            </w:pPr>
            <w:r>
              <w:rPr>
                <w:sz w:val="18"/>
              </w:rPr>
              <w:t>A schema mismatch is a hard boundary failure by design. The first revised hypothesis on any entry would have taken the whole detail view down. Two of the three missing values are written by code this build added.</w:t>
            </w:r>
          </w:p>
        </w:tc>
      </w:tr>
      <w:tr>
        <w:tc>
          <w:tcPr>
            <w:tcW w:type="dxa" w:w="2880"/>
          </w:tcPr>
          <w:p>
            <w:pPr>
              <w:spacing w:after="40"/>
            </w:pPr>
            <w:r>
              <w:rPr>
                <w:sz w:val="18"/>
              </w:rPr>
              <w:t>F18</w:t>
            </w:r>
          </w:p>
        </w:tc>
        <w:tc>
          <w:tcPr>
            <w:tcW w:type="dxa" w:w="2880"/>
          </w:tcPr>
          <w:p>
            <w:pPr>
              <w:spacing w:after="40"/>
            </w:pPr>
            <w:r>
              <w:rPr>
                <w:sz w:val="18"/>
              </w:rPr>
              <w:t>The desk would have rendered the raw BKT posterior.</w:t>
            </w:r>
          </w:p>
        </w:tc>
        <w:tc>
          <w:tcPr>
            <w:tcW w:type="dxa" w:w="2880"/>
          </w:tcPr>
          <w:p>
            <w:pPr>
              <w:spacing w:after="40"/>
            </w:pPr>
            <w:r>
              <w:rPr>
                <w:sz w:val="18"/>
              </w:rPr>
              <w:t>Every other consumer reads the decayed value. The desk would have shown 0.9 on a concept the system had already decided to revisit.</w:t>
            </w:r>
          </w:p>
        </w:tc>
      </w:tr>
      <w:tr>
        <w:tc>
          <w:tcPr>
            <w:tcW w:type="dxa" w:w="2880"/>
          </w:tcPr>
          <w:p>
            <w:pPr>
              <w:spacing w:after="40"/>
            </w:pPr>
            <w:r>
              <w:rPr>
                <w:sz w:val="18"/>
              </w:rPr>
              <w:t>F19</w:t>
            </w:r>
          </w:p>
        </w:tc>
        <w:tc>
          <w:tcPr>
            <w:tcW w:type="dxa" w:w="2880"/>
          </w:tcPr>
          <w:p>
            <w:pPr>
              <w:spacing w:after="40"/>
            </w:pPr>
            <w:r>
              <w:rPr>
                <w:sz w:val="18"/>
              </w:rPr>
              <w:t>The optimistic resolve crashed on the surface it is used from.</w:t>
            </w:r>
          </w:p>
        </w:tc>
        <w:tc>
          <w:tcPr>
            <w:tcW w:type="dxa" w:w="2880"/>
          </w:tcPr>
          <w:p>
            <w:pPr>
              <w:spacing w:after="40"/>
            </w:pPr>
            <w:r>
              <w:rPr>
                <w:sz w:val="18"/>
              </w:rPr>
              <w:t>It matched queryKey ['journal'] and mapped over whatever it found — correct for the lists, and a TypeError on the detail object. Its unit tests exercised list data only. This is exactly what F4 warned about; the warning did not prevent it, and the Tier 2 case that could not run would have.</w:t>
            </w:r>
          </w:p>
        </w:tc>
      </w:tr>
      <w:tr>
        <w:tc>
          <w:tcPr>
            <w:tcW w:type="dxa" w:w="2880"/>
          </w:tcPr>
          <w:p>
            <w:pPr>
              <w:spacing w:after="40"/>
            </w:pPr>
            <w:r>
              <w:rPr>
                <w:sz w:val="18"/>
              </w:rPr>
              <w:t>F20</w:t>
            </w:r>
          </w:p>
        </w:tc>
        <w:tc>
          <w:tcPr>
            <w:tcW w:type="dxa" w:w="2880"/>
          </w:tcPr>
          <w:p>
            <w:pPr>
              <w:spacing w:after="40"/>
            </w:pPr>
            <w:r>
              <w:rPr>
                <w:sz w:val="18"/>
              </w:rPr>
              <w:t>Two more status colours fail §13.1 as text.</w:t>
            </w:r>
          </w:p>
        </w:tc>
        <w:tc>
          <w:tcPr>
            <w:tcW w:type="dxa" w:w="2880"/>
          </w:tcPr>
          <w:p>
            <w:pPr>
              <w:spacing w:after="40"/>
            </w:pPr>
            <w:r>
              <w:rPr>
                <w:sz w:val="18"/>
              </w:rPr>
              <w:t>F8's problem twice more: correct at 4.08:1 and attention at 3.60:1, both used as words. The Tier 2 contrast pass had been green since the frontend shipped because the desk and journal had no rows and therefore no pills.</w:t>
            </w:r>
          </w:p>
        </w:tc>
      </w:tr>
      <w:tr>
        <w:tc>
          <w:tcPr>
            <w:tcW w:type="dxa" w:w="2880"/>
          </w:tcPr>
          <w:p>
            <w:pPr>
              <w:spacing w:after="40"/>
            </w:pPr>
            <w:r>
              <w:rPr>
                <w:sz w:val="18"/>
              </w:rPr>
              <w:t>F21</w:t>
            </w:r>
          </w:p>
        </w:tc>
        <w:tc>
          <w:tcPr>
            <w:tcW w:type="dxa" w:w="2880"/>
          </w:tcPr>
          <w:p>
            <w:pPr>
              <w:spacing w:after="40"/>
            </w:pPr>
            <w:r>
              <w:rPr>
                <w:sz w:val="18"/>
              </w:rPr>
              <w:t>The classroom relied on classification where the words carry no signal.</w:t>
            </w:r>
          </w:p>
        </w:tc>
        <w:tc>
          <w:tcPr>
            <w:tcW w:type="dxa" w:w="2880"/>
          </w:tcPr>
          <w:p>
            <w:pPr>
              <w:spacing w:after="40"/>
            </w:pPr>
            <w:r>
              <w:rPr>
                <w:sz w:val="18"/>
              </w:rPr>
              <w:t>The bench's Submit and all three lecture-advancing calls. The second is why no lecture ever reached the Lecturer from the UI even after R14.</w:t>
            </w:r>
          </w:p>
        </w:tc>
      </w:tr>
      <w:tr>
        <w:tc>
          <w:tcPr>
            <w:tcW w:type="dxa" w:w="2880"/>
          </w:tcPr>
          <w:p>
            <w:pPr>
              <w:spacing w:after="40"/>
            </w:pPr>
            <w:r>
              <w:rPr>
                <w:sz w:val="18"/>
              </w:rPr>
              <w:t>F22</w:t>
            </w:r>
          </w:p>
        </w:tc>
        <w:tc>
          <w:tcPr>
            <w:tcW w:type="dxa" w:w="2880"/>
          </w:tcPr>
          <w:p>
            <w:pPr>
              <w:spacing w:after="40"/>
            </w:pPr>
            <w:r>
              <w:rPr>
                <w:sz w:val="18"/>
              </w:rPr>
              <w:t>Session start navigated with the mode it asked for.</w:t>
            </w:r>
          </w:p>
        </w:tc>
        <w:tc>
          <w:tcPr>
            <w:tcW w:type="dxa" w:w="2880"/>
          </w:tcPr>
          <w:p>
            <w:pPr>
              <w:spacing w:after="40"/>
            </w:pPr>
            <w:r>
              <w:rPr>
                <w:sz w:val="18"/>
              </w:rPr>
              <w:t>The counterpart to R15, on the client side.</w:t>
            </w:r>
          </w:p>
        </w:tc>
      </w:tr>
    </w:tbl>
    <w:p/>
    <w:p>
      <w:pPr>
        <w:pStyle w:val="Heading1"/>
      </w:pPr>
      <w:r>
        <w:t>4. Verification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t>Tier</w:t>
            </w:r>
          </w:p>
        </w:tc>
        <w:tc>
          <w:tcPr>
            <w:tcW w:type="dxa" w:w="2160"/>
          </w:tcPr>
          <w:p>
            <w:pPr>
              <w:spacing w:after="40"/>
            </w:pPr>
            <w:r>
              <w:rPr>
                <w:b/>
                <w:sz w:val="18"/>
              </w:rPr>
              <w:t>Requires</w:t>
            </w:r>
          </w:p>
        </w:tc>
        <w:tc>
          <w:tcPr>
            <w:tcW w:type="dxa" w:w="2160"/>
          </w:tcPr>
          <w:p>
            <w:pPr>
              <w:spacing w:after="40"/>
            </w:pPr>
            <w:r>
              <w:rPr>
                <w:b/>
                <w:sz w:val="18"/>
              </w:rPr>
              <w:t>Tests</w:t>
            </w:r>
          </w:p>
        </w:tc>
        <w:tc>
          <w:tcPr>
            <w:tcW w:type="dxa" w:w="2160"/>
          </w:tcPr>
          <w:p>
            <w:pPr>
              <w:spacing w:after="40"/>
            </w:pPr>
            <w:r>
              <w:rPr>
                <w:b/>
                <w:sz w:val="18"/>
              </w:rPr>
              <w:t>Result</w:t>
            </w:r>
          </w:p>
        </w:tc>
      </w:tr>
      <w:tr>
        <w:tc>
          <w:tcPr>
            <w:tcW w:type="dxa" w:w="2160"/>
          </w:tcPr>
          <w:p>
            <w:pPr>
              <w:spacing w:after="40"/>
            </w:pPr>
            <w:r>
              <w:rPr>
                <w:sz w:val="18"/>
              </w:rPr>
              <w:t>Tier 1 — backend</w:t>
            </w:r>
          </w:p>
        </w:tc>
        <w:tc>
          <w:tcPr>
            <w:tcW w:type="dxa" w:w="2160"/>
          </w:tcPr>
          <w:p>
            <w:pPr>
              <w:spacing w:after="40"/>
            </w:pPr>
            <w:r>
              <w:rPr>
                <w:sz w:val="18"/>
              </w:rPr>
              <w:t>Nothing</w:t>
            </w:r>
          </w:p>
        </w:tc>
        <w:tc>
          <w:tcPr>
            <w:tcW w:type="dxa" w:w="2160"/>
          </w:tcPr>
          <w:p>
            <w:pPr>
              <w:spacing w:after="40"/>
            </w:pPr>
            <w:r>
              <w:rPr>
                <w:sz w:val="18"/>
              </w:rPr>
              <w:t>1,068 (1,030 at HEAD)</w:t>
            </w:r>
          </w:p>
        </w:tc>
        <w:tc>
          <w:tcPr>
            <w:tcW w:type="dxa" w:w="2160"/>
          </w:tcPr>
          <w:p>
            <w:pPr>
              <w:spacing w:after="40"/>
            </w:pPr>
            <w:r>
              <w:rPr>
                <w:sz w:val="18"/>
              </w:rPr>
              <w:t>Pass (6 skipped). +38, covering the end-chunk ordering, the answer-key split, the OPENING transition, primitive routing from three states, and the declared-intent contract.</w:t>
            </w:r>
          </w:p>
        </w:tc>
      </w:tr>
      <w:tr>
        <w:tc>
          <w:tcPr>
            <w:tcW w:type="dxa" w:w="2160"/>
          </w:tcPr>
          <w:p>
            <w:pPr>
              <w:spacing w:after="40"/>
            </w:pPr>
            <w:r>
              <w:rPr>
                <w:sz w:val="18"/>
              </w:rPr>
              <w:t>Tier 1 — frontend</w:t>
            </w:r>
          </w:p>
        </w:tc>
        <w:tc>
          <w:tcPr>
            <w:tcW w:type="dxa" w:w="2160"/>
          </w:tcPr>
          <w:p>
            <w:pPr>
              <w:spacing w:after="40"/>
            </w:pPr>
            <w:r>
              <w:rPr>
                <w:sz w:val="18"/>
              </w:rPr>
              <w:t>Nothing</w:t>
            </w:r>
          </w:p>
        </w:tc>
        <w:tc>
          <w:tcPr>
            <w:tcW w:type="dxa" w:w="2160"/>
          </w:tcPr>
          <w:p>
            <w:pPr>
              <w:spacing w:after="40"/>
            </w:pPr>
            <w:r>
              <w:rPr>
                <w:sz w:val="18"/>
              </w:rPr>
              <w:t>222 (194 at HEAD)</w:t>
            </w:r>
          </w:p>
        </w:tc>
        <w:tc>
          <w:tcPr>
            <w:tcW w:type="dxa" w:w="2160"/>
          </w:tcPr>
          <w:p>
            <w:pPr>
              <w:spacing w:after="40"/>
            </w:pPr>
            <w:r>
              <w:rPr>
                <w:sz w:val="18"/>
              </w:rPr>
              <w:t>Pass. +28, covering the lab-problem lifecycle in the store, the read-surface schemas and the bench.</w:t>
            </w:r>
          </w:p>
        </w:tc>
      </w:tr>
      <w:tr>
        <w:tc>
          <w:tcPr>
            <w:tcW w:type="dxa" w:w="2160"/>
          </w:tcPr>
          <w:p>
            <w:pPr>
              <w:spacing w:after="40"/>
            </w:pPr>
            <w:r>
              <w:rPr>
                <w:sz w:val="18"/>
              </w:rPr>
              <w:t>Tier 2 — backend</w:t>
            </w:r>
          </w:p>
        </w:tc>
        <w:tc>
          <w:tcPr>
            <w:tcW w:type="dxa" w:w="2160"/>
          </w:tcPr>
          <w:p>
            <w:pPr>
              <w:spacing w:after="40"/>
            </w:pPr>
            <w:r>
              <w:rPr>
                <w:sz w:val="18"/>
              </w:rPr>
              <w:t>Postgres</w:t>
            </w:r>
          </w:p>
        </w:tc>
        <w:tc>
          <w:tcPr>
            <w:tcW w:type="dxa" w:w="2160"/>
          </w:tcPr>
          <w:p>
            <w:pPr>
              <w:spacing w:after="40"/>
            </w:pPr>
            <w:r>
              <w:rPr>
                <w:sz w:val="18"/>
              </w:rPr>
              <w:t>1,179</w:t>
            </w:r>
          </w:p>
        </w:tc>
        <w:tc>
          <w:tcPr>
            <w:tcW w:type="dxa" w:w="2160"/>
          </w:tcPr>
          <w:p>
            <w:pPr>
              <w:spacing w:after="40"/>
            </w:pPr>
            <w:r>
              <w:rPr>
                <w:sz w:val="18"/>
              </w:rPr>
              <w:t>Pass (4 skipped). +32 for the read surface, +1 for the artifact link.</w:t>
            </w:r>
          </w:p>
        </w:tc>
      </w:tr>
      <w:tr>
        <w:tc>
          <w:tcPr>
            <w:tcW w:type="dxa" w:w="2160"/>
          </w:tcPr>
          <w:p>
            <w:pPr>
              <w:spacing w:after="40"/>
            </w:pPr>
            <w:r>
              <w:rPr>
                <w:sz w:val="18"/>
              </w:rPr>
              <w:t>Tier 2 — frontend</w:t>
            </w:r>
          </w:p>
        </w:tc>
        <w:tc>
          <w:tcPr>
            <w:tcW w:type="dxa" w:w="2160"/>
          </w:tcPr>
          <w:p>
            <w:pPr>
              <w:spacing w:after="40"/>
            </w:pPr>
            <w:r>
              <w:rPr>
                <w:sz w:val="18"/>
              </w:rPr>
              <w:t>Chromium + Next build</w:t>
            </w:r>
          </w:p>
        </w:tc>
        <w:tc>
          <w:tcPr>
            <w:tcW w:type="dxa" w:w="2160"/>
          </w:tcPr>
          <w:p>
            <w:pPr>
              <w:spacing w:after="40"/>
            </w:pPr>
            <w:r>
              <w:rPr>
                <w:sz w:val="18"/>
              </w:rPr>
              <w:t>43</w:t>
            </w:r>
          </w:p>
        </w:tc>
        <w:tc>
          <w:tcPr>
            <w:tcW w:type="dxa" w:w="2160"/>
          </w:tcPr>
          <w:p>
            <w:pPr>
              <w:spacing w:after="40"/>
            </w:pPr>
            <w:r>
              <w:rPr>
                <w:sz w:val="18"/>
              </w:rPr>
              <w:t>Pass. +15 new. Includes §17's journal CRUD case, which could not run before.</w:t>
            </w:r>
          </w:p>
        </w:tc>
      </w:tr>
      <w:tr>
        <w:tc>
          <w:tcPr>
            <w:tcW w:type="dxa" w:w="2160"/>
          </w:tcPr>
          <w:p>
            <w:pPr>
              <w:spacing w:after="40"/>
            </w:pPr>
            <w:r>
              <w:rPr>
                <w:sz w:val="18"/>
              </w:rPr>
              <w:t>Tier 3 — backend (paid)</w:t>
            </w:r>
          </w:p>
        </w:tc>
        <w:tc>
          <w:tcPr>
            <w:tcW w:type="dxa" w:w="2160"/>
          </w:tcPr>
          <w:p>
            <w:pPr>
              <w:spacing w:after="40"/>
            </w:pPr>
            <w:r>
              <w:rPr>
                <w:sz w:val="18"/>
              </w:rPr>
              <w:t>Anthropic + Postgres</w:t>
            </w:r>
          </w:p>
        </w:tc>
        <w:tc>
          <w:tcPr>
            <w:tcW w:type="dxa" w:w="2160"/>
          </w:tcPr>
          <w:p>
            <w:pPr>
              <w:spacing w:after="40"/>
            </w:pPr>
            <w:r>
              <w:rPr>
                <w:sz w:val="18"/>
              </w:rPr>
              <w:t>7</w:t>
            </w:r>
          </w:p>
        </w:tc>
        <w:tc>
          <w:tcPr>
            <w:tcW w:type="dxa" w:w="2160"/>
          </w:tcPr>
          <w:p>
            <w:pPr>
              <w:spacing w:after="40"/>
            </w:pPr>
            <w:r>
              <w:rPr>
                <w:sz w:val="18"/>
              </w:rPr>
              <w:t>Pass. 4 new provenance tests, 3 pre-existing.</w:t>
            </w:r>
          </w:p>
        </w:tc>
      </w:tr>
      <w:tr>
        <w:tc>
          <w:tcPr>
            <w:tcW w:type="dxa" w:w="2160"/>
          </w:tcPr>
          <w:p>
            <w:pPr>
              <w:spacing w:after="40"/>
            </w:pPr>
            <w:r>
              <w:rPr>
                <w:sz w:val="18"/>
              </w:rPr>
              <w:t>Tier 3 — frontend (paid)</w:t>
            </w:r>
          </w:p>
        </w:tc>
        <w:tc>
          <w:tcPr>
            <w:tcW w:type="dxa" w:w="2160"/>
          </w:tcPr>
          <w:p>
            <w:pPr>
              <w:spacing w:after="40"/>
            </w:pPr>
            <w:r>
              <w:rPr>
                <w:sz w:val="18"/>
              </w:rPr>
              <w:t>Full real stack</w:t>
            </w:r>
          </w:p>
        </w:tc>
        <w:tc>
          <w:tcPr>
            <w:tcW w:type="dxa" w:w="2160"/>
          </w:tcPr>
          <w:p>
            <w:pPr>
              <w:spacing w:after="40"/>
            </w:pPr>
            <w:r>
              <w:rPr>
                <w:sz w:val="18"/>
              </w:rPr>
              <w:t>5 of 8</w:t>
            </w:r>
          </w:p>
        </w:tc>
        <w:tc>
          <w:tcPr>
            <w:tcW w:type="dxa" w:w="2160"/>
          </w:tcPr>
          <w:p>
            <w:pPr>
              <w:spacing w:after="40"/>
            </w:pPr>
            <w:r>
              <w:rPr>
                <w:sz w:val="18"/>
              </w:rPr>
              <w:t>Pass. Bench routing and grading, the answer key on the wire, the desk, a journal entry persisting and reloading, a real Lecturer segment. The remaining three are noted in §6.</w:t>
            </w:r>
          </w:p>
        </w:tc>
      </w:tr>
      <w:tr>
        <w:tc>
          <w:tcPr>
            <w:tcW w:type="dxa" w:w="2160"/>
          </w:tcPr>
          <w:p>
            <w:pPr>
              <w:spacing w:after="40"/>
            </w:pPr>
            <w:r>
              <w:rPr>
                <w:sz w:val="18"/>
              </w:rPr>
              <w:t>Tier 3 — retrieval (paid)</w:t>
            </w:r>
          </w:p>
        </w:tc>
        <w:tc>
          <w:tcPr>
            <w:tcW w:type="dxa" w:w="2160"/>
          </w:tcPr>
          <w:p>
            <w:pPr>
              <w:spacing w:after="40"/>
            </w:pPr>
            <w:r>
              <w:rPr>
                <w:sz w:val="18"/>
              </w:rPr>
              <w:t>Voyage</w:t>
            </w:r>
          </w:p>
        </w:tc>
        <w:tc>
          <w:tcPr>
            <w:tcW w:type="dxa" w:w="2160"/>
          </w:tcPr>
          <w:p>
            <w:pPr>
              <w:spacing w:after="40"/>
            </w:pPr>
            <w:r>
              <w:rPr>
                <w:sz w:val="18"/>
              </w:rPr>
              <w:t>7</w:t>
            </w:r>
          </w:p>
        </w:tc>
        <w:tc>
          <w:tcPr>
            <w:tcW w:type="dxa" w:w="2160"/>
          </w:tcPr>
          <w:p>
            <w:pPr>
              <w:spacing w:after="40"/>
            </w:pPr>
            <w:r>
              <w:rPr>
                <w:sz w:val="18"/>
              </w:rPr>
              <w:t>Skipped. Voyage is not provisioned; unchanged since the retrieval build.</w:t>
            </w:r>
          </w:p>
        </w:tc>
      </w:tr>
    </w:tbl>
    <w:p/>
    <w:p>
      <w:r>
        <w:t>Two defects were found by tests written for this build rather than by reading. The read surface's search parameter was accepted by the route and never passed to the query — the filter silently did nothing. And a date filter carrying an unencoded “+00:00” arrived as a space and was rejected as malformed, which would have blamed the learner for their client's encoding.</w:t>
      </w:r>
    </w:p>
    <w:p>
      <w:pPr>
        <w:pStyle w:val="Heading1"/>
      </w:pPr>
      <w:r>
        <w:t>5. Spec drift</w:t>
      </w:r>
    </w:p>
    <w:p>
      <w:r>
        <w:t>Two entries, one closed and one opened.</w:t>
      </w:r>
    </w:p>
    <w:p>
      <w:r>
        <w:t>SD5 is closed, with a correction: it predicted the fix as one field and the fix is an ordering guarantee. The entry now records that, because the next person to add something to an end chunk needs to know the chunk waits on a transaction.</w:t>
      </w:r>
    </w:p>
    <w:p>
      <w:r>
        <w:t>SD6 is opened: §7's transition table is not the runtime's transition table. Three of eleven declared events are never fired by production code — measured, not assumed. segment_complete (sequencing is client-driven), question_resolved and escalate. The second means a session never leaves PAUSED_FOR_QUESTION, so after any interrupt every later turn routes to the Tutor's interruption response, including the one behind “Continue lecture”. That is R14's shape again and should be treated as such.</w:t>
      </w:r>
    </w:p>
    <w:p>
      <w:r>
        <w:t>The root cause is that §7 defines events and rows without naming who fires them, and §16 describes the work in prose without naming the transitions it performs. A row whose trigger is unstated reads as implemented, because the row is there. §7 needs a fourth column.</w:t>
      </w:r>
    </w:p>
    <w:p>
      <w:pPr>
        <w:pStyle w:val="Heading1"/>
      </w:pPr>
      <w:r>
        <w:t>6. What is not verified</w:t>
      </w:r>
    </w:p>
    <w:p>
      <w:pPr>
        <w:pStyle w:val="ListBullet"/>
      </w:pPr>
      <w:r>
        <w:t>A populated citation hover card against a real corpus. The id resolves and the query path is verified; whether a card has content depends on curation this database does not have. Gated on Voyage or on subsystem 5.</w:t>
      </w:r>
    </w:p>
    <w:p>
      <w:pPr>
        <w:pStyle w:val="ListBullet"/>
      </w:pPr>
      <w:r>
        <w:t>question_resolved and escalate, described in §5. Found by inventory, not fixed: they are outside what closing these three items required, and guessing at a transition's trigger is what produced R14 in the first place.</w:t>
      </w:r>
    </w:p>
    <w:p>
      <w:pPr>
        <w:pStyle w:val="ListBullet"/>
      </w:pPr>
      <w:r>
        <w:t>Three Tier 3 frontend cases — the citation card, the explain_differently stance change, and the real interrupt round trip. The last of these would exercise question_resolved and is expected to fail until that is fixed.</w:t>
      </w:r>
    </w:p>
    <w:p>
      <w:pPr>
        <w:pStyle w:val="ListBullet"/>
      </w:pPr>
      <w:r>
        <w:t>The Curator's next_topic can return a concept id that does not exist; close_session catches the foreign-key violation and reports it in its errors list, which is the fault tolerance §16 asks for, but the invented id came from a path that is supposed to check unlock status. Observed once during a real close. Not investigated — outside this build's scope, and recorded here so it is not lost.</w:t>
      </w:r>
    </w:p>
    <w:p>
      <w:pPr>
        <w:pStyle w:val="ListBullet"/>
      </w:pPr>
      <w:r>
        <w:t>Nothing in this build was measured for performance. The end-chunk hold adds one database transaction after the prose has finished arriving; that is expected to be single-digit milliseconds at MVP scale and has not been measured.</w:t>
      </w:r>
    </w:p>
    <w:p>
      <w:pPr>
        <w:pStyle w:val="Heading1"/>
      </w:pPr>
      <w:r>
        <w:t>7. What to do next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t>Priority</w:t>
            </w:r>
          </w:p>
        </w:tc>
        <w:tc>
          <w:tcPr>
            <w:tcW w:type="dxa" w:w="2880"/>
          </w:tcPr>
          <w:p>
            <w:pPr>
              <w:spacing w:after="40"/>
            </w:pPr>
            <w:r>
              <w:rPr>
                <w:b/>
                <w:sz w:val="18"/>
              </w:rPr>
              <w:t>Item</w:t>
            </w:r>
          </w:p>
        </w:tc>
        <w:tc>
          <w:tcPr>
            <w:tcW w:type="dxa" w:w="2880"/>
          </w:tcPr>
          <w:p>
            <w:pPr>
              <w:spacing w:after="40"/>
            </w:pPr>
            <w:r>
              <w:rPr>
                <w:b/>
                <w:sz w:val="18"/>
              </w:rPr>
              <w:t>Why</w:t>
            </w:r>
          </w:p>
        </w:tc>
      </w:tr>
      <w:tr>
        <w:tc>
          <w:tcPr>
            <w:tcW w:type="dxa" w:w="2880"/>
          </w:tcPr>
          <w:p>
            <w:pPr>
              <w:spacing w:after="40"/>
            </w:pPr>
            <w:r>
              <w:rPr>
                <w:sz w:val="18"/>
              </w:rPr>
              <w:t>1</w:t>
            </w:r>
          </w:p>
        </w:tc>
        <w:tc>
          <w:tcPr>
            <w:tcW w:type="dxa" w:w="2880"/>
          </w:tcPr>
          <w:p>
            <w:pPr>
              <w:spacing w:after="40"/>
            </w:pPr>
            <w:r>
              <w:rPr>
                <w:sz w:val="18"/>
              </w:rPr>
              <w:t>Fire question_resolved.</w:t>
            </w:r>
          </w:p>
        </w:tc>
        <w:tc>
          <w:tcPr>
            <w:tcW w:type="dxa" w:w="2880"/>
          </w:tcPr>
          <w:p>
            <w:pPr>
              <w:spacing w:after="40"/>
            </w:pPr>
            <w:r>
              <w:rPr>
                <w:sz w:val="18"/>
              </w:rPr>
              <w:t>An interrupted lecture cannot resume as a lecture today. Same shape as R14, same severity, and a learner meets it every time they ask a question mid-lecture.</w:t>
            </w:r>
          </w:p>
        </w:tc>
      </w:tr>
      <w:tr>
        <w:tc>
          <w:tcPr>
            <w:tcW w:type="dxa" w:w="2880"/>
          </w:tcPr>
          <w:p>
            <w:pPr>
              <w:spacing w:after="40"/>
            </w:pPr>
            <w:r>
              <w:rPr>
                <w:sz w:val="18"/>
              </w:rPr>
              <w:t>2</w:t>
            </w:r>
          </w:p>
        </w:tc>
        <w:tc>
          <w:tcPr>
            <w:tcW w:type="dxa" w:w="2880"/>
          </w:tcPr>
          <w:p>
            <w:pPr>
              <w:spacing w:after="40"/>
            </w:pPr>
            <w:r>
              <w:rPr>
                <w:sz w:val="18"/>
              </w:rPr>
              <w:t>Give §7's table a “fired by” column.</w:t>
            </w:r>
          </w:p>
        </w:tc>
        <w:tc>
          <w:tcPr>
            <w:tcW w:type="dxa" w:w="2880"/>
          </w:tcPr>
          <w:p>
            <w:pPr>
              <w:spacing w:after="40"/>
            </w:pPr>
            <w:r>
              <w:rPr>
                <w:sz w:val="18"/>
              </w:rPr>
              <w:t>SD6. Three of eleven events have no caller and the spec cannot distinguish a gap from an intentional omission.</w:t>
            </w:r>
          </w:p>
        </w:tc>
      </w:tr>
      <w:tr>
        <w:tc>
          <w:tcPr>
            <w:tcW w:type="dxa" w:w="2880"/>
          </w:tcPr>
          <w:p>
            <w:pPr>
              <w:spacing w:after="40"/>
            </w:pPr>
            <w:r>
              <w:rPr>
                <w:sz w:val="18"/>
              </w:rPr>
              <w:t>3</w:t>
            </w:r>
          </w:p>
        </w:tc>
        <w:tc>
          <w:tcPr>
            <w:tcW w:type="dxa" w:w="2880"/>
          </w:tcPr>
          <w:p>
            <w:pPr>
              <w:spacing w:after="40"/>
            </w:pPr>
            <w:r>
              <w:rPr>
                <w:sz w:val="18"/>
              </w:rPr>
              <w:t>Decide F16 — is the hypothesis learner-visible?</w:t>
            </w:r>
          </w:p>
        </w:tc>
        <w:tc>
          <w:tcPr>
            <w:tcW w:type="dxa" w:w="2880"/>
          </w:tcPr>
          <w:p>
            <w:pPr>
              <w:spacing w:after="40"/>
            </w:pPr>
            <w:r>
              <w:rPr>
                <w:sz w:val="18"/>
              </w:rPr>
              <w:t>Two specs disagree and the code currently follows one of them. The UI for the other is built and dead.</w:t>
            </w:r>
          </w:p>
        </w:tc>
      </w:tr>
      <w:tr>
        <w:tc>
          <w:tcPr>
            <w:tcW w:type="dxa" w:w="2880"/>
          </w:tcPr>
          <w:p>
            <w:pPr>
              <w:spacing w:after="40"/>
            </w:pPr>
            <w:r>
              <w:rPr>
                <w:sz w:val="18"/>
              </w:rPr>
              <w:t>4</w:t>
            </w:r>
          </w:p>
        </w:tc>
        <w:tc>
          <w:tcPr>
            <w:tcW w:type="dxa" w:w="2880"/>
          </w:tcPr>
          <w:p>
            <w:pPr>
              <w:spacing w:after="40"/>
            </w:pPr>
            <w:r>
              <w:rPr>
                <w:sz w:val="18"/>
              </w:rPr>
              <w:t>Decide whether resuming a session silently is right.</w:t>
            </w:r>
          </w:p>
        </w:tc>
        <w:tc>
          <w:tcPr>
            <w:tcW w:type="dxa" w:w="2880"/>
          </w:tcPr>
          <w:p>
            <w:pPr>
              <w:spacing w:after="40"/>
            </w:pPr>
            <w:r>
              <w:rPr>
                <w:sz w:val="18"/>
              </w:rPr>
              <w:t>R15 makes the current behaviour honest. It does not settle whether a 409 and an explicit close would be better.</w:t>
            </w:r>
          </w:p>
        </w:tc>
      </w:tr>
      <w:tr>
        <w:tc>
          <w:tcPr>
            <w:tcW w:type="dxa" w:w="2880"/>
          </w:tcPr>
          <w:p>
            <w:pPr>
              <w:spacing w:after="40"/>
            </w:pPr>
            <w:r>
              <w:rPr>
                <w:sz w:val="18"/>
              </w:rPr>
              <w:t>5</w:t>
            </w:r>
          </w:p>
        </w:tc>
        <w:tc>
          <w:tcPr>
            <w:tcW w:type="dxa" w:w="2880"/>
          </w:tcPr>
          <w:p>
            <w:pPr>
              <w:spacing w:after="40"/>
            </w:pPr>
            <w:r>
              <w:rPr>
                <w:sz w:val="18"/>
              </w:rPr>
              <w:t>Run the full Tier 3 frontend suite once a corpus exists.</w:t>
            </w:r>
          </w:p>
        </w:tc>
        <w:tc>
          <w:tcPr>
            <w:tcW w:type="dxa" w:w="2880"/>
          </w:tcPr>
          <w:p>
            <w:pPr>
              <w:spacing w:after="40"/>
            </w:pPr>
            <w:r>
              <w:rPr>
                <w:sz w:val="18"/>
              </w:rPr>
              <w:t>The citation case is the last unverified claim in F3, and it is written and waiting.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