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Studium Content Authoring and Ingestion — Build Report</w:t>
      </w:r>
    </w:p>
    <w:p>
      <w:pPr>
        <w:jc w:val="left"/>
      </w:pPr>
      <w:r>
        <w:t>Subsystem 5 of 7  •  Specification v1.0  •  26 August 2026</w:t>
      </w:r>
    </w:p>
    <w:p>
      <w:pPr>
        <w:pStyle w:val="IntenseQuote"/>
      </w:pPr>
      <w:r>
        <w:t>The ingestion subsystem is built and runs. Six pipeline stages, three authoring workflows, a dedicated review queue that resolves S3, the provenance invariant with a test behind it, and a license workflow with no classifier in it. Two tiers were run; a third is written and unrun. The corpus measurement that §18 deferred has been done, and it found the most important defect in the build.</w:t>
      </w:r>
    </w:p>
    <w:p>
      <w:pPr>
        <w:pStyle w:val="Heading1"/>
      </w:pPr>
      <w:r>
        <w:t>1. What “verified” means in this report</w:t>
      </w:r>
    </w:p>
    <w:p>
      <w:r>
        <w:t>Three tiers, establishing different things. Naming which is which matters more here than usual, because the headline finding of this build is a defect that every offline signal reported as healthy.</w:t>
      </w:r>
    </w:p>
    <w:p>
      <w:pPr>
        <w:pStyle w:val="ListBullet"/>
      </w:pPr>
      <w:r>
        <w:t>Tier 1 (173 tests, offline) establishes that the pure logic is correct in isolation: normalisation and its adversarial cases, ligature coverage, YAML parsing and graph validation, the license refusals, the §13 provenance invariant, and the §7.4 measurement gate. It builds real PDFs with reportlab, so extraction runs for real — but against documents this repository generated.</w:t>
      </w:r>
    </w:p>
    <w:p>
      <w:pPr>
        <w:pStyle w:val="ListBullet"/>
      </w:pPr>
      <w:r>
        <w:t>Tier 2 (44 tests, real Postgres 16 + pgvector) establishes that the pipeline and the schema agree: constraints that fire, queue rows that land, transactions that hold, the publish gate that blocks. Embedding is stubbed.</w:t>
      </w:r>
    </w:p>
    <w:p>
      <w:pPr>
        <w:pStyle w:val="ListBullet"/>
      </w:pPr>
      <w:r>
        <w:t>Tier 3 (2 tests, real Voyage) is written and has not been run: it spends money. It is the only tier that can tell you whether the text ingestion produces is text retrieval can find.</w:t>
      </w:r>
    </w:p>
    <w:p>
      <w:pPr>
        <w:pStyle w:val="ListBullet"/>
      </w:pPr>
      <w:r>
        <w:t>Separately — and not a test tier — the §7.4 measurement harness was run against the 23 real PDFs in material/. This is what answers §18 open question 1, and it is where the build's most serious defect was found.</w:t>
      </w:r>
    </w:p>
    <w:p>
      <w:r>
        <w:t>So “verified” here means: exercised against a real database and a real PDF toolchain, plus one measurement pass over the actual corpus. It does not mean the ingestion-to-retrieval seam has been closed — that is Tier 3, and it has not been run.</w:t>
      </w:r>
    </w:p>
    <w:p>
      <w:pPr>
        <w:pStyle w:val="Heading1"/>
      </w:pPr>
      <w:r>
        <w:t>2. What was built</w:t>
      </w:r>
    </w:p>
    <w:p>
      <w:r>
        <w:t>About 9,160 lines: 5,146 across 12 source files in studium/ingestion, 1,933 of Tier 1 tests, 1,120 of Tier 2, 171 of Tier 3, 345 of PDF fixture builders, a 303-line migration, and a 143-line measurement script.</w:t>
      </w:r>
    </w:p>
    <w:p>
      <w:pPr>
        <w:pStyle w:val="Heading2"/>
      </w:pPr>
      <w:r>
        <w:t>2.1 The modules</w:t>
      </w:r>
    </w:p>
    <w:tbl>
      <w:tblPr>
        <w:tblStyle w:val="LightGrid-Accent1"/>
        <w:tblW w:type="auto" w:w="0"/>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What it owns</w:t>
            </w:r>
          </w:p>
        </w:tc>
      </w:tr>
      <w:tr>
        <w:tc>
          <w:tcPr>
            <w:tcW w:type="dxa" w:w="4320"/>
          </w:tcPr>
          <w:p>
            <w:r>
              <w:t>provenance.py</w:t>
            </w:r>
          </w:p>
        </w:tc>
        <w:tc>
          <w:tcPr>
            <w:tcW w:type="dxa" w:w="4320"/>
          </w:tcPr>
          <w:p>
            <w:r>
              <w:t>The §13 invariant: CRITICAL_COLUMNS, MissingProvenance, the writer registry the Tier 1 test walks</w:t>
            </w:r>
          </w:p>
        </w:tc>
      </w:tr>
      <w:tr>
        <w:tc>
          <w:tcPr>
            <w:tcW w:type="dxa" w:w="4320"/>
          </w:tcPr>
          <w:p>
            <w:r>
              <w:t>extract.py</w:t>
            </w:r>
          </w:p>
        </w:tc>
        <w:tc>
          <w:tcPr>
            <w:tcW w:type="dxa" w:w="4320"/>
          </w:tcPr>
          <w:p>
            <w:r>
              <w:t>The Extractor Protocol, the pdfplumber implementation, the registry, word-split tolerance</w:t>
            </w:r>
          </w:p>
        </w:tc>
      </w:tr>
      <w:tr>
        <w:tc>
          <w:tcPr>
            <w:tcW w:type="dxa" w:w="4320"/>
          </w:tcPr>
          <w:p>
            <w:r>
              <w:t>normalize.py</w:t>
            </w:r>
          </w:p>
        </w:tc>
        <w:tc>
          <w:tcPr>
            <w:tcW w:type="dxa" w:w="4320"/>
          </w:tcPr>
          <w:p>
            <w:r>
              <w:t>§8's seven transformations, furniture stripping, the §8.3 warning surfaces, versioning</w:t>
            </w:r>
          </w:p>
        </w:tc>
      </w:tr>
      <w:tr>
        <w:tc>
          <w:tcPr>
            <w:tcW w:type="dxa" w:w="4320"/>
          </w:tcPr>
          <w:p>
            <w:r>
              <w:t>pipeline.py</w:t>
            </w:r>
          </w:p>
        </w:tc>
        <w:tc>
          <w:tcPr>
            <w:tcW w:type="dxa" w:w="4320"/>
          </w:tcPr>
          <w:p>
            <w:r>
              <w:t>§6's stages: upload, extract, normalize, chunk, embed hand-off, job claiming and retry</w:t>
            </w:r>
          </w:p>
        </w:tc>
      </w:tr>
      <w:tr>
        <w:tc>
          <w:tcPr>
            <w:tcW w:type="dxa" w:w="4320"/>
          </w:tcPr>
          <w:p>
            <w:r>
              <w:t>queue.py</w:t>
            </w:r>
          </w:p>
        </w:tc>
        <w:tc>
          <w:tcPr>
            <w:tcW w:type="dxa" w:w="4320"/>
          </w:tcPr>
          <w:p>
            <w:r>
              <w:t>The ingestion review queue — the S3 resolution operationalised</w:t>
            </w:r>
          </w:p>
        </w:tc>
      </w:tr>
      <w:tr>
        <w:tc>
          <w:tcPr>
            <w:tcW w:type="dxa" w:w="4320"/>
          </w:tcPr>
          <w:p>
            <w:r>
              <w:t>licensing.py</w:t>
            </w:r>
          </w:p>
        </w:tc>
        <w:tc>
          <w:tcPr>
            <w:tcW w:type="dxa" w:w="4320"/>
          </w:tcPr>
          <w:p>
            <w:r>
              <w:t>§11: the honest default, reviewer classification, and the three refusals</w:t>
            </w:r>
          </w:p>
        </w:tc>
      </w:tr>
      <w:tr>
        <w:tc>
          <w:tcPr>
            <w:tcW w:type="dxa" w:w="4320"/>
          </w:tcPr>
          <w:p>
            <w:r>
              <w:t>authoring.py</w:t>
            </w:r>
          </w:p>
        </w:tc>
        <w:tc>
          <w:tcPr>
            <w:tcW w:type="dxa" w:w="4320"/>
          </w:tcPr>
          <w:p>
            <w:r>
              <w:t>§9 and §10: graph, rubric and concept-source YAML — parse, validate, diff, apply</w:t>
            </w:r>
          </w:p>
        </w:tc>
      </w:tr>
      <w:tr>
        <w:tc>
          <w:tcPr>
            <w:tcW w:type="dxa" w:w="4320"/>
          </w:tcPr>
          <w:p>
            <w:r>
              <w:t>publish.py</w:t>
            </w:r>
          </w:p>
        </w:tc>
        <w:tc>
          <w:tcPr>
            <w:tcW w:type="dxa" w:w="4320"/>
          </w:tcPr>
          <w:p>
            <w:r>
              <w:t>§9.3's gate: five checks, all run, all reported</w:t>
            </w:r>
          </w:p>
        </w:tc>
      </w:tr>
      <w:tr>
        <w:tc>
          <w:tcPr>
            <w:tcW w:type="dxa" w:w="4320"/>
          </w:tcPr>
          <w:p>
            <w:r>
              <w:t>measure.py</w:t>
            </w:r>
          </w:p>
        </w:tc>
        <w:tc>
          <w:tcPr>
            <w:tcW w:type="dxa" w:w="4320"/>
          </w:tcPr>
          <w:p>
            <w:r>
              <w:t>§7.4's measurements and the CI freshness check</w:t>
            </w:r>
          </w:p>
        </w:tc>
      </w:tr>
      <w:tr>
        <w:tc>
          <w:tcPr>
            <w:tcW w:type="dxa" w:w="4320"/>
          </w:tcPr>
          <w:p>
            <w:r>
              <w:t>storage.py</w:t>
            </w:r>
          </w:p>
        </w:tc>
        <w:tc>
          <w:tcPr>
            <w:tcW w:type="dxa" w:w="4320"/>
          </w:tcPr>
          <w:p>
            <w:r>
              <w:t>The §4 file layout, atomic JSONL writes</w:t>
            </w:r>
          </w:p>
        </w:tc>
      </w:tr>
      <w:tr>
        <w:tc>
          <w:tcPr>
            <w:tcW w:type="dxa" w:w="4320"/>
          </w:tcPr>
          <w:p>
            <w:r>
              <w:t>cli.py</w:t>
            </w:r>
          </w:p>
        </w:tc>
        <w:tc>
          <w:tcPr>
            <w:tcW w:type="dxa" w:w="4320"/>
          </w:tcPr>
          <w:p>
            <w:r>
              <w:t>The reviewer's terminal: ingest, publish, sources, browse, queue</w:t>
            </w:r>
          </w:p>
        </w:tc>
      </w:tr>
    </w:tbl>
    <w:p/>
    <w:p>
      <w:pPr>
        <w:pStyle w:val="Heading2"/>
      </w:pPr>
      <w:r>
        <w:t>2.2 Schema</w:t>
      </w:r>
    </w:p>
    <w:p>
      <w:r>
        <w:t>Migration 0010 applies six changes — the spec's five plus one it needed and never named. It round-trips: downgrade removes the table, the type, the four columns, and rebuilds the enum; upgrade restores them. Verified against a live database, both directions.</w:t>
      </w:r>
    </w:p>
    <w:p>
      <w:pPr>
        <w:pStyle w:val="ListBullet"/>
      </w:pPr>
      <w:r>
        <w:t>ingestion_review_queue — the S3 resolution, with four target columns and a partial index on each, because all four cascade and Postgres does not index the referencing side of a foreign key.</w:t>
      </w:r>
    </w:p>
    <w:p>
      <w:pPr>
        <w:pStyle w:val="ListBullet"/>
      </w:pPr>
      <w:r>
        <w:t>sources.extractor_version / normalizer_version — which code produced the text currently on a source.</w:t>
      </w:r>
    </w:p>
    <w:p>
      <w:pPr>
        <w:pStyle w:val="ListBullet"/>
      </w:pPr>
      <w:r>
        <w:t>source_chunks.extraction_confidence — with a partial index below 0.7.</w:t>
      </w:r>
    </w:p>
    <w:p>
      <w:pPr>
        <w:pStyle w:val="ListBullet"/>
      </w:pPr>
      <w:r>
        <w:t>source_chunks.superseded_at — re-extraction keeps old chunks so citations keep resolving; retrieval filters them out of new results.</w:t>
      </w:r>
    </w:p>
    <w:p>
      <w:pPr>
        <w:pStyle w:val="ListBullet"/>
      </w:pPr>
      <w:r>
        <w:t>ingestion_job_kind gains 'normalize' — not in the spec's list and required by it (§6.4 triggers a job kind the enum did not have). Divergence I1.</w:t>
      </w:r>
    </w:p>
    <w:p>
      <w:pPr>
        <w:pStyle w:val="Heading1"/>
      </w:pPr>
      <w:r>
        <w:t>3. The finding that matters most</w:t>
      </w:r>
    </w:p>
    <w:p>
      <w:r>
        <w:t>§18 open question 1 asked whether pdfplumber holds up against the real corpus. SD3 had been waiting on the same answer since the retrieval build. Running the §7.4 harness over material/ answered both, and the answer arrived in two parts that pointed opposite ways.</w:t>
      </w:r>
    </w:p>
    <w:p>
      <w:pPr>
        <w:pStyle w:val="Heading2"/>
      </w:pPr>
      <w:r>
        <w:t>3.1 The sizes were fine from the start</w:t>
      </w:r>
    </w:p>
    <w:p>
      <w:r>
        <w:t>For the 241-page Michaelson book: median chunk size 409 tokens against a 400-token target, quartiles 334 and 480, coverage 0.99, section detection 1.00. Nothing at the 600-token ceiling. Every number a reviewer would look at said the extractor was working well.</w:t>
      </w:r>
    </w:p>
    <w:p>
      <w:pPr>
        <w:pStyle w:val="Heading2"/>
      </w:pPr>
      <w:r>
        <w:t>3.2 The text was unusable</w:t>
      </w:r>
    </w:p>
    <w:p>
      <w:r>
        <w:t>pdfplumber's default word-split tolerance of 3 points is wider than the inter-word gaps in that book's typesetting. Extraction returned:</w:t>
      </w:r>
    </w:p>
    <w:p>
      <w:pPr>
        <w:pStyle w:val="IntenseQuote"/>
      </w:pPr>
      <w:r>
        <w:t>Itispossible,however,forboundvariablesindifferentfunctionstohavethesamename.</w:t>
      </w:r>
    </w:p>
    <w:p>
      <w:r>
        <w:t>Whole paragraphs as single tokens. Postgres tsvector indexes that as one term, so the keyword half of hybrid search matches nothing a learner would type, and the vector is an embedding of a string that occurs in no training corpus. The book is the primary lambda calculus source; it would have been near-invisible to retrieval.</w:t>
      </w:r>
    </w:p>
    <w:p>
      <w:r>
        <w:t>Every check missed it, and the reason generalises. All three §7.4 measurements are size measurements: a run-together paragraph has the same token count as the spaced version, lands in the same chunk-size band, and reports the same coverage against any token-based reference. Section detection was unaffected because headings come from font size, not from text. The synthetic fixtures could not have caught it either — reportlab spaces its output normally at any tolerance, so the defect does not exist in a generated PDF.</w:t>
      </w:r>
    </w:p>
    <w:p>
      <w:r>
        <w:t>Fixed by setting the tolerance to 2, which is a strict improvement rather than a trade: the two lambda calculus sources roughly double their space ratio, the Turing and Clojure material is unchanged, and going lower gains nothing. A words_run_together normalisation warning was added at a 0.11 space ratio so the next instance reaches a reviewer instead of a metric. Recorded as SD7 and divergence I14.</w:t>
      </w:r>
    </w:p>
    <w:p>
      <w:pPr>
        <w:pStyle w:val="Heading2"/>
      </w:pPr>
      <w:r>
        <w:t>3.3 The corpus, after the fix</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Source</w:t>
            </w:r>
          </w:p>
        </w:tc>
        <w:tc>
          <w:tcPr>
            <w:tcW w:type="dxa" w:w="1440"/>
          </w:tcPr>
          <w:p>
            <w:r>
              <w:rPr>
                <w:b/>
              </w:rPr>
              <w:t>Pages</w:t>
            </w:r>
          </w:p>
        </w:tc>
        <w:tc>
          <w:tcPr>
            <w:tcW w:type="dxa" w:w="1440"/>
          </w:tcPr>
          <w:p>
            <w:r>
              <w:rPr>
                <w:b/>
              </w:rPr>
              <w:t>Median</w:t>
            </w:r>
          </w:p>
        </w:tc>
        <w:tc>
          <w:tcPr>
            <w:tcW w:type="dxa" w:w="1440"/>
          </w:tcPr>
          <w:p>
            <w:r>
              <w:rPr>
                <w:b/>
              </w:rPr>
              <w:t>Q1</w:t>
            </w:r>
          </w:p>
        </w:tc>
        <w:tc>
          <w:tcPr>
            <w:tcW w:type="dxa" w:w="1440"/>
          </w:tcPr>
          <w:p>
            <w:r>
              <w:rPr>
                <w:b/>
              </w:rPr>
              <w:t>Q3</w:t>
            </w:r>
          </w:p>
        </w:tc>
        <w:tc>
          <w:tcPr>
            <w:tcW w:type="dxa" w:w="1440"/>
          </w:tcPr>
          <w:p>
            <w:r>
              <w:rPr>
                <w:b/>
              </w:rPr>
              <w:t>Coverage</w:t>
            </w:r>
          </w:p>
        </w:tc>
      </w:tr>
      <w:tr>
        <w:tc>
          <w:tcPr>
            <w:tcW w:type="dxa" w:w="1440"/>
          </w:tcPr>
          <w:p>
            <w:r>
              <w:t>Michaelson (gjm_lambda_book)</w:t>
            </w:r>
          </w:p>
        </w:tc>
        <w:tc>
          <w:tcPr>
            <w:tcW w:type="dxa" w:w="1440"/>
          </w:tcPr>
          <w:p>
            <w:r>
              <w:t>241</w:t>
            </w:r>
          </w:p>
        </w:tc>
        <w:tc>
          <w:tcPr>
            <w:tcW w:type="dxa" w:w="1440"/>
          </w:tcPr>
          <w:p>
            <w:r>
              <w:t>427</w:t>
            </w:r>
          </w:p>
        </w:tc>
        <w:tc>
          <w:tcPr>
            <w:tcW w:type="dxa" w:w="1440"/>
          </w:tcPr>
          <w:p>
            <w:r>
              <w:t>344</w:t>
            </w:r>
          </w:p>
        </w:tc>
        <w:tc>
          <w:tcPr>
            <w:tcW w:type="dxa" w:w="1440"/>
          </w:tcPr>
          <w:p>
            <w:r>
              <w:t>501</w:t>
            </w:r>
          </w:p>
        </w:tc>
        <w:tc>
          <w:tcPr>
            <w:tcW w:type="dxa" w:w="1440"/>
          </w:tcPr>
          <w:p>
            <w:r>
              <w:t>1.00</w:t>
            </w:r>
          </w:p>
        </w:tc>
      </w:tr>
      <w:tr>
        <w:tc>
          <w:tcPr>
            <w:tcW w:type="dxa" w:w="1440"/>
          </w:tcPr>
          <w:p>
            <w:r>
              <w:t>lambda calculus parts (10 files)</w:t>
            </w:r>
          </w:p>
        </w:tc>
        <w:tc>
          <w:tcPr>
            <w:tcW w:type="dxa" w:w="1440"/>
          </w:tcPr>
          <w:p>
            <w:r>
              <w:t>9–55</w:t>
            </w:r>
          </w:p>
        </w:tc>
        <w:tc>
          <w:tcPr>
            <w:tcW w:type="dxa" w:w="1440"/>
          </w:tcPr>
          <w:p>
            <w:r>
              <w:t>347–511</w:t>
            </w:r>
          </w:p>
        </w:tc>
        <w:tc>
          <w:tcPr>
            <w:tcW w:type="dxa" w:w="1440"/>
          </w:tcPr>
          <w:p>
            <w:r>
              <w:t>—</w:t>
            </w:r>
          </w:p>
        </w:tc>
        <w:tc>
          <w:tcPr>
            <w:tcW w:type="dxa" w:w="1440"/>
          </w:tcPr>
          <w:p>
            <w:r>
              <w:t>—</w:t>
            </w:r>
          </w:p>
        </w:tc>
        <w:tc>
          <w:tcPr>
            <w:tcW w:type="dxa" w:w="1440"/>
          </w:tcPr>
          <w:p>
            <w:r>
              <w:t>0.99–1.00</w:t>
            </w:r>
          </w:p>
        </w:tc>
      </w:tr>
      <w:tr>
        <w:tc>
          <w:tcPr>
            <w:tcW w:type="dxa" w:w="1440"/>
          </w:tcPr>
          <w:p>
            <w:r>
              <w:t>Clojure parts (10 files)</w:t>
            </w:r>
          </w:p>
        </w:tc>
        <w:tc>
          <w:tcPr>
            <w:tcW w:type="dxa" w:w="1440"/>
          </w:tcPr>
          <w:p>
            <w:r>
              <w:t>15–33</w:t>
            </w:r>
          </w:p>
        </w:tc>
        <w:tc>
          <w:tcPr>
            <w:tcW w:type="dxa" w:w="1440"/>
          </w:tcPr>
          <w:p>
            <w:r>
              <w:t>335–420</w:t>
            </w:r>
          </w:p>
        </w:tc>
        <w:tc>
          <w:tcPr>
            <w:tcW w:type="dxa" w:w="1440"/>
          </w:tcPr>
          <w:p>
            <w:r>
              <w:t>—</w:t>
            </w:r>
          </w:p>
        </w:tc>
        <w:tc>
          <w:tcPr>
            <w:tcW w:type="dxa" w:w="1440"/>
          </w:tcPr>
          <w:p>
            <w:r>
              <w:t>—</w:t>
            </w:r>
          </w:p>
        </w:tc>
        <w:tc>
          <w:tcPr>
            <w:tcW w:type="dxa" w:w="1440"/>
          </w:tcPr>
          <w:p>
            <w:r>
              <w:t>0.96–0.98</w:t>
            </w:r>
          </w:p>
        </w:tc>
      </w:tr>
      <w:tr>
        <w:tc>
          <w:tcPr>
            <w:tcW w:type="dxa" w:w="1440"/>
          </w:tcPr>
          <w:p>
            <w:r>
              <w:t>Turing machine slides (2 files)</w:t>
            </w:r>
          </w:p>
        </w:tc>
        <w:tc>
          <w:tcPr>
            <w:tcW w:type="dxa" w:w="1440"/>
          </w:tcPr>
          <w:p>
            <w:r>
              <w:t>46–65</w:t>
            </w:r>
          </w:p>
        </w:tc>
        <w:tc>
          <w:tcPr>
            <w:tcW w:type="dxa" w:w="1440"/>
          </w:tcPr>
          <w:p>
            <w:r>
              <w:t>9–271</w:t>
            </w:r>
          </w:p>
        </w:tc>
        <w:tc>
          <w:tcPr>
            <w:tcW w:type="dxa" w:w="1440"/>
          </w:tcPr>
          <w:p>
            <w:r>
              <w:t>—</w:t>
            </w:r>
          </w:p>
        </w:tc>
        <w:tc>
          <w:tcPr>
            <w:tcW w:type="dxa" w:w="1440"/>
          </w:tcPr>
          <w:p>
            <w:r>
              <w:t>—</w:t>
            </w:r>
          </w:p>
        </w:tc>
        <w:tc>
          <w:tcPr>
            <w:tcW w:type="dxa" w:w="1440"/>
          </w:tcPr>
          <w:p>
            <w:r>
              <w:t>1.00</w:t>
            </w:r>
          </w:p>
        </w:tc>
      </w:tr>
    </w:tbl>
    <w:p/>
    <w:p>
      <w:r>
        <w:t>Retrieval's 400-token target and 600-token maximum survive contact with the corpus. Section detection is 1.00 on every source. The Turing files are lecture slides at roughly 100 tokens per page, so their chunks are small because their pages are — worth knowing before reading the pooled median as a corpus-wide statement. SD3 closes.</w:t>
      </w:r>
    </w:p>
    <w:p>
      <w:pPr>
        <w:pStyle w:val="Heading1"/>
      </w:pPr>
      <w:r>
        <w:t>4. Other defects found during the build</w:t>
      </w:r>
    </w:p>
    <w:p>
      <w:r>
        <w:t>Each was found by a test or a measurement rather than by inspection.</w:t>
      </w:r>
    </w:p>
    <w:p>
      <w:pPr>
        <w:pStyle w:val="Heading2"/>
      </w:pPr>
      <w:r>
        <w:t>4.1 Furniture stripping deleted the body of every page</w:t>
      </w:r>
    </w:p>
    <w:p>
      <w:r>
        <w:t>§8.1's heuristic — a line repeated at the same page edge on ≥50% of pages is furniture — strips nothing on a real book if applied as exact matching, because a running head almost always carries the page number and so matches no other page. Masking digit runs fixes that and creates a worse problem: eight pages of “Body line 3 of page N…” mask to one signature and the body of every page is deleted.</w:t>
      </w:r>
    </w:p>
    <w:p>
      <w:r>
        <w:t>Resolved by scoping masking to lines of at most 40 characters, requiring a page to have more lines than its own two edge windows, and never stripping a page to nothing. Divergence I2; the over-stripping case is pinned by a test.</w:t>
      </w:r>
    </w:p>
    <w:p>
      <w:pPr>
        <w:pStyle w:val="Heading2"/>
      </w:pPr>
      <w:r>
        <w:t>4.2 Form feed and vertical tab were being deleted</w:t>
      </w:r>
    </w:p>
    <w:p>
      <w:r>
        <w:t>§8.1 step 4 normalises them to space; step 7 strips control characters. Both describe the same codepoints and the spec does not say which wins. Stripping them joins the last word before a column break to the first word after it — “the endBeginning”, a token that matches no query. Step 4 now wins. Divergence I13.</w:t>
      </w:r>
    </w:p>
    <w:p>
      <w:pPr>
        <w:pStyle w:val="Heading2"/>
      </w:pPr>
      <w:r>
        <w:t>4.3 Three of the review queue's four FKs had no index</w:t>
      </w:r>
    </w:p>
    <w:p>
      <w:r>
        <w:t>All four target columns cascade on delete. The data layer's schema convention test caught it before the migration ran: without the indexes, deleting one source sequential-scans the queue. Divergence I5.</w:t>
      </w:r>
    </w:p>
    <w:p>
      <w:pPr>
        <w:pStyle w:val="Heading2"/>
      </w:pPr>
      <w:r>
        <w:t>4.4 The provenance test was checking nothing</w:t>
      </w:r>
    </w:p>
    <w:p>
      <w:r>
        <w:t>§13.4's mechanism is a registry populated by import side effects, read at test-collection time. authoring.py was not imported by the package, so its three writers were invisible and the parametrised checks collected zero cases for them — green, having verified nothing. Caught by the “every writer module is represented” guard. The package now imports every submodule, and the test walks the package itself rather than trusting that.</w:t>
      </w:r>
    </w:p>
    <w:p>
      <w:pPr>
        <w:pStyle w:val="Heading2"/>
      </w:pPr>
      <w:r>
        <w:t>4.5 A missing library would have flooded the review queue</w:t>
      </w:r>
    </w:p>
    <w:p>
      <w:r>
        <w:t>ExtractorUnavailable subclasses ExtractionError, so run_extract filed it as a per-document extractor_failure. With pdfplumber uninstalled that is one queue row per source in the batch — hundreds of identical rows burying the real failures, all describing something only whoever deployed the process can fix. It now propagates. Divergence I8.</w:t>
      </w:r>
    </w:p>
    <w:p>
      <w:pPr>
        <w:pStyle w:val="Heading2"/>
      </w:pPr>
      <w:r>
        <w:t>4.6 Two smaller ones</w:t>
      </w:r>
    </w:p>
    <w:p>
      <w:pPr>
        <w:pStyle w:val="ListBullet"/>
      </w:pPr>
      <w:r>
        <w:t>sa.Enum(..., create_type=False) silently ignores create_type — it is a PostgreSQL-dialect flag — so create_table re-emitted CREATE TYPE for a type created three lines earlier and the migration failed on DuplicateObject. postgresql.ENUM honours it.</w:t>
      </w:r>
    </w:p>
    <w:p>
      <w:pPr>
        <w:pStyle w:val="ListBullet"/>
      </w:pPr>
      <w:r>
        <w:t>The 0010 downgrade passed an already-prefixed constraint name to drop_constraint, which applies the naming convention again and produced ck_source_chunks_ck_source_chunks_extraction_confidence_range. Found by running the downgrade rather than by assuming it worked.</w:t>
      </w:r>
    </w:p>
    <w:p>
      <w:pPr>
        <w:pStyle w:val="Heading1"/>
      </w:pPr>
      <w:r>
        <w:t>5. Cross-subsystem changes</w:t>
      </w:r>
    </w:p>
    <w:p>
      <w:r>
        <w:t>Two changes outside studium/ingestion, both unavoidable and both recorded as divergences.</w:t>
      </w:r>
    </w:p>
    <w:p>
      <w:pPr>
        <w:pStyle w:val="ListBullet"/>
      </w:pPr>
      <w:r>
        <w:t>retrieval/embedding_worker.py — _flag_failures now writes to the ingestion review queue instead of only logging. This is S3 closing: a chunk with no vector is invisible to vector search, and the only record of that was previously a log line. SD1 closes with it.</w:t>
      </w:r>
    </w:p>
    <w:p>
      <w:pPr>
        <w:pStyle w:val="ListBullet"/>
      </w:pPr>
      <w:r>
        <w:t>retrieval/search.py — the curated, vector, keyword and sibling-expansion paths now filter superseded chunks (§7.3). citations.py deliberately does not: that is the path superseded rows are kept for. The ingestion spec says it expected no retrieval changes; a column retrieval does not read cannot affect retrieval. Divergence I6.</w:t>
      </w:r>
    </w:p>
    <w:p>
      <w:pPr>
        <w:pStyle w:val="Heading1"/>
      </w:pPr>
      <w:r>
        <w:t>6. What is not done</w:t>
      </w:r>
    </w:p>
    <w:p>
      <w:pPr>
        <w:pStyle w:val="ListBullet"/>
      </w:pPr>
      <w:r>
        <w:t>Tier 3 has not been run. It is the only check that can tell you ingestion writes chunks retrieval can find — both subsystems can pass every test they own and be wrong about each other. It needs a Voyage key and spends money.</w:t>
      </w:r>
    </w:p>
    <w:p>
      <w:pPr>
        <w:pStyle w:val="ListBullet"/>
      </w:pPr>
      <w:r>
        <w:t>§7.2's alternative extractors (marker, unstructured.io, pdfminer.six) are not registered. The Protocol and registry are in place; they are deliberately not stubbed, because a registry entry that raises on use reads as supported at the call site and fails in a worker after the upload.</w:t>
      </w:r>
    </w:p>
    <w:p>
      <w:pPr>
        <w:pStyle w:val="ListBullet"/>
      </w:pPr>
      <w:r>
        <w:t>Chunks are page-shaped rather than idea-shaped: extract_text emits no blank lines, so retrieval §7's preference-2 break point never fires. Two fixes were tried against the real corpus and both made it materially worse — indentation gave a 7-token median, a line-gap heuristic gave 27, against 427 for leaving it alone. Recorded as SD8 with the measurements.</w:t>
      </w:r>
    </w:p>
    <w:p>
      <w:pPr>
        <w:pStyle w:val="ListBullet"/>
      </w:pPr>
      <w:r>
        <w:t>The measurement harness still reports only sizes. A text-quality axis is what SD7 asks for, and it is the axis that would decide any future extractor comparison.</w:t>
      </w:r>
    </w:p>
    <w:p>
      <w:pPr>
        <w:pStyle w:val="ListBullet"/>
      </w:pPr>
      <w:r>
        <w:t>§12.2's frontend admin page and §10.3's interactive authoring UI are both v1.1 in the spec and not built.</w:t>
      </w:r>
    </w:p>
    <w:p>
      <w:pPr>
        <w:pStyle w:val="ListBullet"/>
      </w:pPr>
      <w:r>
        <w:t>Cost accounting is structurally in place and exercises nothing: every stage in this build is zero-cost, since pdfplumber is local and embedding cost is booked by retrieval's worker.</w:t>
      </w:r>
    </w:p>
    <w:p>
      <w:pPr>
        <w:pStyle w:val="Heading1"/>
      </w:pPr>
      <w:r>
        <w:t>7. Spec debt</w:t>
      </w:r>
    </w:p>
    <w:tbl>
      <w:tblPr>
        <w:tblStyle w:val="LightGrid-Accent1"/>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Status</w:t>
            </w:r>
          </w:p>
        </w:tc>
      </w:tr>
      <w:tr>
        <w:tc>
          <w:tcPr>
            <w:tcW w:type="dxa" w:w="4320"/>
          </w:tcPr>
          <w:p>
            <w:r>
              <w:t>SD1 — the ingestion boundary has no provenance or failure model</w:t>
            </w:r>
          </w:p>
        </w:tc>
        <w:tc>
          <w:tcPr>
            <w:tcW w:type="dxa" w:w="4320"/>
          </w:tcPr>
          <w:p>
            <w:r>
              <w:t>Closed. ingestion_review_queue plus studium.ingestion.provenance.</w:t>
            </w:r>
          </w:p>
        </w:tc>
      </w:tr>
      <w:tr>
        <w:tc>
          <w:tcPr>
            <w:tcW w:type="dxa" w:w="4320"/>
          </w:tcPr>
          <w:p>
            <w:r>
              <w:t>SD3 — retrieval §19 question 1 needs subsystem 5's extractor</w:t>
            </w:r>
          </w:p>
        </w:tc>
        <w:tc>
          <w:tcPr>
            <w:tcW w:type="dxa" w:w="4320"/>
          </w:tcPr>
          <w:p>
            <w:r>
              <w:t>Closed. Measured over 23 real sources; the targets survive.</w:t>
            </w:r>
          </w:p>
        </w:tc>
      </w:tr>
      <w:tr>
        <w:tc>
          <w:tcPr>
            <w:tcW w:type="dxa" w:w="4320"/>
          </w:tcPr>
          <w:p>
            <w:r>
              <w:t>SD7 — a healthy chunk-size distribution says nothing about text quality</w:t>
            </w:r>
          </w:p>
        </w:tc>
        <w:tc>
          <w:tcPr>
            <w:tcW w:type="dxa" w:w="4320"/>
          </w:tcPr>
          <w:p>
            <w:r>
              <w:t>New, open. The specific defect is fixed; the measurement gap is not.</w:t>
            </w:r>
          </w:p>
        </w:tc>
      </w:tr>
      <w:tr>
        <w:tc>
          <w:tcPr>
            <w:tcW w:type="dxa" w:w="4320"/>
          </w:tcPr>
          <w:p>
            <w:r>
              <w:t>SD8 — chunks are page-shaped, not idea-shaped</w:t>
            </w:r>
          </w:p>
        </w:tc>
        <w:tc>
          <w:tcPr>
            <w:tcW w:type="dxa" w:w="4320"/>
          </w:tcPr>
          <w:p>
            <w:r>
              <w:t>New, open. Two fixes attempted and reverted, with numbers.</w:t>
            </w:r>
          </w:p>
        </w:tc>
      </w:tr>
    </w:tbl>
    <w:p/>
    <w:p>
      <w:r>
        <w:t>The count in the ingestion spec's own §17 and §18 is wrong either way: §17 says four v1.2 additions and names five, §18 says five, and the real number is six once the ingestion_job_kind value is counted.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