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Infrastructure — Build Report</w:t>
      </w:r>
    </w:p>
    <w:p>
      <w:pPr>
        <w:jc w:val="left"/>
      </w:pPr>
      <w:r>
        <w:t>Subsystem 7 of 7  •  Specification v1.0  •  26 August 2026</w:t>
      </w:r>
    </w:p>
    <w:p>
      <w:pPr>
        <w:pStyle w:val="IntenseQuote"/>
      </w:pPr>
      <w:r>
        <w:t>The last subsystem is built. Deployment topology for both apps, a secret registry the deployment is checked against, three-system observability that degrades to nothing when unconfigured, the §12 retention worker with holds and an audit trail, restore verification, the signing-key lifecycle including the compromise response, a cost report, and two CI workflows. Two of the three test tiers were run in full; the third cannot be automated and is named rather than claimed. The build closed two spec-debt entries, found one of them had been wrong for eleven days, and found three scheduled jobs that had no scheduler — one of which meant every right-to-erasure request was permanently half-finished.</w:t>
      </w:r>
    </w:p>
    <w:p>
      <w:pPr>
        <w:pStyle w:val="Heading1"/>
      </w:pPr>
      <w:r>
        <w:t>1. What “verified” means in this report</w:t>
      </w:r>
    </w:p>
    <w:p>
      <w:r>
        <w:t>Verified means the behaviour was exercised against a real Postgres 16 and observed to be correct. It does not mean the system is proven at production volume, under concurrency, or against real learner data. For this subsystem there is a second, sharper limit worth stating before anything else: much of what §4 through §10 specifies is a deployment, and nothing has been deployed.</w:t>
      </w:r>
    </w:p>
    <w:p>
      <w:pPr>
        <w:pStyle w:val="ListBullet"/>
      </w:pPr>
      <w:r>
        <w:t>Tier 1 (305 tests, offline) establishes that the logic is correct in isolation: the secret registry against the files it generates, the alert configuration and its arithmetic, the retention worker's predicate composition and failure isolation, the hold-refusal rules, the scheduler's clock, the storage abstraction's key handling, the Sentry scrubber, and every deployment artefact read as a file.</w:t>
      </w:r>
    </w:p>
    <w:p>
      <w:pPr>
        <w:pStyle w:val="ListBullet"/>
      </w:pPr>
      <w:r>
        <w:t>Tier 2 (31 new tests, real Postgres 16 + pgvector) establishes that the worker, the holds, the audit trail, verify-restore, the alert probes, the cost report and the compromise marking behave correctly against a real schema — including the constraints only a database enforces.</w:t>
      </w:r>
    </w:p>
    <w:p>
      <w:pPr>
        <w:pStyle w:val="ListBullet"/>
      </w:pPr>
      <w:r>
        <w:t>Tier 3 for this subsystem is defined by §16 as three things that need production: monthly invoice reconciliation, quarterly uptime reporting, and a quarterly alert-accuracy review. None can run before the system runs. They are on the operational calendar, not in CI.</w:t>
      </w:r>
    </w:p>
    <w:p>
      <w:pPr>
        <w:pStyle w:val="ListBullet"/>
      </w:pPr>
      <w:r>
        <w:t>One live provider check was run: `studium ops smoke-test` against the real Anthropic API. claude-haiku-4-5 answered in 2.2 s. That verifies the reachability check itself, and nothing else about a deployment.</w:t>
      </w:r>
    </w:p>
    <w:p>
      <w:r>
        <w:t>The whole suite is 2,291 passing tests across all subsystems, with one skip (pg_dump is not on this machine's PATH, so the §13 reversibility round-trip did not run locally). Three consecutive runs in randomised order, to catch order dependence — which mattered, and is §6.</w:t>
      </w:r>
    </w:p>
    <w:p>
      <w:pPr>
        <w:pStyle w:val="Heading2"/>
      </w:pPr>
      <w:r>
        <w:t>What is NOT verified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w:t>
            </w:r>
          </w:p>
        </w:tc>
        <w:tc>
          <w:tcPr>
            <w:tcW w:type="dxa" w:w="4320"/>
          </w:tcPr>
          <w:p>
            <w:r>
              <w:rPr>
                <w:b/>
              </w:rPr>
              <w:t>Status</w:t>
            </w:r>
          </w:p>
        </w:tc>
      </w:tr>
      <w:tr>
        <w:tc>
          <w:tcPr>
            <w:tcW w:type="dxa" w:w="4320"/>
          </w:tcPr>
          <w:p>
            <w:r>
              <w:t>flyctl deploy succeeds; migrations abort a bad deploy (§10.3)</w:t>
            </w:r>
          </w:p>
        </w:tc>
        <w:tc>
          <w:tcPr>
            <w:tcW w:type="dxa" w:w="4320"/>
          </w:tcPr>
          <w:p>
            <w:r>
              <w:t>Untested. No Fly account or token in CI, by design (§6.2). Both images build; nothing deploys. SPEC_DEBT SD11.</w:t>
            </w:r>
          </w:p>
        </w:tc>
      </w:tr>
      <w:tr>
        <w:tc>
          <w:tcPr>
            <w:tcW w:type="dxa" w:w="4320"/>
          </w:tcPr>
          <w:p>
            <w:r>
              <w:t>flyctl releases rollback restores in ~30 s (§10.4)</w:t>
            </w:r>
          </w:p>
        </w:tc>
        <w:tc>
          <w:tcPr>
            <w:tcW w:type="dxa" w:w="4320"/>
          </w:tcPr>
          <w:p>
            <w:r>
              <w:t>Untested, same reason. The number is the spec's.</w:t>
            </w:r>
          </w:p>
        </w:tc>
      </w:tr>
      <w:tr>
        <w:tc>
          <w:tcPr>
            <w:tcW w:type="dxa" w:w="4320"/>
          </w:tcPr>
          <w:p>
            <w:r>
              <w:t>A restore from a real Fly backup works (§9.2, §9.3)</w:t>
            </w:r>
          </w:p>
        </w:tc>
        <w:tc>
          <w:tcPr>
            <w:tcW w:type="dxa" w:w="4320"/>
          </w:tcPr>
          <w:p>
            <w:r>
              <w:t>No drill has ever been run. verify-restore is written and exercised against a seeded database; the 15–45 minute and 4-hour RTO figures remain the spec's estimates. Stated at the top of docs/ops/drill-log.md.</w:t>
            </w:r>
          </w:p>
        </w:tc>
      </w:tr>
      <w:tr>
        <w:tc>
          <w:tcPr>
            <w:tcW w:type="dxa" w:w="4320"/>
          </w:tcPr>
          <w:p>
            <w:r>
              <w:t>The R2 storage backend works against a bucket</w:t>
            </w:r>
          </w:p>
        </w:tc>
        <w:tc>
          <w:tcPr>
            <w:tcW w:type="dxa" w:w="4320"/>
          </w:tcPr>
          <w:p>
            <w:r>
              <w:t>Untested. §4.5 provisions R2 and does not use it until §14.3's 30 GB trigger fires. Its key handling is tested; its network behaviour is not, and boto3 is not in the MVP install.</w:t>
            </w:r>
          </w:p>
        </w:tc>
      </w:tr>
      <w:tr>
        <w:tc>
          <w:tcPr>
            <w:tcW w:type="dxa" w:w="4320"/>
          </w:tcPr>
          <w:p>
            <w:r>
              <w:t>Sentry, Langfuse and Uptime Robot are configured</w:t>
            </w:r>
          </w:p>
        </w:tc>
        <w:tc>
          <w:tcPr>
            <w:tcW w:type="dxa" w:w="4320"/>
          </w:tcPr>
          <w:p>
            <w:r>
              <w:t>Account-side configuration that cannot be created from code. The emitting and scrubbing code is tested; alerts.py records what each externally-watched condition needs configured, and a Tier 1 test fails on any condition watched by nothing.</w:t>
            </w:r>
          </w:p>
        </w:tc>
      </w:tr>
      <w:tr>
        <w:tc>
          <w:tcPr>
            <w:tcW w:type="dxa" w:w="4320"/>
          </w:tcPr>
          <w:p>
            <w:r>
              <w:t>Any alert threshold is right</w:t>
            </w:r>
          </w:p>
        </w:tc>
        <w:tc>
          <w:tcPr>
            <w:tcW w:type="dxa" w:w="4320"/>
          </w:tcPr>
          <w:p>
            <w:r>
              <w:t>Every number in §8.1 is an educated first guess the spec expects production to sharpen. None has fired against real data. The tests assert the shape, not the values.</w:t>
            </w:r>
          </w:p>
        </w:tc>
      </w:tr>
      <w:tr>
        <w:tc>
          <w:tcPr>
            <w:tcW w:type="dxa" w:w="4320"/>
          </w:tcPr>
          <w:p>
            <w:r>
              <w:t>Infrastructure cost is $50–100/month (§13.2)</w:t>
            </w:r>
          </w:p>
        </w:tc>
        <w:tc>
          <w:tcPr>
            <w:tcW w:type="dxa" w:w="4320"/>
          </w:tcPr>
          <w:p>
            <w:r>
              <w:t>The spec's estimate, reproduced in the cost report and labelled as an estimate there. Nothing has been billed.</w:t>
            </w:r>
          </w:p>
        </w:tc>
      </w:tr>
    </w:tbl>
    <w:p/>
    <w:p>
      <w:pPr>
        <w:pStyle w:val="Heading1"/>
      </w:pPr>
      <w:r>
        <w:t>2. The headline finding: three jobs with no scheduler</w:t>
      </w:r>
    </w:p>
    <w:p>
      <w:r>
        <w:t>§12.1 asks for one scheduled task. Building it raised the question of what else was supposed to be on the schedule, and the answer was found with a grep before any code was written.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Where it says it is scheduled</w:t>
            </w:r>
          </w:p>
        </w:tc>
        <w:tc>
          <w:tcPr>
            <w:tcW w:type="dxa" w:w="2880"/>
          </w:tcPr>
          <w:p>
            <w:r>
              <w:rPr>
                <w:b/>
              </w:rPr>
              <w:t>Callers found</w:t>
            </w:r>
          </w:p>
        </w:tc>
      </w:tr>
      <w:tr>
        <w:tc>
          <w:tcPr>
            <w:tcW w:type="dxa" w:w="2880"/>
          </w:tcPr>
          <w:p>
            <w:r>
              <w:t>privacy.purge_expired_soft_deletes</w:t>
            </w:r>
          </w:p>
        </w:tc>
        <w:tc>
          <w:tcPr>
            <w:tcW w:type="dxa" w:w="2880"/>
          </w:tcPr>
          <w:p>
            <w:r>
              <w:t>data layer §10 step 4; its own docstring</w:t>
            </w:r>
          </w:p>
        </w:tc>
        <w:tc>
          <w:tcPr>
            <w:tcW w:type="dxa" w:w="2880"/>
          </w:tcPr>
          <w:p>
            <w:r>
              <w:t>one test</w:t>
            </w:r>
          </w:p>
        </w:tc>
      </w:tr>
      <w:tr>
        <w:tc>
          <w:tcPr>
            <w:tcW w:type="dxa" w:w="2880"/>
          </w:tcPr>
          <w:p>
            <w:r>
              <w:t>cost_rollup.refresh_decay</w:t>
            </w:r>
          </w:p>
        </w:tc>
        <w:tc>
          <w:tcPr>
            <w:tcW w:type="dxa" w:w="2880"/>
          </w:tcPr>
          <w:p>
            <w:r>
              <w:t>its own docstring: “Daily.”</w:t>
            </w:r>
          </w:p>
        </w:tc>
        <w:tc>
          <w:tcPr>
            <w:tcW w:type="dxa" w:w="2880"/>
          </w:tcPr>
          <w:p>
            <w:r>
              <w:t>one test</w:t>
            </w:r>
          </w:p>
        </w:tc>
      </w:tr>
      <w:tr>
        <w:tc>
          <w:tcPr>
            <w:tcW w:type="dxa" w:w="2880"/>
          </w:tcPr>
          <w:p>
            <w:r>
              <w:t>retention.check_dangling_chunk_refs</w:t>
            </w:r>
          </w:p>
        </w:tc>
        <w:tc>
          <w:tcPr>
            <w:tcW w:type="dxa" w:w="2880"/>
          </w:tcPr>
          <w:p>
            <w:r>
              <w:t>its own docstring: “Daily consistency check”</w:t>
            </w:r>
          </w:p>
        </w:tc>
        <w:tc>
          <w:tcPr>
            <w:tcW w:type="dxa" w:w="2880"/>
          </w:tcPr>
          <w:p>
            <w:r>
              <w:t>none at all</w:t>
            </w:r>
          </w:p>
        </w:tc>
      </w:tr>
    </w:tbl>
    <w:p/>
    <w:p>
      <w:r>
        <w:t>The first is the serious one. erase_user marks the account soft-deleted and anonymises the aggregates §10 retains; step 4 — the hard delete after the 30-day dispute window — never happened, because nothing came back for it. A learner who exercised their right to erasure stayed in the users table, email intact, indefinitely. The code comments explain that the email is deliberately left unscrambled because “recovery needs the identity”, which makes the missing step exactly the one that turns a considered design into a retention problem. Every test passed: the erasure test calls the function directly and asserts it does the right thing, which it does.</w:t>
      </w:r>
    </w:p>
    <w:p>
      <w:r>
        <w:t>refresh_decay is milder and explains why nobody noticed: graph.unlock_status computes decay in SQL at query time, so gating was always correct. What read the stale column was sorting and reporting — a desk ordered by a number from whenever the learner last touched it, which nobody would file as a bug.</w:t>
      </w:r>
    </w:p>
    <w:p>
      <w:r>
        <w:t>This is the fifth instance of the pattern the project already tracks: a symbol present at every declaration site and no execution site. All three are now stages of studium.ops.nightly.run_nightly, each failure-isolated, and a Tier 1 test asserts the three names still appear in that module — because a stage removed is this state returning, and nothing else in the suite would notice.</w:t>
      </w:r>
    </w:p>
    <w:p>
      <w:pPr>
        <w:pStyle w:val="Heading1"/>
      </w:pPr>
      <w:r>
        <w:t>3. SD9 was wrong, and the half that was right still mattered</w:t>
      </w:r>
    </w:p>
    <w:p>
      <w:r>
        <w:t>SD9 held that a $5–15 regression run drew on the reviewer's $8 daily hard cap, so a scheduled run would lock them out of their own learning sessions. It was reasoned from evaluation §15.3's reverted column. Measured against the code, the spend never went there: every trace of a live run books to the system account, which migration 0008 seeded with $1,000 daily and $20,000 monthly caps. SD9's own “option 2” was already the implementation — arrived at while fixing an unrelated defect, which is why nobody had connected the two.</w:t>
      </w:r>
    </w:p>
    <w:p>
      <w:r>
        <w:t>The entry was wrong for eleven days and nothing was at risk in the meantime. It is recorded rather than deleted because reasoning from a spec's text about what the code does is how it happened, and that is a repeatable mistake.</w:t>
      </w:r>
    </w:p>
    <w:p>
      <w:r>
        <w:t>The other half was real and is the part subsystem 7 had to fix. Those caps were a number nobody read: pre_flight_check is called only from the Orchestrator's session path, and an evaluation run invokes agents directly, so no cap of any kind constrained a run. A human typing yes to a printed estimate was the only limit — which is precisely what a CI job removes. runner.budget_preflight is now a gate in front of eval run and eval gate, called before the confirmation prompt because --yes is how CI drives that path.</w:t>
      </w:r>
    </w:p>
    <w:p>
      <w:pPr>
        <w:pStyle w:val="Heading1"/>
      </w:pPr>
      <w:r>
        <w:t>4. What was built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Where</w:t>
            </w:r>
          </w:p>
        </w:tc>
      </w:tr>
      <w:tr>
        <w:tc>
          <w:tcPr>
            <w:tcW w:type="dxa" w:w="2880"/>
          </w:tcPr>
          <w:p>
            <w:r>
              <w:t>4</w:t>
            </w:r>
          </w:p>
        </w:tc>
        <w:tc>
          <w:tcPr>
            <w:tcW w:type="dxa" w:w="2880"/>
          </w:tcPr>
          <w:p>
            <w:r>
              <w:t>Fly topology for both apps: Toronto, sizes, no public IP on the backend, volume mount, health checks, release command</w:t>
            </w:r>
          </w:p>
        </w:tc>
        <w:tc>
          <w:tcPr>
            <w:tcW w:type="dxa" w:w="2880"/>
          </w:tcPr>
          <w:p>
            <w:r>
              <w:t>backend/fly.toml, studium-web/fly.toml, two Dockerfiles</w:t>
            </w:r>
          </w:p>
        </w:tc>
      </w:tr>
      <w:tr>
        <w:tc>
          <w:tcPr>
            <w:tcW w:type="dxa" w:w="2880"/>
          </w:tcPr>
          <w:p>
            <w:r>
              <w:t>4.5</w:t>
            </w:r>
          </w:p>
        </w:tc>
        <w:tc>
          <w:tcPr>
            <w:tcW w:type="dxa" w:w="2880"/>
          </w:tcPr>
          <w:p>
            <w:r>
              <w:t>Storage abstraction: byte interface over keys, local and R2 backends</w:t>
            </w:r>
          </w:p>
        </w:tc>
        <w:tc>
          <w:tcPr>
            <w:tcW w:type="dxa" w:w="2880"/>
          </w:tcPr>
          <w:p>
            <w:r>
              <w:t>studium/storage/</w:t>
            </w:r>
          </w:p>
        </w:tc>
      </w:tr>
      <w:tr>
        <w:tc>
          <w:tcPr>
            <w:tcW w:type="dxa" w:w="2880"/>
          </w:tcPr>
          <w:p>
            <w:r>
              <w:t>6</w:t>
            </w:r>
          </w:p>
        </w:tc>
        <w:tc>
          <w:tcPr>
            <w:tcW w:type="dxa" w:w="2880"/>
          </w:tcPr>
          <w:p>
            <w:r>
              <w:t>Secret registry; .env.example generated from it; secrets check / rotate</w:t>
            </w:r>
          </w:p>
        </w:tc>
        <w:tc>
          <w:tcPr>
            <w:tcW w:type="dxa" w:w="2880"/>
          </w:tcPr>
          <w:p>
            <w:r>
              <w:t>studium/ops/secrets.py</w:t>
            </w:r>
          </w:p>
        </w:tc>
      </w:tr>
      <w:tr>
        <w:tc>
          <w:tcPr>
            <w:tcW w:type="dxa" w:w="2880"/>
          </w:tcPr>
          <w:p>
            <w:r>
              <w:t>7</w:t>
            </w:r>
          </w:p>
        </w:tc>
        <w:tc>
          <w:tcPr>
            <w:tcW w:type="dxa" w:w="2880"/>
          </w:tcPr>
          <w:p>
            <w:r>
              <w:t>Correlation ids end to end, Sentry with a deny-by-shape scrubber, OpenTelemetry spans exported to Langfuse</w:t>
            </w:r>
          </w:p>
        </w:tc>
        <w:tc>
          <w:tcPr>
            <w:tcW w:type="dxa" w:w="2880"/>
          </w:tcPr>
          <w:p>
            <w:r>
              <w:t>studium/observability/</w:t>
            </w:r>
          </w:p>
        </w:tc>
      </w:tr>
      <w:tr>
        <w:tc>
          <w:tcPr>
            <w:tcW w:type="dxa" w:w="2880"/>
          </w:tcPr>
          <w:p>
            <w:r>
              <w:t>8</w:t>
            </w:r>
          </w:p>
        </w:tc>
        <w:tc>
          <w:tcPr>
            <w:tcW w:type="dxa" w:w="2880"/>
          </w:tcPr>
          <w:p>
            <w:r>
              <w:t>§8.1's table as data, six probes, eight externally-watched conditions each naming its home</w:t>
            </w:r>
          </w:p>
        </w:tc>
        <w:tc>
          <w:tcPr>
            <w:tcW w:type="dxa" w:w="2880"/>
          </w:tcPr>
          <w:p>
            <w:r>
              <w:t>studium/ops/alerts.py</w:t>
            </w:r>
          </w:p>
        </w:tc>
      </w:tr>
      <w:tr>
        <w:tc>
          <w:tcPr>
            <w:tcW w:type="dxa" w:w="2880"/>
          </w:tcPr>
          <w:p>
            <w:r>
              <w:t>9</w:t>
            </w:r>
          </w:p>
        </w:tc>
        <w:tc>
          <w:tcPr>
            <w:tcW w:type="dxa" w:w="2880"/>
          </w:tcPr>
          <w:p>
            <w:r>
              <w:t>verify-restore: eight read-only checks; four restore runbooks; the drill log</w:t>
            </w:r>
          </w:p>
        </w:tc>
        <w:tc>
          <w:tcPr>
            <w:tcW w:type="dxa" w:w="2880"/>
          </w:tcPr>
          <w:p>
            <w:r>
              <w:t>studium/ops/restore.py, docs/ops/</w:t>
            </w:r>
          </w:p>
        </w:tc>
      </w:tr>
      <w:tr>
        <w:tc>
          <w:tcPr>
            <w:tcW w:type="dxa" w:w="2880"/>
          </w:tcPr>
          <w:p>
            <w:r>
              <w:t>10</w:t>
            </w:r>
          </w:p>
        </w:tc>
        <w:tc>
          <w:tcPr>
            <w:tcW w:type="dxa" w:w="2880"/>
          </w:tcPr>
          <w:p>
            <w:r>
              <w:t>infrastructure.yml and prompt-regression.yml</w:t>
            </w:r>
          </w:p>
        </w:tc>
        <w:tc>
          <w:tcPr>
            <w:tcW w:type="dxa" w:w="2880"/>
          </w:tcPr>
          <w:p>
            <w:r>
              <w:t>.github/workflows/</w:t>
            </w:r>
          </w:p>
        </w:tc>
      </w:tr>
      <w:tr>
        <w:tc>
          <w:tcPr>
            <w:tcW w:type="dxa" w:w="2880"/>
          </w:tcPr>
          <w:p>
            <w:r>
              <w:t>11</w:t>
            </w:r>
          </w:p>
        </w:tc>
        <w:tc>
          <w:tcPr>
            <w:tcW w:type="dxa" w:w="2880"/>
          </w:tcPr>
          <w:p>
            <w:r>
              <w:t>Mint, publish, rotate, compromise; the scrutiny window; /api/signing-keys</w:t>
            </w:r>
          </w:p>
        </w:tc>
        <w:tc>
          <w:tcPr>
            <w:tcW w:type="dxa" w:w="2880"/>
          </w:tcPr>
          <w:p>
            <w:r>
              <w:t>studium/ops/keys.py</w:t>
            </w:r>
          </w:p>
        </w:tc>
      </w:tr>
      <w:tr>
        <w:tc>
          <w:tcPr>
            <w:tcW w:type="dxa" w:w="2880"/>
          </w:tcPr>
          <w:p>
            <w:r>
              <w:t>12</w:t>
            </w:r>
          </w:p>
        </w:tc>
        <w:tc>
          <w:tcPr>
            <w:tcW w:type="dxa" w:w="2880"/>
          </w:tcPr>
          <w:p>
            <w:r>
              <w:t>Nightly worker: batching, holds, per-policy transactions, audit rows</w:t>
            </w:r>
          </w:p>
        </w:tc>
        <w:tc>
          <w:tcPr>
            <w:tcW w:type="dxa" w:w="2880"/>
          </w:tcPr>
          <w:p>
            <w:r>
              <w:t>studium/ops/retention.py, nightly.py, scheduler.py</w:t>
            </w:r>
          </w:p>
        </w:tc>
      </w:tr>
      <w:tr>
        <w:tc>
          <w:tcPr>
            <w:tcW w:type="dxa" w:w="2880"/>
          </w:tcPr>
          <w:p>
            <w:r>
              <w:t>13</w:t>
            </w:r>
          </w:p>
        </w:tc>
        <w:tc>
          <w:tcPr>
            <w:tcW w:type="dxa" w:w="2880"/>
          </w:tcPr>
          <w:p>
            <w:r>
              <w:t>Cost report by user and cost line, anomalies, projection, attribution health</w:t>
            </w:r>
          </w:p>
        </w:tc>
        <w:tc>
          <w:tcPr>
            <w:tcW w:type="dxa" w:w="2880"/>
          </w:tcPr>
          <w:p>
            <w:r>
              <w:t>studium/ops/cost.py</w:t>
            </w:r>
          </w:p>
        </w:tc>
      </w:tr>
      <w:tr>
        <w:tc>
          <w:tcPr>
            <w:tcW w:type="dxa" w:w="2880"/>
          </w:tcPr>
          <w:p>
            <w:r>
              <w:t>14</w:t>
            </w:r>
          </w:p>
        </w:tc>
        <w:tc>
          <w:tcPr>
            <w:tcW w:type="dxa" w:w="2880"/>
          </w:tcPr>
          <w:p>
            <w:r>
              <w:t>Scaling triggers, with two consequences §14 does not mention</w:t>
            </w:r>
          </w:p>
        </w:tc>
        <w:tc>
          <w:tcPr>
            <w:tcW w:type="dxa" w:w="2880"/>
          </w:tcPr>
          <w:p>
            <w:r>
              <w:t>docs/ops/scaling.md</w:t>
            </w:r>
          </w:p>
        </w:tc>
      </w:tr>
      <w:tr>
        <w:tc>
          <w:tcPr>
            <w:tcW w:type="dxa" w:w="2880"/>
          </w:tcPr>
          <w:p>
            <w:r>
              <w:t>15</w:t>
            </w:r>
          </w:p>
        </w:tc>
        <w:tc>
          <w:tcPr>
            <w:tcW w:type="dxa" w:w="2880"/>
          </w:tcPr>
          <w:p>
            <w:r>
              <w:t>Failure-mode runbook with the command for each row</w:t>
            </w:r>
          </w:p>
        </w:tc>
        <w:tc>
          <w:tcPr>
            <w:tcW w:type="dxa" w:w="2880"/>
          </w:tcPr>
          <w:p>
            <w:r>
              <w:t>docs/ops/runbook.md</w:t>
            </w:r>
          </w:p>
        </w:tc>
      </w:tr>
    </w:tbl>
    <w:p/>
    <w:p>
      <w:r>
        <w:t>Migration 0012 adds §18's four items: retention_actions, retention_holds, signing_keys.compromised_at, and the metadata field that carries a pass's run_id. Two new tables brings the schema to 42.</w:t>
      </w:r>
    </w:p>
    <w:p>
      <w:pPr>
        <w:pStyle w:val="Heading1"/>
      </w:pPr>
      <w:r>
        <w:t>5. Decisions worth reading twice</w:t>
      </w:r>
    </w:p>
    <w:p>
      <w:r>
        <w:t>Twelve divergences are recorded in DIVERGENCES-INFRASTRUCTURE.md. Four are decisions rather than corrections, and each cost something.</w:t>
      </w:r>
    </w:p>
    <w:p>
      <w:pPr>
        <w:pStyle w:val="Heading2"/>
      </w:pPr>
      <w:r>
        <w:t>The health check is asymmetric on purpose</w:t>
      </w:r>
    </w:p>
    <w:p>
      <w:r>
        <w:t>§4.2 asks that /health check “Postgres connection and Anthropic reachability”. Fly routes on the status code, so if an Anthropic outage failed this check, every instance would fail it at the same moment and Fly would find nothing healthy to route to — turning a provider outage the runtime already degrades gracefully into a total outage of a product that still serves the desk, the journal and every read. Postgres unreachable returns 503; provider keys are reported and never gate. Anthropic is not called here either: the uptime monitor polls this every five minutes, and a live call per check would be a standing bill.</w:t>
      </w:r>
    </w:p>
    <w:p>
      <w:pPr>
        <w:pStyle w:val="Heading2"/>
      </w:pPr>
      <w:r>
        <w:t>A retention hold is refused where it would not protect</w:t>
      </w:r>
    </w:p>
    <w:p>
      <w:r>
        <w:t>A hold is a row the worker consults in its own WHERE clause. Postgres's referential actions consult nothing — deleting a two-year-old session cascades to its turns and traces with no predicate at all. So a hold on a cascade-reached row would sit in the database looking exactly like protection and provide none, and the operator would find that out when the dispute reached the point of asking for the data. place_hold refuses those tables and names the parent to hold instead, deriving the parent set from the ORM metadata so it cannot drift from the foreign keys.</w:t>
      </w:r>
    </w:p>
    <w:p>
      <w:pPr>
        <w:pStyle w:val="Heading2"/>
      </w:pPr>
      <w:r>
        <w:t>A compromised key still verifies</w:t>
      </w:r>
    </w:p>
    <w:p>
      <w:r>
        <w:t>compromised_at records the earliest time a key could have been compromised, not the moment it was noticed — §11.4 publishes a window and stamping discovery makes it too narrow by exactly the interval an attacker was using the key. The mark can be widened later and never narrowed, because narrowing a published scrutiny window tells verifiers that credentials they were warned about are fine. And it is advisory: verify_item reports it beside valid rather than folding it in, because the signature does verify and invalidating every credential the key ever issued would punish the learners rather than the attacker.</w:t>
      </w:r>
    </w:p>
    <w:p>
      <w:pPr>
        <w:pStyle w:val="Heading2"/>
      </w:pPr>
      <w:r>
        <w:t>The weekly paid regression is not on a cron</w:t>
      </w:r>
    </w:p>
    <w:p>
      <w:r>
        <w:t>Evaluation §13.3 asks for one. GitHub's schedule trigger would run $5–15 of model calls at 03:00 against the default branch with nobody awake to read the result or stop a run failing for an unrelated reason. §8.3 is explicit that “nothing is truly immediate because the operator sleeps”, and a scheduled paid job is the one kind of automation that assumes otherwise. It is on the operational calendar instead, and a test asserts no schedule: trigger appears in that workflow — because adding one is two lines that would look reasonable in review.</w:t>
      </w:r>
    </w:p>
    <w:p>
      <w:pPr>
        <w:pStyle w:val="Heading1"/>
      </w:pPr>
      <w:r>
        <w:t>6. Three defects the tests found in this build's own code</w:t>
      </w:r>
    </w:p>
    <w:p>
      <w:r>
        <w:t>All three were found by tests written against the behaviour rather than against the implementation, and none would have been visible in a code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Defect</w:t>
            </w:r>
          </w:p>
        </w:tc>
        <w:tc>
          <w:tcPr>
            <w:tcW w:type="dxa" w:w="2880"/>
          </w:tcPr>
          <w:p>
            <w:r>
              <w:rPr>
                <w:b/>
              </w:rPr>
              <w:t>How it surfaced</w:t>
            </w:r>
          </w:p>
        </w:tc>
        <w:tc>
          <w:tcPr>
            <w:tcW w:type="dxa" w:w="2880"/>
          </w:tcPr>
          <w:p>
            <w:r>
              <w:rPr>
                <w:b/>
              </w:rPr>
              <w:t>Why it mattered</w:t>
            </w:r>
          </w:p>
        </w:tc>
      </w:tr>
      <w:tr>
        <w:tc>
          <w:tcPr>
            <w:tcW w:type="dxa" w:w="2880"/>
          </w:tcPr>
          <w:p>
            <w:r>
              <w:t>The retention worker's hold count ran outside its try block</w:t>
            </w:r>
          </w:p>
        </w:tc>
        <w:tc>
          <w:tcPr>
            <w:tcW w:type="dxa" w:w="2880"/>
          </w:tcPr>
          <w:p>
            <w:r>
              <w:t>A test driving a session that raises on every statement</w:t>
            </w:r>
          </w:p>
        </w:tc>
        <w:tc>
          <w:tcPr>
            <w:tcW w:type="dxa" w:w="2880"/>
          </w:tcPr>
          <w:p>
            <w:r>
              <w:t>A database that stopped answering would escape the per-policy failure isolation and take the whole nightly pass down — the opposite of what the loop exists for.</w:t>
            </w:r>
          </w:p>
        </w:tc>
      </w:tr>
      <w:tr>
        <w:tc>
          <w:tcPr>
            <w:tcW w:type="dxa" w:w="2880"/>
          </w:tcPr>
          <w:p>
            <w:r>
              <w:t>The correlation-id log hook decorated nothing</w:t>
            </w:r>
          </w:p>
        </w:tc>
        <w:tc>
          <w:tcPr>
            <w:tcW w:type="dxa" w:w="2880"/>
          </w:tcPr>
          <w:p>
            <w:r>
              <w:t>A test logging through studium.agents.lecturer rather than root</w:t>
            </w:r>
          </w:p>
        </w:tc>
        <w:tc>
          <w:tcPr>
            <w:tcW w:type="dxa" w:w="2880"/>
          </w:tcPr>
          <w:p>
            <w:r>
              <w:t>logging.Filter on the root logger runs only for records created by that logger; module-logger records propagate to root's handlers and never re-run its filters. The obvious implementation reports success while doing nothing. Replaced with a chained log-record factory.</w:t>
            </w:r>
          </w:p>
        </w:tc>
      </w:tr>
      <w:tr>
        <w:tc>
          <w:tcPr>
            <w:tcW w:type="dxa" w:w="2880"/>
          </w:tcPr>
          <w:p>
            <w:r>
              <w:t>Alembic switched off every application logger</w:t>
            </w:r>
          </w:p>
        </w:tc>
        <w:tc>
          <w:tcPr>
            <w:tcW w:type="dxa" w:w="2880"/>
          </w:tcPr>
          <w:p>
            <w:r>
              <w:t>An order-dependent test failure that only appeared when the migration-sequence tests ran first</w:t>
            </w:r>
          </w:p>
        </w:tc>
        <w:tc>
          <w:tcPr>
            <w:tcW w:type="dxa" w:w="2880"/>
          </w:tcPr>
          <w:p>
            <w:r>
              <w:t>logging.config.fileConfig defaults disable_existing_loggers to True, so an in-process Alembic run sets .disabled on every studium.* logger already created. Permanently, with no error and no log line. Harmless in the deploy's release command, which is its own process; fixed anyway, because the symptom is that logs stop rather than that anything fails.</w:t>
            </w:r>
          </w:p>
        </w:tc>
      </w:tr>
    </w:tbl>
    <w:p/>
    <w:p>
      <w:r>
        <w:t>The third is the one worth dwelling on. It presented as a flaky test and the tempting fix was to weaken the assertion. Rewriting the test to depend on nothing global — a handler attached directly to the logger under test — turned it into a reproducible finding with a one-word fix and a real, if narrow, consequence.</w:t>
      </w:r>
    </w:p>
    <w:p>
      <w:pPr>
        <w:pStyle w:val="Heading1"/>
      </w:pPr>
      <w:r>
        <w:t>7. Spec debt: two closed, two opened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Entry</w:t>
            </w:r>
          </w:p>
        </w:tc>
        <w:tc>
          <w:tcPr>
            <w:tcW w:type="dxa" w:w="4320"/>
          </w:tcPr>
          <w:p>
            <w:r>
              <w:rPr>
                <w:b/>
              </w:rPr>
              <w:t>Status</w:t>
            </w:r>
          </w:p>
        </w:tc>
      </w:tr>
      <w:tr>
        <w:tc>
          <w:tcPr>
            <w:tcW w:type="dxa" w:w="4320"/>
          </w:tcPr>
          <w:p>
            <w:r>
              <w:t>SD2 — unattributed_content is a counter nobody reads</w:t>
            </w:r>
          </w:p>
        </w:tc>
        <w:tc>
          <w:tcPr>
            <w:tcW w:type="dxa" w:w="4320"/>
          </w:tcPr>
          <w:p>
            <w:r>
              <w:t>CLOSED. It has two readers: a line in the cost report and a §8 condition on the ratio rather than the count, because Curator pre-generation legitimately has no session and alerting on the absolute number would fire on a productive week of authoring.</w:t>
            </w:r>
          </w:p>
        </w:tc>
      </w:tr>
      <w:tr>
        <w:tc>
          <w:tcPr>
            <w:tcW w:type="dxa" w:w="4320"/>
          </w:tcPr>
          <w:p>
            <w:r>
              <w:t>SD9 — evaluation runs share the learner's budget cap</w:t>
            </w:r>
          </w:p>
        </w:tc>
        <w:tc>
          <w:tcPr>
            <w:tcW w:type="dxa" w:w="4320"/>
          </w:tcPr>
          <w:p>
            <w:r>
              <w:t>CLOSED, with the finding that the premise was false and the enforcement gap was real. See §3.</w:t>
            </w:r>
          </w:p>
        </w:tc>
      </w:tr>
      <w:tr>
        <w:tc>
          <w:tcPr>
            <w:tcW w:type="dxa" w:w="4320"/>
          </w:tcPr>
          <w:p>
            <w:r>
              <w:t>SD10 — the operational calendar has no keeper</w:t>
            </w:r>
          </w:p>
        </w:tc>
        <w:tc>
          <w:tcPr>
            <w:tcW w:type="dxa" w:w="4320"/>
          </w:tcPr>
          <w:p>
            <w:r>
              <w:t>NEW. §3 is firm that “rotation is scheduled, not reactive”, and nine recurring obligations have exactly one mechanism between them. Two are worse than the rest: the restore drill, and destroying a retired private key 90 days after a rotation — a one-off follow-up to an event a year earlier.</w:t>
            </w:r>
          </w:p>
        </w:tc>
      </w:tr>
      <w:tr>
        <w:tc>
          <w:tcPr>
            <w:tcW w:type="dxa" w:w="4320"/>
          </w:tcPr>
          <w:p>
            <w:r>
              <w:t>SD11 — §16's Tier 2 deploy lines cannot run in CI</w:t>
            </w:r>
          </w:p>
        </w:tc>
        <w:tc>
          <w:tcPr>
            <w:tcW w:type="dxa" w:w="4320"/>
          </w:tcPr>
          <w:p>
            <w:r>
              <w:t>NEW, and partly by design: §6.2 scopes the deployment token to a workstation, and a CI job that can deploy is a CI job that can deploy anything a compromised action can build. §10.3's central promise — that a migration failure aborts the deploy and the previous version keeps serving — is asserted as configuration and by nobody as behaviour.</w:t>
            </w:r>
          </w:p>
        </w:tc>
      </w:tr>
    </w:tbl>
    <w:p/>
    <w:p>
      <w:pPr>
        <w:pStyle w:val="Heading1"/>
      </w:pPr>
      <w:r>
        <w:t>8. What to do first</w:t>
      </w:r>
    </w:p>
    <w:p>
      <w:r>
        <w:t>In this order, and the first two are cheap enough to do in an afternoon.</w:t>
      </w:r>
    </w:p>
    <w:p>
      <w:pPr>
        <w:pStyle w:val="ListBullet"/>
      </w:pPr>
      <w:r>
        <w:t>Run the first restore drill. §3 calls an untested backup “a coin flip that could have been avoided by testing”, and the first drill is the one most likely to find something. It also replaces two estimates in §9 with measurements.</w:t>
      </w:r>
    </w:p>
    <w:p>
      <w:pPr>
        <w:pStyle w:val="ListBullet"/>
      </w:pPr>
      <w:r>
        <w:t>Deploy to a scratch Fly app and run the deploy/rollback pair by hand, recording it in the drill log. That is SD11, and whoever runs the first real deployment is performing this test whether or not they write it down.</w:t>
      </w:r>
    </w:p>
    <w:p>
      <w:pPr>
        <w:pStyle w:val="ListBullet"/>
      </w:pPr>
      <w:r>
        <w:t>Decide SD10. Calendar reminders outside the system are free and exactly as reliable as the person who set them up; a `studium ops calendar` command is the version that survives a second operator. Either is better than the current answer, which is memory.</w:t>
      </w:r>
    </w:p>
    <w:p>
      <w:pPr>
        <w:pStyle w:val="ListBullet"/>
      </w:pPr>
      <w:r>
        <w:t>Configure the account-side half: Sentry projects and alert rules, the Langfuse project, the Uptime Robot monitor. The code emits; nothing receives.</w:t>
      </w:r>
    </w:p>
    <w:p>
      <w:pPr>
        <w:pStyle w:val="ListBullet"/>
      </w:pPr>
      <w:r>
        <w:t>Watch the alert thresholds for a month and expect to change several. None of them has fired against real data, and §1 says as much: “what a v1.1 revision would tune is the specific numbers.”</w:t>
      </w:r>
    </w:p>
    <w:p/>
    <w:p>
      <w:pPr>
        <w:pStyle w:val="IntenseQuote"/>
      </w:pPr>
      <w:r>
        <w:t>The specification set for MVP is complete: seven specs, seven builds. What this subsystem cannot give you is the thing it exists to describe — a running system — and most of what is untested above becomes testable the day there 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Infrastructure — Build Report</dc:title>
  <dc:subject>Subsystem 7 of 7, against infrastructure specification v1.0</dc:subject>
  <dc:creator>Studium build</dc:creator>
  <cp:keywords/>
  <dc:description>generated by python-docx</dc:description>
  <cp:lastModifiedBy/>
  <cp:revision>1</cp:revision>
  <dcterms:created xsi:type="dcterms:W3CDTF">2013-12-23T23:15:00Z</dcterms:created>
  <dcterms:modified xsi:type="dcterms:W3CDTF">2013-12-23T23:15:00Z</dcterms:modified>
  <cp:category/>
</cp:coreProperties>
</file>