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Scheduler Verification and Data Layer Spec Reconciliation</w:t>
      </w:r>
    </w:p>
    <w:p>
      <w:pPr>
        <w:jc w:val="left"/>
      </w:pPr>
      <w:r>
        <w:t>Subsystems 7 and 1  •  Data layer specification v1.2  •  1 September 2026</w:t>
      </w:r>
    </w:p>
    <w:p>
      <w:pPr>
        <w:pStyle w:val="IntenseQuote"/>
      </w:pPr>
      <w:r>
        <w:t>The task was to wire three orphaned schedulers. They were already wired, and verifying that against a real database is most of what follows. What was not sound was the test protecting them: the one guard whose entire job is to stop those three jobs going orphaned again searched the module’s source text for their names, and the module’s docstring names all three. It could not fail. Deleting the erasure stage — reinstating the bug where right-to-erasure never completes — left it green. Fixing that led into the v1.2 spec, where §6.1 and §10.2 turned out to describe a users table nobody built: five phantom objects, including two columns the erasure procedure is written against.</w:t>
      </w:r>
    </w:p>
    <w:p>
      <w:pPr>
        <w:pStyle w:val="Heading1"/>
      </w:pPr>
      <w:r>
        <w:t>1. What “verified” means in this report</w:t>
      </w:r>
    </w:p>
    <w:p>
      <w:r>
        <w:t>Verified means the behaviour was exercised against a real Postgres 16 (the pinned pgvector/pgvector:pg16 image from backend/docker-compose.test.yml) and observed to be correct. Every count below comes from a run made while writing this report.</w:t>
      </w:r>
    </w:p>
    <w:p>
      <w:r>
        <w:t>It does not mean, and this report does not claim:</w:t>
      </w:r>
    </w:p>
    <w:p>
      <w:pPr>
        <w:pStyle w:val="ListBullet"/>
      </w:pPr>
      <w:r>
        <w:t>That anything is deployed. Nothing is. The scheduler’s 02:00 UTC firing has never been observed outside a test.</w:t>
      </w:r>
    </w:p>
    <w:p>
      <w:pPr>
        <w:pStyle w:val="ListBullet"/>
      </w:pPr>
      <w:r>
        <w:t>That the advisory lock has been exercised under real concurrency. It is tested single-process; the multi-instance case it exists for arrives with §14.1’s auto-scaling trigger.</w:t>
      </w:r>
    </w:p>
    <w:p>
      <w:pPr>
        <w:pStyle w:val="ListBullet"/>
      </w:pPr>
      <w:r>
        <w:t>That the spec corrections were validated against anything but the schema, the models, and the migrations. They are documentation.</w:t>
      </w:r>
    </w:p>
    <w:p>
      <w:pPr>
        <w:pStyle w:val="Heading1"/>
      </w:pPr>
      <w:r>
        <w:t>2. The three schedulers were already wired</w:t>
      </w:r>
    </w:p>
    <w:p>
      <w:r>
        <w:t>Not by this session. The chain was committed on branch yannis as part of the subsystem 7 build, and it is complete end to end:</w:t>
      </w:r>
    </w:p>
    <w:p>
      <w:r>
        <w:rPr>
          <w:rFonts w:ascii="Consolas" w:hAnsi="Consolas"/>
          <w:sz w:val="18"/>
        </w:rPr>
        <w:t>fly.toml STUDIUM_RETENTION_WORKER=1 → app lifespan → RetentionScheduler</w:t>
      </w:r>
    </w:p>
    <w:p>
      <w:r>
        <w:rPr>
          <w:rFonts w:ascii="Consolas" w:hAnsi="Consolas"/>
          <w:sz w:val="18"/>
        </w:rPr>
        <w:t xml:space="preserve">  → 02:00 UTC daily → _run_pass (pg_try_advisory_lock) → run_nightly</w:t>
      </w:r>
    </w:p>
    <w:p>
      <w:r>
        <w:t>run_nightly executes four stages, each failure-isolated so that one raising does not stop the others: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Calls</w:t>
            </w:r>
          </w:p>
        </w:tc>
        <w:tc>
          <w:tcPr>
            <w:tcW w:type="dxa" w:w="2880"/>
          </w:tcPr>
          <w:p>
            <w:r>
              <w:rPr>
                <w:b/>
              </w:rPr>
              <w:t>Covered by</w:t>
            </w:r>
          </w:p>
        </w:tc>
      </w:tr>
      <w:tr>
        <w:tc>
          <w:tcPr>
            <w:tcW w:type="dxa" w:w="2880"/>
          </w:tcPr>
          <w:p>
            <w:r>
              <w:t>retention</w:t>
            </w:r>
          </w:p>
        </w:tc>
        <w:tc>
          <w:tcPr>
            <w:tcW w:type="dxa" w:w="2880"/>
          </w:tcPr>
          <w:p>
            <w:r>
              <w:t>ops.retention.run_retention</w:t>
            </w:r>
          </w:p>
        </w:tc>
        <w:tc>
          <w:tcPr>
            <w:tcW w:type="dxa" w:w="2880"/>
          </w:tcPr>
          <w:p>
            <w:r>
              <w:t>§12.1’s pass; writes per-policy audit rows</w:t>
            </w:r>
          </w:p>
        </w:tc>
      </w:tr>
      <w:tr>
        <w:tc>
          <w:tcPr>
            <w:tcW w:type="dxa" w:w="2880"/>
          </w:tcPr>
          <w:p>
            <w:r>
              <w:t>erasure_purge</w:t>
            </w:r>
          </w:p>
        </w:tc>
        <w:tc>
          <w:tcPr>
            <w:tcW w:type="dxa" w:w="2880"/>
          </w:tcPr>
          <w:p>
            <w:r>
              <w:t>privacy.purge_expired_soft_deletes</w:t>
            </w:r>
          </w:p>
        </w:tc>
        <w:tc>
          <w:tcPr>
            <w:tcW w:type="dxa" w:w="2880"/>
          </w:tcPr>
          <w:p>
            <w:r>
              <w:t>Tier 2: purges an expired soft delete, spares one inside the window</w:t>
            </w:r>
          </w:p>
        </w:tc>
      </w:tr>
      <w:tr>
        <w:tc>
          <w:tcPr>
            <w:tcW w:type="dxa" w:w="2880"/>
          </w:tcPr>
          <w:p>
            <w:r>
              <w:t>mastery_decay</w:t>
            </w:r>
          </w:p>
        </w:tc>
        <w:tc>
          <w:tcPr>
            <w:tcW w:type="dxa" w:w="2880"/>
          </w:tcPr>
          <w:p>
            <w:r>
              <w:t>jobs.cost_rollup.refresh_decay</w:t>
            </w:r>
          </w:p>
        </w:tc>
        <w:tc>
          <w:tcPr>
            <w:tcW w:type="dxa" w:w="2880"/>
          </w:tcPr>
          <w:p>
            <w:r>
              <w:t>Tier 2: new this session (see §4)</w:t>
            </w:r>
          </w:p>
        </w:tc>
      </w:tr>
      <w:tr>
        <w:tc>
          <w:tcPr>
            <w:tcW w:type="dxa" w:w="2880"/>
          </w:tcPr>
          <w:p>
            <w:r>
              <w:t>consistency</w:t>
            </w:r>
          </w:p>
        </w:tc>
        <w:tc>
          <w:tcPr>
            <w:tcW w:type="dxa" w:w="2880"/>
          </w:tcPr>
          <w:p>
            <w:r>
              <w:t>jobs.retention.check_dangling_chunk_refs</w:t>
            </w:r>
          </w:p>
        </w:tc>
        <w:tc>
          <w:tcPr>
            <w:tcW w:type="dxa" w:w="2880"/>
          </w:tcPr>
          <w:p>
            <w:r>
              <w:t>Tier 2: queues a dangling ref, de-duplicates on a second pass</w:t>
            </w:r>
          </w:p>
        </w:tc>
      </w:tr>
    </w:tbl>
    <w:p/>
    <w:p>
      <w:r>
        <w:t>The deployment genuinely arms it: fly.toml sets the enabling variable to “1”, and a deployment test pins that value so it cannot be dropped silently. The erasure column names are consistent across privacy.py, the User model and the stage’s dry-run SQL, so the purge is functional rather than merely present.</w:t>
      </w:r>
    </w:p>
    <w:p>
      <w:r>
        <w:t xml:space="preserve">Evidence: 31 of 31 tests in </w:t>
      </w:r>
      <w:r>
        <w:rPr>
          <w:rFonts w:ascii="Consolas" w:hAnsi="Consolas"/>
        </w:rPr>
        <w:t>tests/online/test_ops_db.py</w:t>
      </w:r>
      <w:r>
        <w:t xml:space="preserve"> passed against Postgres, including the hard-delete of an expired soft delete, the sparing of an account still inside the 30-day window, and the dry run that changes nothing.</w:t>
      </w:r>
    </w:p>
    <w:p>
      <w:pPr>
        <w:pStyle w:val="Heading1"/>
      </w:pPr>
      <w:r>
        <w:t>3. The guard protecting them could not fail</w:t>
      </w:r>
    </w:p>
    <w:p>
      <w:r>
        <w:t>One test exists specifically to stop these three jobs losing their caller again. As written, it did this:</w:t>
      </w:r>
    </w:p>
    <w:p>
      <w:r>
        <w:rPr>
          <w:rFonts w:ascii="Consolas" w:hAnsi="Consolas"/>
          <w:sz w:val="18"/>
        </w:rPr>
        <w:t>source = inspect.getsource(nightly)</w:t>
      </w:r>
    </w:p>
    <w:p>
      <w:r>
        <w:rPr>
          <w:rFonts w:ascii="Consolas" w:hAnsi="Consolas"/>
          <w:sz w:val="18"/>
        </w:rPr>
        <w:t>for function in (three names):</w:t>
      </w:r>
    </w:p>
    <w:p>
      <w:r>
        <w:rPr>
          <w:rFonts w:ascii="Consolas" w:hAnsi="Consolas"/>
          <w:sz w:val="18"/>
        </w:rPr>
        <w:t xml:space="preserve">    assert function in source</w:t>
      </w:r>
    </w:p>
    <w:p>
      <w:r>
        <w:t>studium/ops/nightly.py opens with a docstring table naming all three orphans and explaining what breaks without each. The assertion was therefore satisfied by the prose that documents the bug, entirely independently of whether the code that fixes it still existed.</w:t>
      </w:r>
    </w:p>
    <w:p>
      <w:r>
        <w:t>Confirmed two ways rather than by reading:</w:t>
      </w:r>
    </w:p>
    <w:p>
      <w:pPr>
        <w:pStyle w:val="ListBullet"/>
      </w:pPr>
      <w:r>
        <w:t>Extracted the module docstring alone and checked each of the three names appears in it. All three do.</w:t>
      </w:r>
    </w:p>
    <w:p>
      <w:pPr>
        <w:pStyle w:val="ListBullet"/>
      </w:pPr>
      <w:r>
        <w:t>Deleted the erasure_purge stage from run_nightly — reinstating the exact defect, an erasure request that never completes — and ran the suite. The test stayed green.</w:t>
      </w:r>
    </w:p>
    <w:p>
      <w:r>
        <w:t>Replaced with a version that monkeypatches the three functions and asserts run_nightly actually called them, in order. That version fails on the same mutation, which is the property the original never had. The stage was then restored; nightly.py is byte-identical to its committed state.</w:t>
      </w:r>
    </w:p>
    <w:p>
      <w:pPr>
        <w:pStyle w:val="IntenseQuote"/>
      </w:pPr>
      <w:r>
        <w:t>This is the dual of the “structurally unpassable gate” recorded during the CI triage of 28 August. There, a gate could never go green. Here, a guard could never go red. Both are verification paths that nothing verifies — and a test whose subject is “X has a caller” is unusually prone to it, because the cheap implementation greps for X and X’s name is all over the file explaining why the test exists.</w:t>
      </w:r>
    </w:p>
    <w:p>
      <w:pPr>
        <w:pStyle w:val="Heading1"/>
      </w:pPr>
      <w:r>
        <w:t>4. mastery_decay ran, and proved nothing</w:t>
      </w:r>
    </w:p>
    <w:p>
      <w:r>
        <w:t>The decay stage passed everywhere it was exercised, against an empty concept_mastery table — where a no-op and a correct full-table UPDATE are the same observation: zero rows, no error. The symptom of the orphaning was a stale column, so a test that never has a stale value cannot detect it.</w:t>
      </w:r>
    </w:p>
    <w:p>
      <w:r>
        <w:t>Added a Tier 2 test seeding a row with p_known 0.9, evidence a year old, and a decayed column still holding 0.9 — the state a year with no scheduler leaves. It asserts the decayed value drops, that the raw posterior is untouched, and that the result stays within [0, 1]. Gating is deliberately unaffected by this column, which is exactly why nobody noticed it was frozen: unlock computes decay in SQL at query time, and what reads the stored column is sorting and reporting.</w:t>
      </w:r>
    </w:p>
    <w:p>
      <w:pPr>
        <w:pStyle w:val="Heading1"/>
      </w:pPr>
      <w:r>
        <w:t>5. A flag raised and withdrawn: the test database port</w:t>
      </w:r>
    </w:p>
    <w:p>
      <w:r>
        <w:t>This report’s first draft claimed the online tier silently skips for developers because tests/conftest.py defaults to port 5432 while docker-compose.test.yml publishes 5433. That was wrong, and acting on it would have broken the intended path.</w:t>
      </w:r>
    </w:p>
    <w:p>
      <w:r>
        <w:t>The Makefile exports the test database URL at 5433 for every target, with the intent stated in a comment: the online tests use the throwaway instance so that a test run never touches the development database. The 5432 default is the bare-pytest fallback, and it points at the development compose file’s studium_test database, which the init script creates. Both paths work. The skips observed were caused by the development container having been stopped for 27 hours.</w:t>
      </w:r>
    </w:p>
    <w:p>
      <w:pPr>
        <w:pStyle w:val="IntenseQuote"/>
      </w:pPr>
      <w:r>
        <w:t>Recorded here rather than quietly dropped, because a withdrawn finding is information: it says the two compose files are doing different jobs deliberately, which the next person to trip over a skip will want.</w:t>
      </w:r>
    </w:p>
    <w:p>
      <w:pPr>
        <w:pStyle w:val="Heading1"/>
      </w:pPr>
      <w:r>
        <w:t>6. The v1.2 spec described a users table nobody built</w:t>
      </w:r>
    </w:p>
    <w:p>
      <w:r>
        <w:t>The reconciliation began as a single stale column name and turned out to be five phantom objects across §6.0, §6.1, §6.11 and §10.2 — none of which exists anywhere in backend/:</w:t>
      </w:r>
    </w:p>
    <w:tbl>
      <w:tblPr>
        <w:tblStyle w:val="LightGrid-Accent1"/>
        <w:tblW w:type="auto" w:w="0"/>
        <w:tblLook w:firstColumn="1" w:firstRow="1" w:lastColumn="0" w:lastRow="0" w:noHBand="0" w:noVBand="1" w:val="04A0"/>
      </w:tblPr>
      <w:tblGrid>
        <w:gridCol w:w="4320"/>
        <w:gridCol w:w="4320"/>
      </w:tblGrid>
      <w:tr>
        <w:tc>
          <w:tcPr>
            <w:tcW w:type="dxa" w:w="4320"/>
          </w:tcPr>
          <w:p>
            <w:r>
              <w:rPr>
                <w:b/>
              </w:rPr>
              <w:t>v1.2 claimed</w:t>
            </w:r>
          </w:p>
        </w:tc>
        <w:tc>
          <w:tcPr>
            <w:tcW w:type="dxa" w:w="4320"/>
          </w:tcPr>
          <w:p>
            <w:r>
              <w:rPr>
                <w:b/>
              </w:rPr>
              <w:t>Actually built</w:t>
            </w:r>
          </w:p>
        </w:tc>
      </w:tr>
      <w:tr>
        <w:tc>
          <w:tcPr>
            <w:tcW w:type="dxa" w:w="4320"/>
          </w:tcPr>
          <w:p>
            <w:r>
              <w:t>soft_deleted_at + hard_delete_after</w:t>
            </w:r>
          </w:p>
        </w:tc>
        <w:tc>
          <w:tcPr>
            <w:tcW w:type="dxa" w:w="4320"/>
          </w:tcPr>
          <w:p>
            <w:r>
              <w:t>one deleted_at; window computed as deleted_at + DISPUTE_WINDOW_DAYS</w:t>
            </w:r>
          </w:p>
        </w:tc>
      </w:tr>
      <w:tr>
        <w:tc>
          <w:tcPr>
            <w:tcW w:type="dxa" w:w="4320"/>
          </w:tcPr>
          <w:p>
            <w:r>
              <w:t>is_system BOOLEAN NOT NULL</w:t>
            </w:r>
          </w:p>
        </w:tc>
        <w:tc>
          <w:tcPr>
            <w:tcW w:type="dxa" w:w="4320"/>
          </w:tcPr>
          <w:p>
            <w:r>
              <w:t>a reserved id, 00000000-0000-7000-8000-000000000001</w:t>
            </w:r>
          </w:p>
        </w:tc>
      </w:tr>
      <w:tr>
        <w:tc>
          <w:tcPr>
            <w:tcW w:type="dxa" w:w="4320"/>
          </w:tcPr>
          <w:p>
            <w:r>
              <w:t>user_role enum, values include 'system'</w:t>
            </w:r>
          </w:p>
        </w:tc>
        <w:tc>
          <w:tcPr>
            <w:tcW w:type="dxa" w:w="4320"/>
          </w:tcPr>
          <w:p>
            <w:r>
              <w:t>role TEXT + CHECK, values include 'admin'</w:t>
            </w:r>
          </w:p>
        </w:tc>
      </w:tr>
      <w:tr>
        <w:tc>
          <w:tcPr>
            <w:tcW w:type="dxa" w:w="4320"/>
          </w:tcPr>
          <w:p>
            <w:r>
              <w:t>deleted_users_aggregate table</w:t>
            </w:r>
          </w:p>
        </w:tc>
        <w:tc>
          <w:tcPr>
            <w:tcW w:type="dxa" w:w="4320"/>
          </w:tcPr>
          <w:p>
            <w:r>
              <w:t>cost_ledger rows with user_id IS NULL</w:t>
            </w:r>
          </w:p>
        </w:tc>
      </w:tr>
      <w:tr>
        <w:tc>
          <w:tcPr>
            <w:tcW w:type="dxa" w:w="4320"/>
          </w:tcPr>
          <w:p>
            <w:r>
              <w:t>users.preferences</w:t>
            </w:r>
          </w:p>
        </w:tc>
        <w:tc>
          <w:tcPr>
            <w:tcW w:type="dxa" w:w="4320"/>
          </w:tcPr>
          <w:p>
            <w:r>
              <w:t>lives on user_profiles</w:t>
            </w:r>
          </w:p>
        </w:tc>
      </w:tr>
    </w:tbl>
    <w:p/>
    <w:p>
      <w:r>
        <w:t>The direction of the drift mattered more than its size, because it decides whether the fix is a documentation edit or a migration. What settled it was v1.1: it uses deleted_at fourteen times, including the index definition byte-for-byte as the code implements it, and contains no occurrence of any phantom name. v1.1 agreed with the build; v1.2 is where it broke. The redline was not a reliable index of this — the change appears only as a parenthetical inside a list of things that did not change, never as one of the 25 numbered items.</w:t>
      </w:r>
    </w:p>
    <w:p>
      <w:r>
        <w:t>Both markdown files in this folder were corrected: the §6.0 enum block, the §6.1 DDL and its surrounding prose, the §10.1 retention table, the §10.2 erasure procedure rewritten against the actual code path, the §6.11 merge description, and the redline’s parenthetical and V13 entry.</w:t>
      </w:r>
    </w:p>
    <w:p>
      <w:pPr>
        <w:pStyle w:val="Heading2"/>
      </w:pPr>
      <w:r>
        <w:t>6.1 The erasure procedure, as actually executed</w:t>
      </w:r>
    </w:p>
    <w:p>
      <w:r>
        <w:t>§10.2 previously specified anonymising the learner’s own identity columns at request time. The code deliberately does not, and one of the steps could not execute at all: email is NOT NULL, so there is no nulling it in place. The built design keeps the identity for the dispute window precisely so an accidental erasure can be reversed, and frees the address immediately by other means — the unique index on email is partial on deleted_at IS NULL, so a soft-deleted row drops out of it. On instruction, the spec was aligned to the code. §10.2 now documents the real sequence, including the ordering constraint that the response redaction must run before the attempt owner is nulled, because it finds its rows through that column.</w:t>
      </w:r>
    </w:p>
    <w:p>
      <w:pPr>
        <w:pStyle w:val="Heading1"/>
      </w:pPr>
      <w:r>
        <w:t>7. Two requirements kept, not deleted</w:t>
      </w:r>
    </w:p>
    <w:p>
      <w:r>
        <w:t>“Align the spec to the build” is the right instruction for drift, and the wrong one for scope. Two items in §10.2 are not descriptions of a built mechanism that drifted — they are requirements with no built equivalent at all. Deleting them to make the document true would have discarded work nobody had decided against. Both are now marked in §10.2 as unbuilt and tracked in the redline’s open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Current behaviour</w:t>
            </w:r>
          </w:p>
        </w:tc>
        <w:tc>
          <w:tcPr>
            <w:tcW w:type="dxa" w:w="2880"/>
          </w:tcPr>
          <w:p>
            <w:r>
              <w:rPr>
                <w:b/>
              </w:rPr>
              <w:t>Consequence</w:t>
            </w:r>
          </w:p>
        </w:tc>
      </w:tr>
      <w:tr>
        <w:tc>
          <w:tcPr>
            <w:tcW w:type="dxa" w:w="2880"/>
          </w:tcPr>
          <w:p>
            <w:r>
              <w:t>Credential retention exception</w:t>
            </w:r>
          </w:p>
        </w:tc>
        <w:tc>
          <w:tcPr>
            <w:tcW w:type="dxa" w:w="2880"/>
          </w:tcPr>
          <w:p>
            <w:r>
              <w:t>No is_credential column; portfolio_items cascades on erasure</w:t>
            </w:r>
          </w:p>
        </w:tc>
        <w:tc>
          <w:tcPr>
            <w:tcW w:type="dxa" w:w="2880"/>
          </w:tcPr>
          <w:p>
            <w:r>
              <w:t>A hard delete destroys the credentials the spec says must stay verifiable</w:t>
            </w:r>
          </w:p>
        </w:tc>
      </w:tr>
      <w:tr>
        <w:tc>
          <w:tcPr>
            <w:tcW w:type="dxa" w:w="2880"/>
          </w:tcPr>
          <w:p>
            <w:r>
              <w:t>Erasure purge audit row</w:t>
            </w:r>
          </w:p>
        </w:tc>
        <w:tc>
          <w:tcPr>
            <w:tcW w:type="dxa" w:w="2880"/>
          </w:tcPr>
          <w:p>
            <w:r>
              <w:t>purge_expired_soft_deletes deletes and returns a count, writing no retention_actions row</w:t>
            </w:r>
          </w:p>
        </w:tc>
        <w:tc>
          <w:tcPr>
            <w:tcW w:type="dxa" w:w="2880"/>
          </w:tcPr>
          <w:p>
            <w:r>
              <w:t>The audit log records that erasure was requested; nothing records that it completed</w:t>
            </w:r>
          </w:p>
        </w:tc>
      </w:tr>
    </w:tbl>
    <w:p/>
    <w:p>
      <w:pPr>
        <w:pStyle w:val="IntenseQuote"/>
      </w:pPr>
      <w:r>
        <w:t>The second is the sharper one. Every ordinary retention policy writes an audit row, and §12.2 asks for a trail answering “why did that data go away”. The one deletion carrying a statutory deadline is the only one that leaves no trace. It is a few lines inside the erasure_purge stage to close, and it was left alone only because it is a behaviour change rather than the documentation reconciliation that was asked for.</w:t>
      </w:r>
    </w:p>
    <w:p>
      <w:pPr>
        <w:pStyle w:val="Heading1"/>
      </w:pPr>
      <w:r>
        <w:t>8. What was run</w:t>
      </w:r>
    </w:p>
    <w:tbl>
      <w:tblPr>
        <w:tblStyle w:val="LightGrid-Accent1"/>
        <w:tblW w:type="auto" w:w="0"/>
        <w:tblLook w:firstColumn="1" w:firstRow="1" w:lastColumn="0" w:lastRow="0" w:noHBand="0" w:noVBand="1" w:val="04A0"/>
      </w:tblPr>
      <w:tblGrid>
        <w:gridCol w:w="4320"/>
        <w:gridCol w:w="4320"/>
      </w:tblGrid>
      <w:tr>
        <w:tc>
          <w:tcPr>
            <w:tcW w:type="dxa" w:w="4320"/>
          </w:tcPr>
          <w:p>
            <w:r>
              <w:rPr>
                <w:b/>
              </w:rPr>
              <w:t>Suite</w:t>
            </w:r>
          </w:p>
        </w:tc>
        <w:tc>
          <w:tcPr>
            <w:tcW w:type="dxa" w:w="4320"/>
          </w:tcPr>
          <w:p>
            <w:r>
              <w:rPr>
                <w:b/>
              </w:rPr>
              <w:t>Result</w:t>
            </w:r>
          </w:p>
        </w:tc>
      </w:tr>
      <w:tr>
        <w:tc>
          <w:tcPr>
            <w:tcW w:type="dxa" w:w="4320"/>
          </w:tcPr>
          <w:p>
            <w:r>
              <w:t>tests/ops (offline, Tier 1)</w:t>
            </w:r>
          </w:p>
        </w:tc>
        <w:tc>
          <w:tcPr>
            <w:tcW w:type="dxa" w:w="4320"/>
          </w:tcPr>
          <w:p>
            <w:r>
              <w:t>all passed</w:t>
            </w:r>
          </w:p>
        </w:tc>
      </w:tr>
      <w:tr>
        <w:tc>
          <w:tcPr>
            <w:tcW w:type="dxa" w:w="4320"/>
          </w:tcPr>
          <w:p>
            <w:r>
              <w:t>tests/online/test_ops_db.py (Tier 2, Postgres)</w:t>
            </w:r>
          </w:p>
        </w:tc>
        <w:tc>
          <w:tcPr>
            <w:tcW w:type="dxa" w:w="4320"/>
          </w:tcPr>
          <w:p>
            <w:r>
              <w:t>31 passed</w:t>
            </w:r>
          </w:p>
        </w:tc>
      </w:tr>
      <w:tr>
        <w:tc>
          <w:tcPr>
            <w:tcW w:type="dxa" w:w="4320"/>
          </w:tcPr>
          <w:p>
            <w:r>
              <w:t>tests/integrity/test_erasure.py</w:t>
            </w:r>
          </w:p>
        </w:tc>
        <w:tc>
          <w:tcPr>
            <w:tcW w:type="dxa" w:w="4320"/>
          </w:tcPr>
          <w:p>
            <w:r>
              <w:t>passed</w:t>
            </w:r>
          </w:p>
        </w:tc>
      </w:tr>
      <w:tr>
        <w:tc>
          <w:tcPr>
            <w:tcW w:type="dxa" w:w="4320"/>
          </w:tcPr>
          <w:p>
            <w:r>
              <w:t>Combined final run</w:t>
            </w:r>
          </w:p>
        </w:tc>
        <w:tc>
          <w:tcPr>
            <w:tcW w:type="dxa" w:w="4320"/>
          </w:tcPr>
          <w:p>
            <w:r>
              <w:t>348 passed</w:t>
            </w:r>
          </w:p>
        </w:tc>
      </w:tr>
    </w:tbl>
    <w:p/>
    <w:p>
      <w:r>
        <w:t xml:space="preserve">Code changes are confined to two test files. </w:t>
      </w:r>
      <w:r>
        <w:rPr>
          <w:rFonts w:ascii="Consolas" w:hAnsi="Consolas"/>
        </w:rPr>
        <w:t>git diff</w:t>
      </w:r>
      <w:r>
        <w:t xml:space="preserve"> over backend/ shows tests/online/test_ops_db.py and tests/ops/test_retention_worker.py and nothing else; the mutation used to prove the guard was reverted.</w:t>
      </w:r>
    </w:p>
    <w:p>
      <w:pPr>
        <w:pStyle w:val="Heading1"/>
      </w:pPr>
      <w:r>
        <w:t>9. Open</w:t>
      </w:r>
    </w:p>
    <w:p>
      <w:pPr>
        <w:pStyle w:val="ListBullet"/>
      </w:pPr>
      <w:r>
        <w:t>The .docx twins of the v1.2 spec and the redline are stale relative to the corrected markdown. They are generated from it by pandoc — the giveaway is the KeywordTok and StringTok character styles, which pandoc emits only when writing docx from fenced code — and pandoc is not installed on this machine. They were deliberately not hand-patched: editing generated output is overwritten by the next build and hides the divergence.</w:t>
      </w:r>
    </w:p>
    <w:p>
      <w:pPr>
        <w:pStyle w:val="ListBullet"/>
      </w:pPr>
      <w:r>
        <w:t>The credential retention exception and the missing erasure audit row (§7 above) are recorded, not fixed.</w:t>
      </w:r>
    </w:p>
    <w:p>
      <w:pPr>
        <w:pStyle w:val="ListBullet"/>
      </w:pPr>
      <w:r>
        <w:t>The v1.1 changelog entry still credits that revision with adding deleted_users_aggregate. Left as a historical record of what the revision claimed rather than rewriting past entries.</w:t>
      </w:r>
    </w:p>
    <w:p/>
    <w:p>
      <w:pPr>
        <w:pStyle w:val="IntenseQuote"/>
      </w:pPr>
      <w:r>
        <w:t>The schedulers were fine. What was not fine was everything standing guard over them: a regression test that could not fail, a decay stage asserted against an empty table, and a specification describing columns the erasure code has never used. The three orphaned jobs were found because someone went looking for callers; these were found because the fix was checked rather than assumed.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Scheduler Verification and Data Layer Spec Reconciliation</dc:title>
  <dc:subject>Subsystems 7 and 1, against data layer specification v1.2</dc:subject>
  <dc:creator>Studium build</dc:creator>
  <cp:keywords/>
  <dc:description>generated by python-docx</dc:description>
  <cp:lastModifiedBy/>
  <cp:revision>1</cp:revision>
  <dcterms:created xsi:type="dcterms:W3CDTF">2013-12-23T23:15:00Z</dcterms:created>
  <dcterms:modified xsi:type="dcterms:W3CDTF">2013-12-23T23:15:00Z</dcterms:modified>
  <cp:category/>
</cp:coreProperties>
</file>