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szCs w:val="24"/>
          <w:highlight w:val="none"/>
        </w:rPr>
      </w:pPr>
      <w:r>
        <w:rPr>
          <w:sz w:val="24"/>
          <w:szCs w:val="24"/>
          <w:lang w:val="el-GR"/>
        </w:rPr>
        <w:t xml:space="preserve">                                                                                                                 </w:t>
      </w:r>
      <w:r>
        <mc:AlternateContent>
          <mc:Choice Requires="wpg">
            <w:drawing>
              <wp:inline xmlns:wp="http://schemas.openxmlformats.org/drawingml/2006/wordprocessingDrawing" distT="0" distB="0" distL="0" distR="0">
                <wp:extent cx="1150575" cy="11505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9736" name=""/>
                        <pic:cNvPicPr>
                          <a:picLocks noChangeAspect="1"/>
                        </pic:cNvPicPr>
                        <pic:nvPr/>
                      </pic:nvPicPr>
                      <pic:blipFill>
                        <a:blip r:embed="rId10"/>
                        <a:stretch/>
                      </pic:blipFill>
                      <pic:spPr bwMode="auto">
                        <a:xfrm flipH="0" flipV="0">
                          <a:off x="0" y="0"/>
                          <a:ext cx="1150574" cy="1150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60pt;height:90.60pt;mso-wrap-distance-left:0.00pt;mso-wrap-distance-top:0.00pt;mso-wrap-distance-right:0.00pt;mso-wrap-distance-bottom:0.00pt;z-index:1;" stroked="false">
                <v:imagedata r:id="rId10" o:title=""/>
                <o:lock v:ext="edit" rotation="t"/>
              </v:shape>
            </w:pict>
          </mc:Fallback>
        </mc:AlternateContent>
      </w:r>
      <w:r>
        <w:rPr>
          <w:sz w:val="24"/>
          <w:szCs w:val="24"/>
          <w:highlight w:val="none"/>
        </w:rPr>
      </w:r>
      <w:r>
        <w:rPr>
          <w:sz w:val="24"/>
          <w:szCs w:val="24"/>
          <w:highlight w:val="none"/>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rFonts w:ascii="Caladea" w:hAnsi="Caladea" w:cs="Caladea"/>
          <w:sz w:val="40"/>
          <w:szCs w:val="40"/>
          <w:highlight w:val="none"/>
        </w:rPr>
      </w:pPr>
      <w:r>
        <w:rPr>
          <w:rFonts w:ascii="Caladea" w:hAnsi="Caladea" w:eastAsia="Caladea" w:cs="Caladea"/>
          <w:sz w:val="40"/>
          <w:szCs w:val="40"/>
          <w:highlight w:val="none"/>
          <w:lang w:val="el-GR"/>
        </w:rPr>
      </w:r>
      <w:r>
        <w:rPr>
          <w:rFonts w:ascii="Caladea" w:hAnsi="Caladea" w:cs="Caladea"/>
          <w:sz w:val="40"/>
          <w:szCs w:val="40"/>
          <w:highlight w:val="none"/>
        </w:rPr>
      </w:r>
      <w:r>
        <w:rPr>
          <w:rFonts w:ascii="Caladea" w:hAnsi="Caladea" w:cs="Caladea"/>
          <w:sz w:val="40"/>
          <w:szCs w:val="40"/>
          <w:highlight w:val="none"/>
        </w:rPr>
      </w:r>
    </w:p>
    <w:p>
      <w:pPr>
        <w:pBdr/>
        <w:spacing/>
        <w:ind/>
        <w:jc w:val="center"/>
        <w:rPr>
          <w:rFonts w:ascii="Caladea" w:hAnsi="Caladea" w:eastAsia="Caladea" w:cs="Caladea"/>
          <w:color w:val="00b0f0"/>
          <w:sz w:val="44"/>
          <w:szCs w:val="44"/>
          <w:highlight w:val="none"/>
        </w:rPr>
      </w:pPr>
      <w:r>
        <w:rPr>
          <w:rFonts w:ascii="Caladea" w:hAnsi="Caladea" w:eastAsia="Caladea" w:cs="Caladea"/>
          <w:color w:val="00b0f0"/>
          <w:sz w:val="44"/>
          <w:szCs w:val="44"/>
          <w:highlight w:val="none"/>
          <w:lang w:val="el-GR"/>
        </w:rPr>
      </w:r>
      <w:r>
        <w:rPr>
          <w:rFonts w:ascii="Caladea" w:hAnsi="Caladea" w:eastAsia="Caladea" w:cs="Caladea"/>
          <w:color w:val="00b0f0"/>
          <w:sz w:val="44"/>
          <w:szCs w:val="44"/>
          <w:highlight w:val="none"/>
          <w:lang w:val="el-GR"/>
        </w:rPr>
        <w:t xml:space="preserve">Τίτλος: Ανίχνευση Γλαυκώματος μέσω</w:t>
      </w:r>
      <w:r>
        <w:rPr>
          <w:rFonts w:ascii="Caladea" w:hAnsi="Caladea" w:eastAsia="Caladea" w:cs="Caladea"/>
          <w:color w:val="00b0f0"/>
          <w:sz w:val="44"/>
          <w:szCs w:val="44"/>
          <w:highlight w:val="none"/>
          <w:lang w:val="en-US"/>
        </w:rPr>
        <w:t xml:space="preserve"> </w:t>
      </w:r>
      <w:r>
        <w:rPr>
          <w:rFonts w:ascii="Caladea" w:hAnsi="Caladea" w:eastAsia="Caladea" w:cs="Caladea"/>
          <w:color w:val="00b0f0"/>
          <w:sz w:val="44"/>
          <w:szCs w:val="44"/>
          <w:highlight w:val="none"/>
          <w:lang w:val="el-GR"/>
        </w:rPr>
        <w:t xml:space="preserve">Νευρωνικών Δικτύων</w:t>
      </w:r>
      <w:r>
        <w:rPr>
          <w:rFonts w:ascii="Caladea" w:hAnsi="Caladea" w:eastAsia="Caladea" w:cs="Caladea"/>
          <w:color w:val="00b0f0"/>
          <w:sz w:val="44"/>
          <w:szCs w:val="44"/>
          <w:highlight w:val="none"/>
        </w:rPr>
      </w:r>
      <w:r>
        <w:rPr>
          <w:rFonts w:ascii="Caladea" w:hAnsi="Caladea" w:eastAsia="Caladea" w:cs="Caladea"/>
          <w:color w:val="00b0f0"/>
          <w:sz w:val="44"/>
          <w:szCs w:val="44"/>
          <w:highlight w:val="none"/>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sz w:val="24"/>
          <w:szCs w:val="24"/>
          <w:highlight w:val="none"/>
          <w:lang w:val="el-GR"/>
        </w:rPr>
      </w:pPr>
      <w:r>
        <w:rPr>
          <w:sz w:val="24"/>
          <w:szCs w:val="24"/>
          <w:highlight w:val="none"/>
          <w:lang w:val="el-GR"/>
        </w:rPr>
      </w:r>
      <w:r>
        <w:rPr>
          <w:sz w:val="24"/>
          <w:szCs w:val="24"/>
          <w:highlight w:val="none"/>
          <w:lang w:val="el-GR"/>
        </w:rPr>
      </w:r>
      <w:r>
        <w:rPr>
          <w:sz w:val="24"/>
          <w:szCs w:val="24"/>
          <w:highlight w:val="none"/>
          <w:lang w:val="el-GR"/>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Ονοματεπ</w:t>
      </w:r>
      <w:r>
        <w:rPr>
          <w:rFonts w:ascii="C059" w:hAnsi="C059" w:eastAsia="C059" w:cs="C059"/>
          <w:sz w:val="24"/>
          <w:szCs w:val="24"/>
          <w:highlight w:val="none"/>
          <w:lang w:val="el-GR"/>
        </w:rPr>
        <w:t xml:space="preserve">ώνυμο : Ιω</w:t>
      </w:r>
      <w:r>
        <w:rPr>
          <w:rFonts w:ascii="C059" w:hAnsi="C059" w:eastAsia="C059" w:cs="C059"/>
          <w:sz w:val="24"/>
          <w:szCs w:val="24"/>
          <w:highlight w:val="none"/>
          <w:lang w:val="el-GR"/>
        </w:rPr>
        <w:t xml:space="preserve">άννης Πουλι</w:t>
      </w:r>
      <w:r>
        <w:rPr>
          <w:rFonts w:ascii="C059" w:hAnsi="C059" w:eastAsia="C059" w:cs="C059"/>
          <w:sz w:val="24"/>
          <w:szCs w:val="24"/>
          <w:highlight w:val="none"/>
          <w:lang w:val="el-GR"/>
        </w:rPr>
        <w:t xml:space="preserve">όπουλος</w:t>
      </w:r>
      <w:r>
        <w:rPr>
          <w:rFonts w:ascii="C059" w:hAnsi="C059" w:cs="C059"/>
          <w:sz w:val="24"/>
          <w:szCs w:val="24"/>
          <w:highlight w:val="none"/>
        </w:rPr>
      </w:r>
      <w:r>
        <w:rPr>
          <w:rFonts w:ascii="C059" w:hAnsi="C059" w:cs="C059"/>
          <w:sz w:val="24"/>
          <w:szCs w:val="24"/>
          <w:highlight w:val="none"/>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Α.Μ. :</w:t>
      </w:r>
      <w:r>
        <w:rPr>
          <w:rFonts w:ascii="C059" w:hAnsi="C059" w:eastAsia="C059" w:cs="C059"/>
          <w:sz w:val="24"/>
          <w:szCs w:val="24"/>
          <w:highlight w:val="none"/>
          <w:lang w:val="en-US"/>
        </w:rPr>
        <w:t xml:space="preserve">ICS22185</w:t>
        <w:tab/>
      </w:r>
      <w:r>
        <w:rPr>
          <w:rFonts w:ascii="C059" w:hAnsi="C059" w:cs="C059"/>
          <w:sz w:val="24"/>
          <w:szCs w:val="24"/>
          <w:highlight w:val="none"/>
        </w:rPr>
      </w:r>
      <w:r>
        <w:rPr>
          <w:rFonts w:ascii="C059" w:hAnsi="C059" w:cs="C059"/>
          <w:sz w:val="24"/>
          <w:szCs w:val="24"/>
          <w:highlight w:val="none"/>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Μ</w:t>
      </w:r>
      <w:r>
        <w:rPr>
          <w:rFonts w:ascii="C059" w:hAnsi="C059" w:eastAsia="C059" w:cs="C059"/>
          <w:sz w:val="24"/>
          <w:szCs w:val="24"/>
          <w:highlight w:val="none"/>
          <w:lang w:val="el-GR"/>
        </w:rPr>
        <w:t xml:space="preserve">άθημα : Νευρωνικ</w:t>
      </w:r>
      <w:r>
        <w:rPr>
          <w:rFonts w:ascii="C059" w:hAnsi="C059" w:eastAsia="C059" w:cs="C059"/>
          <w:sz w:val="24"/>
          <w:szCs w:val="24"/>
          <w:highlight w:val="none"/>
          <w:lang w:val="el-GR"/>
        </w:rPr>
        <w:t xml:space="preserve">ά Δ</w:t>
      </w:r>
      <w:r>
        <w:rPr>
          <w:rFonts w:ascii="C059" w:hAnsi="C059" w:eastAsia="C059" w:cs="C059"/>
          <w:sz w:val="24"/>
          <w:szCs w:val="24"/>
          <w:highlight w:val="none"/>
          <w:lang w:val="el-GR"/>
        </w:rPr>
        <w:t xml:space="preserve">ίκτυα </w:t>
      </w:r>
      <w:r>
        <w:rPr>
          <w:rFonts w:ascii="C059" w:hAnsi="C059" w:cs="C059"/>
          <w:sz w:val="24"/>
          <w:szCs w:val="24"/>
          <w:highlight w:val="none"/>
        </w:rPr>
      </w:r>
      <w:r>
        <w:rPr>
          <w:rFonts w:ascii="C059" w:hAnsi="C059" w:cs="C059"/>
          <w:sz w:val="24"/>
          <w:szCs w:val="24"/>
          <w:highlight w:val="none"/>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Εξ</w:t>
      </w:r>
      <w:r>
        <w:rPr>
          <w:rFonts w:ascii="C059" w:hAnsi="C059" w:eastAsia="C059" w:cs="C059"/>
          <w:sz w:val="24"/>
          <w:szCs w:val="24"/>
          <w:highlight w:val="none"/>
          <w:lang w:val="el-GR"/>
        </w:rPr>
        <w:t xml:space="preserve">άμηνο: Η</w:t>
      </w:r>
      <w:r>
        <w:rPr>
          <w:rFonts w:ascii="C059" w:hAnsi="C059" w:cs="C059"/>
          <w:sz w:val="24"/>
          <w:szCs w:val="24"/>
          <w:highlight w:val="none"/>
        </w:rPr>
      </w:r>
      <w:r>
        <w:rPr>
          <w:rFonts w:ascii="C059" w:hAnsi="C059" w:cs="C059"/>
          <w:sz w:val="24"/>
          <w:szCs w:val="24"/>
          <w:highlight w:val="none"/>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Επιβλ</w:t>
      </w:r>
      <w:r>
        <w:rPr>
          <w:rFonts w:ascii="C059" w:hAnsi="C059" w:eastAsia="C059" w:cs="C059"/>
          <w:sz w:val="24"/>
          <w:szCs w:val="24"/>
          <w:highlight w:val="none"/>
          <w:lang w:val="el-GR"/>
        </w:rPr>
        <w:t xml:space="preserve">έπων καθηγητ</w:t>
      </w:r>
      <w:r>
        <w:rPr>
          <w:rFonts w:ascii="C059" w:hAnsi="C059" w:eastAsia="C059" w:cs="C059"/>
          <w:sz w:val="24"/>
          <w:szCs w:val="24"/>
          <w:highlight w:val="none"/>
          <w:lang w:val="el-GR"/>
        </w:rPr>
        <w:t xml:space="preserve">ής : κ</w:t>
      </w:r>
      <w:r>
        <w:rPr>
          <w:rFonts w:ascii="C059" w:hAnsi="C059" w:eastAsia="C059" w:cs="C059"/>
          <w:sz w:val="24"/>
          <w:szCs w:val="24"/>
          <w:highlight w:val="none"/>
          <w:lang w:val="en-US"/>
        </w:rPr>
        <w:t xml:space="preserve">. </w:t>
      </w:r>
      <w:r>
        <w:rPr>
          <w:rFonts w:ascii="C059" w:hAnsi="C059" w:eastAsia="C059" w:cs="C059"/>
          <w:sz w:val="24"/>
          <w:szCs w:val="24"/>
          <w:highlight w:val="none"/>
          <w:lang w:val="en-US"/>
        </w:rPr>
        <w:t xml:space="preserve">Π</w:t>
      </w:r>
      <w:r>
        <w:rPr>
          <w:rFonts w:ascii="C059" w:hAnsi="C059" w:eastAsia="C059" w:cs="C059"/>
          <w:sz w:val="24"/>
          <w:szCs w:val="24"/>
          <w:highlight w:val="none"/>
          <w:lang w:val="el-GR"/>
        </w:rPr>
        <w:t xml:space="preserve">ρωτοπαπαδ</w:t>
      </w:r>
      <w:r>
        <w:rPr>
          <w:rFonts w:ascii="C059" w:hAnsi="C059" w:eastAsia="C059" w:cs="C059"/>
          <w:sz w:val="24"/>
          <w:szCs w:val="24"/>
          <w:highlight w:val="none"/>
          <w:lang w:val="el-GR"/>
        </w:rPr>
        <w:t xml:space="preserve">άκης</w:t>
      </w:r>
      <w:r>
        <w:rPr>
          <w:rFonts w:ascii="C059" w:hAnsi="C059" w:cs="C059"/>
          <w:sz w:val="24"/>
          <w:szCs w:val="24"/>
          <w:highlight w:val="none"/>
        </w:rPr>
      </w:r>
      <w:r>
        <w:rPr>
          <w:rFonts w:ascii="C059" w:hAnsi="C059" w:cs="C059"/>
          <w:sz w:val="24"/>
          <w:szCs w:val="24"/>
          <w:highlight w:val="none"/>
        </w:rPr>
      </w:r>
    </w:p>
    <w:p>
      <w:pPr>
        <w:pBdr/>
        <w:spacing/>
        <w:ind/>
        <w:rPr>
          <w:rFonts w:ascii="C059" w:hAnsi="C059" w:cs="C059"/>
          <w:sz w:val="24"/>
          <w:szCs w:val="24"/>
          <w:highlight w:val="none"/>
        </w:rPr>
      </w:pPr>
      <w:r>
        <w:rPr>
          <w:rFonts w:ascii="C059" w:hAnsi="C059" w:eastAsia="C059" w:cs="C059"/>
          <w:sz w:val="24"/>
          <w:szCs w:val="24"/>
          <w:highlight w:val="none"/>
          <w:lang w:val="el-GR"/>
        </w:rPr>
        <w:t xml:space="preserve">Ακαδημα</w:t>
      </w:r>
      <w:r>
        <w:rPr>
          <w:rFonts w:ascii="C059" w:hAnsi="C059" w:eastAsia="C059" w:cs="C059"/>
          <w:sz w:val="24"/>
          <w:szCs w:val="24"/>
          <w:highlight w:val="none"/>
          <w:lang w:val="el-GR"/>
        </w:rPr>
        <w:t xml:space="preserve">Ϊκ</w:t>
      </w:r>
      <w:r>
        <w:rPr>
          <w:rFonts w:ascii="C059" w:hAnsi="C059" w:eastAsia="C059" w:cs="C059"/>
          <w:sz w:val="24"/>
          <w:szCs w:val="24"/>
          <w:highlight w:val="none"/>
          <w:lang w:val="el-GR"/>
        </w:rPr>
        <w:t xml:space="preserve">ό </w:t>
      </w:r>
      <w:r>
        <w:rPr>
          <w:rFonts w:ascii="C059" w:hAnsi="C059" w:eastAsia="C059" w:cs="C059"/>
          <w:sz w:val="24"/>
          <w:szCs w:val="24"/>
          <w:highlight w:val="none"/>
          <w:lang w:val="el-GR"/>
        </w:rPr>
        <w:t xml:space="preserve">έτος : 2024-2025</w:t>
      </w:r>
      <w:r>
        <w:rPr>
          <w:rFonts w:ascii="C059" w:hAnsi="C059" w:cs="C059"/>
          <w:sz w:val="24"/>
          <w:szCs w:val="24"/>
          <w:highlight w:val="none"/>
        </w:rPr>
      </w:r>
      <w:r>
        <w:rPr>
          <w:rFonts w:ascii="C059" w:hAnsi="C059" w:cs="C059"/>
          <w:sz w:val="24"/>
          <w:szCs w:val="24"/>
          <w:highlight w:val="none"/>
        </w:rPr>
      </w:r>
    </w:p>
    <w:p>
      <w:pPr>
        <w:pBdr/>
        <w:spacing/>
        <w:ind/>
        <w:rPr>
          <w:sz w:val="24"/>
          <w:szCs w:val="24"/>
          <w:lang w:val="el-GR"/>
        </w:rPr>
      </w:pPr>
      <w:r>
        <w:rPr>
          <w:sz w:val="24"/>
          <w:szCs w:val="24"/>
          <w:highlight w:val="none"/>
          <w:lang w:val="el-GR"/>
        </w:rPr>
      </w:r>
      <w:r>
        <w:rPr>
          <w:sz w:val="24"/>
          <w:szCs w:val="24"/>
          <w:highlight w:val="none"/>
          <w:lang w:val="el-GR"/>
        </w:rPr>
        <w:tab/>
      </w:r>
      <w:r>
        <w:rPr>
          <w:sz w:val="24"/>
          <w:szCs w:val="24"/>
          <w:lang w:val="el-GR"/>
        </w:rPr>
      </w:r>
      <w:r>
        <w:rPr>
          <w:sz w:val="24"/>
          <w:szCs w:val="24"/>
          <w:lang w:val="el-GR"/>
        </w:rPr>
      </w:r>
    </w:p>
    <w:p>
      <w:pPr>
        <w:pBdr/>
        <w:spacing/>
        <w:ind/>
        <w:jc w:val="center"/>
        <w:rPr>
          <w:sz w:val="36"/>
          <w:szCs w:val="36"/>
        </w:rPr>
      </w:pPr>
      <w:r>
        <w:rPr>
          <w:sz w:val="36"/>
          <w:szCs w:val="36"/>
          <w:lang w:val="el-GR"/>
        </w:rPr>
        <w:t xml:space="preserve">ΠΕΡΙΕΧΟΜΕΝΑ </w:t>
      </w:r>
      <w:r>
        <w:rPr>
          <w:sz w:val="36"/>
          <w:szCs w:val="36"/>
        </w:rPr>
      </w:r>
      <w:r>
        <w:rPr>
          <w:sz w:val="36"/>
          <w:szCs w:val="36"/>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r>
      <w:r>
        <w:rPr>
          <w:sz w:val="24"/>
          <w:szCs w:val="24"/>
        </w:rPr>
      </w:r>
      <w:r>
        <w:rPr>
          <w:sz w:val="24"/>
          <w:szCs w:val="24"/>
        </w:rPr>
      </w:r>
    </w:p>
    <w:p>
      <w:pPr>
        <w:pBdr/>
        <w:spacing/>
        <w:ind/>
        <w:rPr>
          <w:sz w:val="32"/>
          <w:szCs w:val="32"/>
          <w:highlight w:val="none"/>
        </w:rPr>
      </w:pPr>
      <w:r>
        <w:rPr>
          <w:sz w:val="32"/>
          <w:szCs w:val="32"/>
        </w:rPr>
      </w:r>
      <w:r>
        <w:rPr>
          <w:sz w:val="32"/>
          <w:szCs w:val="32"/>
        </w:rPr>
        <w:t xml:space="preserve">1. Ιδ</w:t>
      </w:r>
      <w:r>
        <w:rPr>
          <w:sz w:val="32"/>
          <w:szCs w:val="32"/>
        </w:rPr>
        <w:t xml:space="preserve">έα/σκοπός</w:t>
      </w:r>
      <w:r>
        <w:rPr>
          <w:sz w:val="32"/>
          <w:szCs w:val="32"/>
          <w:highlight w:val="none"/>
        </w:rPr>
      </w:r>
      <w:r>
        <w:rPr>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rPr>
          <w:lang w:val="el-GR"/>
        </w:rPr>
      </w:pPr>
      <w:r>
        <w:rPr>
          <w:highlight w:val="none"/>
          <w:lang w:val="el-GR"/>
        </w:rPr>
        <w:t xml:space="preserve">   Η συγκεκριμ</w:t>
      </w:r>
      <w:r>
        <w:rPr>
          <w:highlight w:val="none"/>
          <w:lang w:val="el-GR"/>
        </w:rPr>
        <w:t xml:space="preserve">ένη εργασ</w:t>
      </w:r>
      <w:r>
        <w:rPr>
          <w:highlight w:val="none"/>
          <w:lang w:val="el-GR"/>
        </w:rPr>
        <w:t xml:space="preserve">ία εστι</w:t>
      </w:r>
      <w:r>
        <w:rPr>
          <w:highlight w:val="none"/>
          <w:lang w:val="el-GR"/>
        </w:rPr>
        <w:t xml:space="preserve">άζει στην </w:t>
      </w:r>
      <w:r>
        <w:rPr>
          <w:highlight w:val="none"/>
          <w:lang w:val="el-GR"/>
        </w:rPr>
        <w:t xml:space="preserve">ανίχνευση της οφθαλμολογικής </w:t>
      </w:r>
      <w:r>
        <w:rPr>
          <w:highlight w:val="none"/>
          <w:lang w:val="el-GR"/>
        </w:rPr>
        <w:t xml:space="preserve">ασθ</w:t>
      </w:r>
      <w:r>
        <w:rPr>
          <w:highlight w:val="none"/>
          <w:lang w:val="el-GR"/>
        </w:rPr>
        <w:t xml:space="preserve">ένειας με το </w:t>
      </w:r>
      <w:r>
        <w:rPr>
          <w:highlight w:val="none"/>
          <w:lang w:val="el-GR"/>
        </w:rPr>
        <w:t xml:space="preserve">όνομα ‘γλα</w:t>
      </w:r>
      <w:r>
        <w:rPr>
          <w:highlight w:val="none"/>
          <w:lang w:val="el-GR"/>
        </w:rPr>
        <w:t xml:space="preserve">ύκωμα’ με την βο</w:t>
      </w:r>
      <w:r>
        <w:rPr>
          <w:highlight w:val="none"/>
          <w:lang w:val="el-GR"/>
        </w:rPr>
        <w:t xml:space="preserve">ήθεια </w:t>
      </w:r>
      <w:r>
        <w:rPr>
          <w:highlight w:val="none"/>
          <w:lang w:val="el-GR"/>
        </w:rPr>
        <w:t xml:space="preserve">δι</w:t>
      </w:r>
      <w:r>
        <w:rPr>
          <w:highlight w:val="none"/>
          <w:lang w:val="el-GR"/>
        </w:rPr>
        <w:t xml:space="preserve">άφορων τεχνικ</w:t>
      </w:r>
      <w:r>
        <w:rPr>
          <w:highlight w:val="none"/>
          <w:lang w:val="el-GR"/>
        </w:rPr>
        <w:t xml:space="preserve">ών μ</w:t>
      </w:r>
      <w:r>
        <w:rPr>
          <w:highlight w:val="none"/>
          <w:lang w:val="el-GR"/>
        </w:rPr>
        <w:t xml:space="preserve">άθησης </w:t>
      </w:r>
      <w:r>
        <w:rPr>
          <w:highlight w:val="none"/>
          <w:lang w:val="el-GR"/>
        </w:rPr>
        <w:t xml:space="preserve">όπως το </w:t>
      </w:r>
      <w:r>
        <w:rPr>
          <w:highlight w:val="none"/>
          <w:lang w:val="en-US"/>
        </w:rPr>
        <w:t xml:space="preserve">deep learning.</w:t>
      </w:r>
      <w:r>
        <w:rPr>
          <w:highlight w:val="none"/>
          <w:lang w:val="el-GR"/>
        </w:rPr>
        <w:t xml:space="preserve"> </w:t>
      </w:r>
      <w:r>
        <w:rPr>
          <w:highlight w:val="none"/>
          <w:lang w:val="el-GR"/>
        </w:rPr>
        <w:t xml:space="preserve">Το γλα</w:t>
      </w:r>
      <w:r>
        <w:rPr>
          <w:highlight w:val="none"/>
          <w:lang w:val="el-GR"/>
        </w:rPr>
        <w:t xml:space="preserve">ύκωμα </w:t>
      </w:r>
      <w:r>
        <w:rPr>
          <w:highlight w:val="none"/>
          <w:lang w:val="el-GR"/>
        </w:rPr>
        <w:t xml:space="preserve">είναι μια εκφυλιστική νευροπάθεια του οπτικού νεύρου και μία από τις κύριες αιτίες μη αναστρέψιμης τύφλωσης παγκοσμίως.</w:t>
      </w:r>
      <w:r>
        <w:rPr>
          <w:lang w:val="el-GR"/>
        </w:rPr>
        <w:t xml:space="preserve"> Συν</w:t>
      </w:r>
      <w:r>
        <w:rPr>
          <w:lang w:val="el-GR"/>
        </w:rPr>
        <w:t xml:space="preserve">ήθως τα συμπτ</w:t>
      </w:r>
      <w:r>
        <w:rPr>
          <w:lang w:val="el-GR"/>
        </w:rPr>
        <w:t xml:space="preserve">ώματα εμφαν</w:t>
      </w:r>
      <w:r>
        <w:rPr>
          <w:lang w:val="el-GR"/>
        </w:rPr>
        <w:t xml:space="preserve">ίζονται σε πολ</w:t>
      </w:r>
      <w:r>
        <w:rPr>
          <w:lang w:val="el-GR"/>
        </w:rPr>
        <w:t xml:space="preserve">ύ προχωρημ</w:t>
      </w:r>
      <w:r>
        <w:rPr>
          <w:lang w:val="el-GR"/>
        </w:rPr>
        <w:t xml:space="preserve">ένο στ</w:t>
      </w:r>
      <w:r>
        <w:rPr>
          <w:lang w:val="el-GR"/>
        </w:rPr>
        <w:t xml:space="preserve">άδιο, οπ</w:t>
      </w:r>
      <w:r>
        <w:rPr>
          <w:lang w:val="el-GR"/>
        </w:rPr>
        <w:t xml:space="preserve">ότε η </w:t>
      </w:r>
      <w:r>
        <w:rPr>
          <w:lang w:val="el-GR"/>
        </w:rPr>
        <w:t xml:space="preserve">έγκαιρη δι</w:t>
      </w:r>
      <w:r>
        <w:rPr>
          <w:lang w:val="el-GR"/>
        </w:rPr>
        <w:t xml:space="preserve">άγνωση ε</w:t>
      </w:r>
      <w:r>
        <w:rPr>
          <w:lang w:val="el-GR"/>
        </w:rPr>
        <w:t xml:space="preserve">ίναι ζωτικ</w:t>
      </w:r>
      <w:r>
        <w:rPr>
          <w:lang w:val="el-GR"/>
        </w:rPr>
        <w:t xml:space="preserve">ής σημασ</w:t>
      </w:r>
      <w:r>
        <w:rPr>
          <w:lang w:val="el-GR"/>
        </w:rPr>
        <w:t xml:space="preserve">ίας για την αποτροπ</w:t>
      </w:r>
      <w:r>
        <w:rPr>
          <w:lang w:val="el-GR"/>
        </w:rPr>
        <w:t xml:space="preserve">ή μερικ</w:t>
      </w:r>
      <w:r>
        <w:rPr>
          <w:lang w:val="el-GR"/>
        </w:rPr>
        <w:t xml:space="preserve">ής </w:t>
      </w:r>
      <w:r>
        <w:rPr>
          <w:lang w:val="el-GR"/>
        </w:rPr>
        <w:t xml:space="preserve">ή</w:t>
      </w:r>
      <w:r>
        <w:rPr>
          <w:lang w:val="el-GR"/>
        </w:rPr>
        <w:t xml:space="preserve"> ολικ</w:t>
      </w:r>
      <w:r>
        <w:rPr>
          <w:lang w:val="el-GR"/>
        </w:rPr>
        <w:t xml:space="preserve">ής απ</w:t>
      </w:r>
      <w:r>
        <w:rPr>
          <w:lang w:val="el-GR"/>
        </w:rPr>
        <w:t xml:space="preserve">ώλειας </w:t>
      </w:r>
      <w:r>
        <w:rPr>
          <w:lang w:val="el-GR"/>
        </w:rPr>
        <w:t xml:space="preserve">όρασης. </w:t>
      </w:r>
      <w:r>
        <w:rPr>
          <w:lang w:val="el-GR"/>
        </w:rPr>
        <w:t xml:space="preserve">Η</w:t>
      </w:r>
      <w:r>
        <w:rPr>
          <w:lang w:val="el-GR"/>
        </w:rPr>
        <w:t xml:space="preserve"> ανάγκη για έγκαιρη διάγνωση του γλαυκώματος είναι επιτακτική, καθώς στις περισσότερες περιπτώσεις η ασθένεια εξελίσσεται σιωπηλά, χωρίς εμφανή συμπτώματα, έως ότου υπάρξει σημαντική απώλεια όρασης. Αυτό δημιουργεί ένα σοβαρό πρόβλημα στη δημόσια υγεία, ει</w:t>
      </w:r>
      <w:r>
        <w:rPr>
          <w:lang w:val="el-GR"/>
        </w:rPr>
        <w:t xml:space="preserve">δικά σε περιοχές με περιορισμένη πρόσβαση σε οφθαλμίατρους και εξειδικευμένο εξοπλισμό.</w:t>
      </w:r>
      <w:r>
        <w:rPr>
          <w:lang w:val="el-GR"/>
        </w:rPr>
      </w:r>
      <w:r>
        <w:rPr>
          <w:lang w:val="el-GR"/>
        </w:rPr>
      </w:r>
    </w:p>
    <w:p>
      <w:pPr>
        <w:pBdr>
          <w:top w:val="none" w:color="000000" w:sz="4" w:space="0"/>
          <w:left w:val="none" w:color="000000" w:sz="4" w:space="0"/>
          <w:bottom w:val="none" w:color="000000" w:sz="4" w:space="0"/>
          <w:right w:val="none" w:color="000000" w:sz="4" w:space="0"/>
        </w:pBdr>
        <w:spacing/>
        <w:ind w:right="0" w:firstLine="0" w:left="0"/>
        <w:rPr>
          <w:lang w:val="el-GR"/>
        </w:rPr>
      </w:pPr>
      <w:r>
        <w:rPr>
          <w:lang w:val="el-GR"/>
        </w:rPr>
        <w:t xml:space="preserve">   </w:t>
      </w:r>
      <w:r>
        <w:rPr>
          <w:lang w:val="el-GR"/>
        </w:rPr>
        <w:t xml:space="preserve">Το συγκεκριμενο πρ</w:t>
      </w:r>
      <w:r>
        <w:rPr>
          <w:lang w:val="el-GR"/>
        </w:rPr>
        <w:t xml:space="preserve">όβλημα της εργασ</w:t>
      </w:r>
      <w:r>
        <w:rPr>
          <w:lang w:val="el-GR"/>
        </w:rPr>
        <w:t xml:space="preserve">ίας αντιμετωπ</w:t>
      </w:r>
      <w:r>
        <w:rPr>
          <w:lang w:val="el-GR"/>
        </w:rPr>
        <w:t xml:space="preserve">ίζεται ως </w:t>
      </w:r>
      <w:r>
        <w:rPr>
          <w:lang w:val="en-US"/>
        </w:rPr>
        <w:t xml:space="preserve">binary classification (</w:t>
      </w:r>
      <w:r>
        <w:rPr>
          <w:lang w:val="el-GR"/>
        </w:rPr>
        <w:t xml:space="preserve">δυαδικ</w:t>
      </w:r>
      <w:r>
        <w:rPr>
          <w:lang w:val="el-GR"/>
        </w:rPr>
        <w:t xml:space="preserve">ή ταξιν</w:t>
      </w:r>
      <w:r>
        <w:rPr>
          <w:lang w:val="el-GR"/>
        </w:rPr>
        <w:t xml:space="preserve">όμηση),</w:t>
      </w:r>
      <w:r>
        <w:rPr>
          <w:lang w:val="el-GR"/>
        </w:rPr>
        <w:t xml:space="preserve">που οι </w:t>
      </w:r>
      <w:r>
        <w:rPr>
          <w:lang w:val="en-US"/>
        </w:rPr>
        <w:t xml:space="preserve">fundus images </w:t>
      </w:r>
      <w:r>
        <w:rPr>
          <w:lang w:val="el-GR"/>
        </w:rPr>
        <w:t xml:space="preserve">(</w:t>
      </w:r>
      <w:r>
        <w:t xml:space="preserve">εικόνες του αμφιβληστροειδούς</w:t>
      </w:r>
      <w:r>
        <w:rPr>
          <w:lang w:val="el-GR"/>
        </w:rPr>
        <w:t xml:space="preserve">) που περι</w:t>
      </w:r>
      <w:r>
        <w:rPr>
          <w:lang w:val="el-GR"/>
        </w:rPr>
        <w:t xml:space="preserve">έχονται στο </w:t>
      </w:r>
      <w:r>
        <w:rPr>
          <w:lang w:val="en-US"/>
        </w:rPr>
        <w:t xml:space="preserve">dataset</w:t>
      </w:r>
      <w:r>
        <w:rPr>
          <w:lang w:val="el-GR"/>
        </w:rPr>
        <w:t xml:space="preserve"> και χρησιμοποιο</w:t>
      </w:r>
      <w:r>
        <w:rPr>
          <w:lang w:val="el-GR"/>
        </w:rPr>
        <w:t xml:space="preserve">ύνται </w:t>
      </w:r>
      <w:r>
        <w:rPr>
          <w:lang w:val="el-GR"/>
        </w:rPr>
        <w:t xml:space="preserve">ώς ε</w:t>
      </w:r>
      <w:r>
        <w:rPr>
          <w:lang w:val="el-GR"/>
        </w:rPr>
        <w:t xml:space="preserve">ίσοδος στην εργασ</w:t>
      </w:r>
      <w:r>
        <w:rPr>
          <w:lang w:val="el-GR"/>
        </w:rPr>
        <w:t xml:space="preserve">ία μου </w:t>
      </w:r>
      <w:r>
        <w:rPr>
          <w:lang w:val="el-GR"/>
        </w:rPr>
        <w:t xml:space="preserve">αναλ</w:t>
      </w:r>
      <w:r>
        <w:rPr>
          <w:lang w:val="el-GR"/>
        </w:rPr>
        <w:t xml:space="preserve">ύονται και στην συν</w:t>
      </w:r>
      <w:r>
        <w:rPr>
          <w:lang w:val="el-GR"/>
        </w:rPr>
        <w:t xml:space="preserve">έχεια το μοντ</w:t>
      </w:r>
      <w:r>
        <w:rPr>
          <w:lang w:val="el-GR"/>
        </w:rPr>
        <w:t xml:space="preserve">έλο μου με μεγ</w:t>
      </w:r>
      <w:r>
        <w:rPr>
          <w:lang w:val="el-GR"/>
        </w:rPr>
        <w:t xml:space="preserve">άλη ακρ</w:t>
      </w:r>
      <w:r>
        <w:rPr>
          <w:lang w:val="el-GR"/>
        </w:rPr>
        <w:t xml:space="preserve">ίβεια προβλ</w:t>
      </w:r>
      <w:r>
        <w:rPr>
          <w:lang w:val="el-GR"/>
        </w:rPr>
        <w:t xml:space="preserve">έπει αν ο ασθεν</w:t>
      </w:r>
      <w:r>
        <w:rPr>
          <w:lang w:val="el-GR"/>
        </w:rPr>
        <w:t xml:space="preserve">ής π</w:t>
      </w:r>
      <w:r>
        <w:rPr>
          <w:lang w:val="el-GR"/>
        </w:rPr>
        <w:t xml:space="preserve">άσχει απο γλ</w:t>
      </w:r>
      <w:r>
        <w:rPr>
          <w:lang w:val="el-GR"/>
        </w:rPr>
        <w:t xml:space="preserve">άυκωμα η </w:t>
      </w:r>
      <w:r>
        <w:rPr>
          <w:lang w:val="el-GR"/>
        </w:rPr>
        <w:t xml:space="preserve">ε</w:t>
      </w:r>
      <w:r>
        <w:rPr>
          <w:lang w:val="el-GR"/>
        </w:rPr>
        <w:t xml:space="preserve">ίναι n</w:t>
      </w:r>
      <w:r>
        <w:rPr>
          <w:lang w:val="en-US"/>
        </w:rPr>
        <w:t xml:space="preserve">ormal </w:t>
      </w:r>
      <w:r>
        <w:rPr>
          <w:lang w:val="el-GR"/>
        </w:rPr>
        <w:t xml:space="preserve">(φυσιολογικ</w:t>
      </w:r>
      <w:r>
        <w:rPr>
          <w:lang w:val="el-GR"/>
        </w:rPr>
        <w:t xml:space="preserve">ό </w:t>
      </w:r>
      <w:r>
        <w:rPr>
          <w:lang w:val="el-GR"/>
        </w:rPr>
        <w:t xml:space="preserve">άτομο). </w:t>
      </w:r>
      <w:r>
        <w:rPr>
          <w:lang w:val="el-GR"/>
        </w:rPr>
        <w:t xml:space="preserve">Οι εικόνες αυτές συλλέγονται από ιατρικές βάσεις δεδομένων και παρουσιάζουν μορφολογικές διαφορές που μπορούν να αξιοποιηθούν μέσω κατάλληλων νευρωνικών δικτύων.</w:t>
      </w:r>
      <w:r>
        <w:rPr>
          <w:lang w:val="el-GR"/>
        </w:rPr>
      </w:r>
      <w:r>
        <w:rPr>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lang w:val="el-GR"/>
        </w:rPr>
        <w:t xml:space="preserve">   </w:t>
      </w:r>
      <w:r>
        <w:rPr>
          <w:lang w:val="el-GR"/>
        </w:rPr>
        <w:t xml:space="preserve">Ο σκοπός είναι να αποδειχθεί ότι, με κατάλληλη επεξεργασία των εικόνων και εκπαίδευση αλγορίθμων τεχνητής νοημοσύνης, μπορεί να δημιουργηθεί μια προσβάσιμη και αξιόπιστη λύση για τη διάγνωση μιας τόσο σημαντικής ασθένειας. Επιπλέον είναι απαρα</w:t>
      </w:r>
      <w:r>
        <w:rPr>
          <w:lang w:val="el-GR"/>
        </w:rPr>
        <w:t xml:space="preserve">ίτητο</w:t>
      </w:r>
      <w:r>
        <w:rPr>
          <w:lang w:val="el-GR"/>
        </w:rPr>
        <w:t xml:space="preserve"> να αναδειχθ</w:t>
      </w:r>
      <w:r>
        <w:rPr>
          <w:lang w:val="el-GR"/>
        </w:rPr>
        <w:t xml:space="preserve">εί η χρησιμότητα της τεχνητής νοημοσύνης στον χώρο της υγείας και η δυνατότητα χρήσης της για την υποστήριξη κρίσιμων ιατρικών αποφάσεων.</w:t>
      </w:r>
      <w:r>
        <w:rPr>
          <w:lang w:val="el-GR"/>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lang w:val="el-GR"/>
        </w:rPr>
        <w:t xml:space="preserve">2.</w:t>
      </w:r>
      <w:r>
        <w:rPr>
          <w:rFonts w:ascii="Times New Roman" w:hAnsi="Times New Roman" w:eastAsia="Times New Roman" w:cs="Times New Roman"/>
          <w:sz w:val="32"/>
          <w:szCs w:val="32"/>
          <w:highlight w:val="none"/>
        </w:rPr>
        <w:t xml:space="preserve">Σχετική βιβλιογραφία</w:t>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Η</w:t>
      </w:r>
      <w:r>
        <w:rPr>
          <w:rFonts w:ascii="Times New Roman" w:hAnsi="Times New Roman" w:eastAsia="Times New Roman" w:cs="Times New Roman"/>
          <w:sz w:val="24"/>
          <w:szCs w:val="24"/>
          <w:highlight w:val="none"/>
        </w:rPr>
        <w:t xml:space="preserve"> τεχνητή νοημοσύνη και ειδικότερα οι τεχνικές βαθιάς μάθησης έχουν φέρει επανάσταση στον τρόπο με τον οποίο αναλύονται ιατρικά δεδομένα, προσφέροντας λύσεις με υψηλή ακρίβεια και αυτοματοποίηση. Η έρευνα για την ανίχνευση του γλαυκώματος μέσω εικόνων του α</w:t>
      </w:r>
      <w:r>
        <w:rPr>
          <w:rFonts w:ascii="Times New Roman" w:hAnsi="Times New Roman" w:eastAsia="Times New Roman" w:cs="Times New Roman"/>
          <w:sz w:val="24"/>
          <w:szCs w:val="24"/>
          <w:highlight w:val="none"/>
        </w:rPr>
        <w:t xml:space="preserve">μφιβληστροειδούς έχει αναπτυχθεί έντονα τα τελευταία χρόνια. Παρακάτω παρατίθενται αντιπροσωπευτικές επιστημονικές δημοσιεύσεις που ενισχύουν θεωρητικά το πλαίσιο της παρούσας εργασίας:</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9"/>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t xml:space="preserve">Abbas, Q., Fondon, I., Sarmiento, A., &amp; Alemany, P. (2017).</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t xml:space="preserve">Automatic Glaucoma Detection Based on Deep Learning Approach Using Localized Optic Disc and Fovea.</w:t>
        <w:br/>
        <w:t xml:space="preserve">BMC Medical Imaging, 17(1), 1–12.</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n-US"/>
        </w:rPr>
        <w:t xml:space="preserve">DOI</w:t>
      </w:r>
      <w:r>
        <w:rPr>
          <w:rFonts w:ascii="Times New Roman" w:hAnsi="Times New Roman" w:eastAsia="Times New Roman" w:cs="Times New Roman"/>
          <w:sz w:val="24"/>
          <w:szCs w:val="24"/>
          <w:highlight w:val="none"/>
          <w:lang w:val="el-GR"/>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10.1038/s41433-021-01552-8</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Style w:val="909"/>
        <w:numPr>
          <w:ilvl w:val="0"/>
          <w:numId w:val="7"/>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sz w:val="24"/>
          <w:szCs w:val="24"/>
          <w:highlight w:val="none"/>
          <w:lang w:val="el-GR"/>
        </w:rPr>
        <w:t xml:space="preserve">Chakravarty, A. et al. (2020).</w:t>
      </w:r>
      <w:r>
        <w:rPr>
          <w:rFonts w:ascii="Times New Roman" w:hAnsi="Times New Roman" w:eastAsia="Times New Roman" w:cs="Times New Roman"/>
          <w:sz w:val="24"/>
          <w:szCs w:val="24"/>
          <w:highlight w:val="none"/>
          <w:lang w:val="el-GR"/>
        </w:rPr>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Automated Detection of Glaucoma From Topographic Features of the Optic Nerve Head  in Color Fundus Photographs</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n-US"/>
        </w:rPr>
        <w:t xml:space="preserve">D</w:t>
      </w:r>
      <w:r>
        <w:rPr>
          <w:rFonts w:ascii="Times New Roman" w:hAnsi="Times New Roman" w:eastAsia="Times New Roman" w:cs="Times New Roman"/>
          <w:sz w:val="24"/>
          <w:szCs w:val="24"/>
          <w:highlight w:val="none"/>
          <w:lang w:val="en-US"/>
        </w:rPr>
        <w:t xml:space="preserve">OI</w:t>
      </w:r>
      <w:r>
        <w:rPr>
          <w:rFonts w:ascii="Times New Roman" w:hAnsi="Times New Roman" w:eastAsia="Times New Roman" w:cs="Times New Roman"/>
          <w:sz w:val="24"/>
          <w:szCs w:val="24"/>
          <w:highlight w:val="none"/>
          <w:lang w:val="el-GR"/>
        </w:rPr>
        <w:t xml:space="preserve">: </w:t>
      </w:r>
      <w:r>
        <w:rPr>
          <w:rFonts w:ascii="Times New Roman" w:hAnsi="Times New Roman" w:eastAsia="Times New Roman" w:cs="Times New Roman"/>
          <w:sz w:val="24"/>
          <w:szCs w:val="24"/>
          <w:highlight w:val="none"/>
          <w:lang w:val="el-GR"/>
        </w:rPr>
        <w:t xml:space="preserve">10.1097/IJG.0000000000000354</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Style w:val="909"/>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t xml:space="preserve">Chakraborty, D., &amp; Sivaswamy, J. (2021).</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szCs w:val="24"/>
          <w:highlight w:val="none"/>
          <w:lang w:val="el-GR"/>
        </w:rPr>
        <w:t xml:space="preserve">Glaucoma Classification with a Fusion of Segmentation and Image-Based Features."</w:t>
      </w:r>
      <w:r>
        <w:rPr>
          <w:rFonts w:ascii="Times New Roman" w:hAnsi="Times New Roman" w:eastAsia="Times New Roman" w:cs="Times New Roman"/>
          <w:sz w:val="24"/>
          <w:szCs w:val="24"/>
          <w:highlight w:val="none"/>
          <w:lang w:val="el-GR"/>
        </w:rPr>
      </w: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Translational Vision Science &amp; Technology, 10(1), 7.</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n-US"/>
        </w:rPr>
        <w:t xml:space="preserve">DOI </w:t>
      </w:r>
      <w:r>
        <w:rPr>
          <w:rFonts w:ascii="Times New Roman" w:hAnsi="Times New Roman" w:eastAsia="Times New Roman" w:cs="Times New Roman"/>
          <w:sz w:val="24"/>
          <w:szCs w:val="24"/>
          <w:highlight w:val="none"/>
          <w:lang w:val="el-GR"/>
        </w:rPr>
        <w:t xml:space="preserve">:</w:t>
      </w:r>
      <w:r>
        <w:rPr>
          <w:rFonts w:ascii="Times New Roman" w:hAnsi="Times New Roman" w:eastAsia="Times New Roman" w:cs="Times New Roman"/>
          <w:sz w:val="24"/>
          <w:szCs w:val="24"/>
          <w:highlight w:val="none"/>
          <w:lang w:val="el-GR"/>
        </w:rPr>
        <w:t xml:space="preserve">10.1038/s41433-020-01191-5</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9"/>
        <w:numPr>
          <w:ilvl w:val="0"/>
          <w:numId w:val="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Li, Z. et al. (2018).</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Deep Learning for Detecting Glaucoma in Fundus Photographs.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Ophthalmology, 125(8), 1199–1206.</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n-US"/>
        </w:rPr>
        <w:t xml:space="preserve">DOI</w:t>
      </w:r>
      <w:r>
        <w:rPr>
          <w:rFonts w:ascii="Times New Roman" w:hAnsi="Times New Roman" w:eastAsia="Times New Roman" w:cs="Times New Roman"/>
          <w:sz w:val="24"/>
          <w:szCs w:val="24"/>
          <w:highlight w:val="none"/>
          <w:lang w:val="el-GR"/>
        </w:rPr>
        <w:t xml:space="preserve">: </w:t>
      </w:r>
      <w:r>
        <w:rPr>
          <w:rFonts w:ascii="Times New Roman" w:hAnsi="Times New Roman" w:eastAsia="Times New Roman" w:cs="Times New Roman"/>
          <w:sz w:val="24"/>
          <w:szCs w:val="24"/>
          <w:highlight w:val="none"/>
        </w:rPr>
        <w:t xml:space="preserve">doi.org/10.1016/j.ophtha.2018.01.023</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lang w:val="el-GR"/>
        </w:rPr>
        <w:t xml:space="preserve">3.</w:t>
      </w:r>
      <w:r>
        <w:rPr>
          <w:rFonts w:ascii="Times New Roman" w:hAnsi="Times New Roman" w:eastAsia="Times New Roman" w:cs="Times New Roman"/>
          <w:sz w:val="32"/>
          <w:szCs w:val="32"/>
          <w:highlight w:val="none"/>
        </w:rPr>
        <w:t xml:space="preserve">Προτεινόμενη υλοποίηση και περιγραφή των επιμέρους μοντέλων</w:t>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Η εργασία αφορά στην ανίχνευση γλαυκώματος μέσω ψηφιακών φωτογραφιών. Το πρόβλημα αντιμετωπίζεται ως </w:t>
      </w:r>
      <w:r>
        <w:rPr>
          <w:rFonts w:ascii="Times New Roman" w:hAnsi="Times New Roman" w:eastAsia="Times New Roman" w:cs="Times New Roman"/>
          <w:sz w:val="24"/>
          <w:szCs w:val="24"/>
          <w:highlight w:val="none"/>
        </w:rPr>
        <w:t xml:space="preserve">binary image classification</w:t>
      </w:r>
      <w:r>
        <w:rPr>
          <w:rFonts w:ascii="Times New Roman" w:hAnsi="Times New Roman" w:eastAsia="Times New Roman" w:cs="Times New Roman"/>
          <w:sz w:val="24"/>
          <w:szCs w:val="24"/>
          <w:highlight w:val="none"/>
          <w:lang w:val="el-GR"/>
        </w:rPr>
        <w:t xml:space="preserve"> (</w:t>
      </w:r>
      <w:r>
        <w:rPr>
          <w:rFonts w:ascii="Times New Roman" w:hAnsi="Times New Roman" w:eastAsia="Times New Roman" w:cs="Times New Roman"/>
          <w:sz w:val="24"/>
          <w:szCs w:val="24"/>
          <w:highlight w:val="none"/>
        </w:rPr>
        <w:t xml:space="preserve">δυαδική ταξινόμηση εικόνας</w:t>
      </w:r>
      <w:r>
        <w:rPr>
          <w:rFonts w:ascii="Times New Roman" w:hAnsi="Times New Roman" w:eastAsia="Times New Roman" w:cs="Times New Roman"/>
          <w:sz w:val="24"/>
          <w:szCs w:val="24"/>
          <w:highlight w:val="none"/>
          <w:lang w:val="el-GR"/>
        </w:rPr>
        <w:t xml:space="preserve">)</w:t>
      </w:r>
      <w:r>
        <w:rPr>
          <w:rFonts w:ascii="Times New Roman" w:hAnsi="Times New Roman" w:eastAsia="Times New Roman" w:cs="Times New Roman"/>
          <w:sz w:val="24"/>
          <w:szCs w:val="24"/>
          <w:highlight w:val="none"/>
        </w:rPr>
        <w:t xml:space="preserve">, όπου κάθε είσοδος ταξινομείται είτε ως "Normal" είτε ως "Glaucoma". Για την επίλυση του προβλήμ</w:t>
      </w:r>
      <w:r>
        <w:rPr>
          <w:rFonts w:ascii="Times New Roman" w:hAnsi="Times New Roman" w:eastAsia="Times New Roman" w:cs="Times New Roman"/>
          <w:sz w:val="24"/>
          <w:szCs w:val="24"/>
          <w:highlight w:val="none"/>
        </w:rPr>
        <w:t xml:space="preserve">ατος αναπτύχθηκαν και συγκρίθηκαν τρία μοντέλα </w:t>
      </w:r>
      <w:r>
        <w:rPr>
          <w:rFonts w:ascii="Times New Roman" w:hAnsi="Times New Roman" w:eastAsia="Times New Roman" w:cs="Times New Roman"/>
          <w:sz w:val="24"/>
          <w:szCs w:val="24"/>
          <w:highlight w:val="none"/>
        </w:rPr>
        <w:t xml:space="preserve">deep learning: ένα custom CNN, το VGG16 και το MobileNetV2. Τα δύο τελευταία χρησιμοποιήθηκαν με τη μέθοδο transfer learning, και στη συνέχεια εφαρμόστηκε fine-tuning για προσαρμογή στα δεδομένα της μελέτης. Ο</w:t>
      </w:r>
      <w:r>
        <w:rPr>
          <w:rFonts w:ascii="Times New Roman" w:hAnsi="Times New Roman" w:eastAsia="Times New Roman" w:cs="Times New Roman"/>
          <w:sz w:val="24"/>
          <w:szCs w:val="24"/>
          <w:highlight w:val="none"/>
        </w:rPr>
        <w:t xml:space="preserve">ι</w:t>
      </w:r>
      <w:r>
        <w:rPr>
          <w:rFonts w:ascii="Times New Roman" w:hAnsi="Times New Roman" w:eastAsia="Times New Roman" w:cs="Times New Roman"/>
          <w:sz w:val="24"/>
          <w:szCs w:val="24"/>
          <w:highlight w:val="none"/>
        </w:rPr>
        <w:t xml:space="preserve"> εικόνες υποβλήθηκαν σε κατάλληλη προεπεξεργασία, και το dataset χωρίστηκε σε σύνολα εκπαίδευσης, επικύρωσης και δοκιμής. Η αξιολόγηση έγινε με βασικές μετρικές απόδοσης, ενώ χρησιμοποιήθηκε επίσης η μέθοδος K-Fold Cross Validation για την ενίσχυση της αξι</w:t>
      </w:r>
      <w:r>
        <w:rPr>
          <w:rFonts w:ascii="Times New Roman" w:hAnsi="Times New Roman" w:eastAsia="Times New Roman" w:cs="Times New Roman"/>
          <w:sz w:val="24"/>
          <w:szCs w:val="24"/>
          <w:highlight w:val="none"/>
        </w:rPr>
        <w:t xml:space="preserve">οπιστίας των αποτελεσμάτων.</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t xml:space="preserve">Παρακ</w:t>
      </w:r>
      <w:r>
        <w:rPr>
          <w:rFonts w:ascii="Times New Roman" w:hAnsi="Times New Roman" w:eastAsia="Times New Roman" w:cs="Times New Roman"/>
          <w:sz w:val="24"/>
          <w:szCs w:val="24"/>
          <w:highlight w:val="none"/>
          <w:lang w:val="el-GR"/>
        </w:rPr>
        <w:t xml:space="preserve">ά</w:t>
      </w:r>
      <w:r>
        <w:rPr>
          <w:rFonts w:ascii="Times New Roman" w:hAnsi="Times New Roman" w:eastAsia="Times New Roman" w:cs="Times New Roman"/>
          <w:sz w:val="24"/>
          <w:szCs w:val="24"/>
          <w:highlight w:val="none"/>
          <w:lang w:val="el-GR"/>
        </w:rPr>
        <w:t xml:space="preserve">τω </w:t>
      </w:r>
      <w:r>
        <w:rPr>
          <w:rFonts w:ascii="Times New Roman" w:hAnsi="Times New Roman" w:eastAsia="Times New Roman" w:cs="Times New Roman"/>
          <w:sz w:val="24"/>
          <w:szCs w:val="24"/>
          <w:highlight w:val="none"/>
          <w:lang w:val="el-GR"/>
        </w:rPr>
        <w:t xml:space="preserve">φα</w:t>
      </w:r>
      <w:r>
        <w:rPr>
          <w:rFonts w:ascii="Times New Roman" w:hAnsi="Times New Roman" w:eastAsia="Times New Roman" w:cs="Times New Roman"/>
          <w:sz w:val="24"/>
          <w:szCs w:val="24"/>
          <w:highlight w:val="none"/>
          <w:lang w:val="el-GR"/>
        </w:rPr>
        <w:t xml:space="preserve">ίνεται το </w:t>
      </w:r>
      <w:r>
        <w:rPr>
          <w:rFonts w:ascii="Times New Roman" w:hAnsi="Times New Roman" w:eastAsia="Times New Roman" w:cs="Times New Roman"/>
          <w:sz w:val="24"/>
          <w:szCs w:val="24"/>
          <w:highlight w:val="none"/>
          <w:lang w:val="en-US"/>
        </w:rPr>
        <w:t xml:space="preserve">flowchart </w:t>
      </w:r>
      <w:r>
        <w:rPr>
          <w:rFonts w:ascii="Times New Roman" w:hAnsi="Times New Roman" w:eastAsia="Times New Roman" w:cs="Times New Roman"/>
          <w:sz w:val="24"/>
          <w:szCs w:val="24"/>
          <w:highlight w:val="none"/>
          <w:lang w:val="el-GR"/>
        </w:rPr>
        <w:t xml:space="preserve">που δημιο</w:t>
      </w:r>
      <w:r>
        <w:rPr>
          <w:rFonts w:ascii="Times New Roman" w:hAnsi="Times New Roman" w:eastAsia="Times New Roman" w:cs="Times New Roman"/>
          <w:sz w:val="24"/>
          <w:szCs w:val="24"/>
          <w:highlight w:val="none"/>
          <w:lang w:val="el-GR"/>
        </w:rPr>
        <w:t xml:space="preserve">ύργησα στο </w:t>
      </w:r>
      <w:r>
        <w:rPr>
          <w:rFonts w:ascii="Times New Roman" w:hAnsi="Times New Roman" w:eastAsia="Times New Roman" w:cs="Times New Roman"/>
          <w:sz w:val="24"/>
          <w:szCs w:val="24"/>
          <w:highlight w:val="none"/>
          <w:lang w:val="en-US"/>
        </w:rPr>
        <w:t xml:space="preserve">google col</w:t>
      </w:r>
      <w:r>
        <w:rPr>
          <w:rFonts w:ascii="Times New Roman" w:hAnsi="Times New Roman" w:eastAsia="Times New Roman" w:cs="Times New Roman"/>
          <w:sz w:val="24"/>
          <w:szCs w:val="24"/>
          <w:highlight w:val="none"/>
          <w:lang w:val="en-US"/>
        </w:rPr>
        <w:t xml:space="preserve">ab</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3689725" cy="443960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83409" name=""/>
                        <pic:cNvPicPr>
                          <a:picLocks noChangeAspect="1"/>
                        </pic:cNvPicPr>
                        <pic:nvPr/>
                      </pic:nvPicPr>
                      <pic:blipFill>
                        <a:blip r:embed="rId11"/>
                        <a:stretch/>
                      </pic:blipFill>
                      <pic:spPr bwMode="auto">
                        <a:xfrm flipH="0" flipV="0">
                          <a:off x="0" y="0"/>
                          <a:ext cx="3689724" cy="4439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0.53pt;height:349.58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3.1 Custom CNN</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Τ</w:t>
      </w:r>
      <w:r>
        <w:rPr>
          <w:rFonts w:ascii="Times New Roman" w:hAnsi="Times New Roman" w:eastAsia="Times New Roman" w:cs="Times New Roman"/>
          <w:sz w:val="24"/>
          <w:szCs w:val="24"/>
          <w:highlight w:val="none"/>
        </w:rPr>
        <w:t xml:space="preserve">ο πρώτο μοντέλο που αναπτύχθηκε είναι ένα Custom Convolutional Neural Network, υλοποιημένο εξ ολοκλήρου από το μηδέν. Περιλαμβάνει διαδοχικά convolutional layers με ενεργοποίηση ReLU, max-pooling layers για μείωση της διαστατικότητας, flatten layer, fully </w:t>
      </w:r>
      <w:r>
        <w:rPr>
          <w:rFonts w:ascii="Times New Roman" w:hAnsi="Times New Roman" w:eastAsia="Times New Roman" w:cs="Times New Roman"/>
          <w:sz w:val="24"/>
          <w:szCs w:val="24"/>
          <w:highlight w:val="none"/>
        </w:rPr>
        <w:t xml:space="preserve">connected layer και έξοδο με sigmoid για binary classification.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6258900" cy="3018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8277" name=""/>
                        <pic:cNvPicPr>
                          <a:picLocks noChangeAspect="1"/>
                        </pic:cNvPicPr>
                        <pic:nvPr/>
                      </pic:nvPicPr>
                      <pic:blipFill>
                        <a:blip r:embed="rId12"/>
                        <a:stretch/>
                      </pic:blipFill>
                      <pic:spPr bwMode="auto">
                        <a:xfrm flipH="0" flipV="0">
                          <a:off x="0" y="0"/>
                          <a:ext cx="6258899" cy="301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2.83pt;height:23.7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t xml:space="preserve">3.</w:t>
      </w:r>
      <w:r>
        <w:rPr>
          <w:lang w:val="el-GR"/>
        </w:rPr>
        <w:t xml:space="preserve">2</w:t>
      </w:r>
      <w:r>
        <w:t xml:space="preserve"> VGG16 </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Τ</w:t>
      </w:r>
      <w:r>
        <w:rPr>
          <w:rFonts w:ascii="Times New Roman" w:hAnsi="Times New Roman" w:eastAsia="Times New Roman" w:cs="Times New Roman"/>
          <w:sz w:val="24"/>
          <w:szCs w:val="24"/>
          <w:highlight w:val="none"/>
        </w:rPr>
        <w:t xml:space="preserve">ο VGG16 αξιοποιήθηκε ως προεκπαιδευμένο μοντέλο (από το ImageNet) και χρησιμοποιήθηκε ως feature extractor. Τα convolutional layers παρέμειναν παγωμένα, και προστέθηκε custom classification head αποτελούμενο από GlobalAveragePooling, Dense(128) και έξοδο s</w:t>
      </w:r>
      <w:r>
        <w:rPr>
          <w:rFonts w:ascii="Times New Roman" w:hAnsi="Times New Roman" w:eastAsia="Times New Roman" w:cs="Times New Roman"/>
          <w:sz w:val="24"/>
          <w:szCs w:val="24"/>
          <w:highlight w:val="none"/>
        </w:rPr>
        <w:t xml:space="preserve">igmoid.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396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338" name=""/>
                        <pic:cNvPicPr>
                          <a:picLocks noChangeAspect="1"/>
                        </pic:cNvPicPr>
                        <pic:nvPr/>
                      </pic:nvPicPr>
                      <pic:blipFill>
                        <a:blip r:embed="rId13"/>
                        <a:stretch/>
                      </pic:blipFill>
                      <pic:spPr bwMode="auto">
                        <a:xfrm>
                          <a:off x="0" y="0"/>
                          <a:ext cx="5943599" cy="396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1.2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sz w:val="24"/>
          <w:szCs w:val="24"/>
        </w:rPr>
      </w:r>
      <w:r>
        <w:t xml:space="preserve">3.</w:t>
      </w:r>
      <w:r>
        <w:rPr>
          <w:lang w:val="el-GR"/>
        </w:rPr>
        <w:t xml:space="preserve">3</w:t>
      </w:r>
      <w:r>
        <w:t xml:space="preserve"> MobileNetV2 </w:t>
      </w:r>
      <w:r>
        <w:rPr>
          <w:rFonts w:ascii="Times New Roman" w:hAnsi="Times New Roman" w:eastAsia="Times New Roman" w:cs="Times New Roman"/>
          <w:sz w:val="24"/>
          <w:szCs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Τ</w:t>
      </w:r>
      <w:r>
        <w:rPr>
          <w:highlight w:val="none"/>
        </w:rPr>
        <w:t xml:space="preserve">ο MobileNetV2 επιλέχθηκε ως ελαφριά και αποδοτική αρχιτεκτονική, με στόχο την αποτελεσματική ταξινόμηση με μικρό υπολογιστικό κόστος. Στην αρχική μορφή χρησιμοποιήθηκε με παγωμένο backbone και custom head αποτελούμενο από GlobalAveragePooling και Dense(128</w:t>
      </w:r>
      <w:r>
        <w:rPr>
          <w:highlight w:val="none"/>
        </w:rPr>
        <w:t xml:space="preserve">) → Sigmoid.</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highlight w:val="none"/>
        </w:rPr>
        <mc:AlternateContent>
          <mc:Choice Requires="wpg">
            <w:drawing>
              <wp:inline xmlns:wp="http://schemas.openxmlformats.org/drawingml/2006/wordprocessingDrawing" distT="0" distB="0" distL="0" distR="0">
                <wp:extent cx="5943600" cy="39624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41697" name=""/>
                        <pic:cNvPicPr>
                          <a:picLocks noChangeAspect="1"/>
                        </pic:cNvPicPr>
                        <pic:nvPr/>
                      </pic:nvPicPr>
                      <pic:blipFill>
                        <a:blip r:embed="rId14"/>
                        <a:stretch/>
                      </pic:blipFill>
                      <pic:spPr bwMode="auto">
                        <a:xfrm>
                          <a:off x="0" y="0"/>
                          <a:ext cx="5943599" cy="396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1.20pt;mso-wrap-distance-left:0.00pt;mso-wrap-distance-top:0.00pt;mso-wrap-distance-right:0.00pt;mso-wrap-distance-bottom:0.00pt;z-index:1;" stroked="false">
                <v:imagedata r:id="rId14" o:title=""/>
                <o:lock v:ext="edit" rotation="t"/>
              </v:shape>
            </w:pict>
          </mc:Fallback>
        </mc:AlternateContent>
      </w:r>
      <w:r>
        <w:rPr>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t xml:space="preserve">3.</w:t>
      </w:r>
      <w:r>
        <w:rPr>
          <w:lang w:val="el-GR"/>
        </w:rPr>
        <w:t xml:space="preserve">4</w:t>
      </w:r>
      <w:r>
        <w:t xml:space="preserve"> Fine-tuned Custom CNN</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Στο fine-tuning της αρχικής αρχιτεκτονικής του CNN προστέθηκε ένα επιπλέον fully connected layer (Dense με 64 νευρώνες) και ένα Dropout layer (rate 0.5) για καλύτερη γενίκευση και αντιμετώπιση overfitting.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19801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18376" name=""/>
                        <pic:cNvPicPr>
                          <a:picLocks noChangeAspect="1"/>
                        </pic:cNvPicPr>
                        <pic:nvPr/>
                      </pic:nvPicPr>
                      <pic:blipFill>
                        <a:blip r:embed="rId15"/>
                        <a:stretch/>
                      </pic:blipFill>
                      <pic:spPr bwMode="auto">
                        <a:xfrm flipH="0" flipV="0">
                          <a:off x="0" y="0"/>
                          <a:ext cx="5943599" cy="198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59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Η ανανεωμένη αυτή δομή οδήγησε σε μικρή αλλά μετρήσιμη βελτίωση της ακρίβειας.</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t xml:space="preserve">3.</w:t>
      </w:r>
      <w:r>
        <w:rPr>
          <w:lang w:val="el-GR"/>
        </w:rPr>
        <w:t xml:space="preserve">5</w:t>
      </w:r>
      <w:r>
        <w:t xml:space="preserve"> Fine-tuned VGG16</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Στο fine-tuned VGG16 ξεπαγώθηκαν τα τελευταία convolutional blocks του μοντέλου και προστέθηκε ένα επιπλέον fully connected layer (Dense(64)) μετά από dropout. Έτσι, δόθηκε στο δίκτυο η δυνατότητα να εκπαιδευτεί βαθύτερα επάνω στο ειδικό ιατρικό dataset.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29309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5368" name=""/>
                        <pic:cNvPicPr>
                          <a:picLocks noChangeAspect="1"/>
                        </pic:cNvPicPr>
                        <pic:nvPr/>
                      </pic:nvPicPr>
                      <pic:blipFill>
                        <a:blip r:embed="rId16"/>
                        <a:stretch/>
                      </pic:blipFill>
                      <pic:spPr bwMode="auto">
                        <a:xfrm>
                          <a:off x="0" y="0"/>
                          <a:ext cx="5943599" cy="293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3.08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Η προσέγγιση fine-tuning επέτρεψε στο μοντέλο να εξειδικευτεί στα χαρακτηριστικά του dataset, αυξάνοντας την ακρίβεια και μειώνοντας τα λάθη ταξινόμησης.</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3.6 Fine-tuned MobileNetV2</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Για τη fine-tuned έκδοση του MobileNetV2, ξεπαγώθηκαν επιλεγμένα convolutional blocks του backbone, και προστέθηκαν Dropout layer και Dense(64) για βελτίωση της ικανότητας γενίκευσης.</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29309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6717" name=""/>
                        <pic:cNvPicPr>
                          <a:picLocks noChangeAspect="1"/>
                        </pic:cNvPicPr>
                        <pic:nvPr/>
                      </pic:nvPicPr>
                      <pic:blipFill>
                        <a:blip r:embed="rId17"/>
                        <a:stretch/>
                      </pic:blipFill>
                      <pic:spPr bwMode="auto">
                        <a:xfrm>
                          <a:off x="0" y="0"/>
                          <a:ext cx="5943599" cy="293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3.0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Όπως και με το VGG16, η διαδικασία fine-tuning οδήγησε σε σημαντική βελτίωση της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απόδοσης του μοντέλου στο validation και test set.</w:t>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2"/>
          <w:szCs w:val="32"/>
          <w:highlight w:val="none"/>
          <w:lang w:val="el-GR"/>
        </w:rPr>
      </w:pPr>
      <w:r>
        <w:rPr>
          <w:rFonts w:ascii="Times New Roman" w:hAnsi="Times New Roman" w:eastAsia="Times New Roman" w:cs="Times New Roman"/>
          <w:sz w:val="32"/>
          <w:szCs w:val="32"/>
          <w:highlight w:val="none"/>
        </w:rPr>
        <w:t xml:space="preserve">4. </w:t>
      </w:r>
      <w:r>
        <w:rPr>
          <w:rFonts w:ascii="Times New Roman" w:hAnsi="Times New Roman" w:eastAsia="Times New Roman" w:cs="Times New Roman"/>
          <w:sz w:val="32"/>
          <w:szCs w:val="32"/>
          <w:highlight w:val="none"/>
          <w:lang w:val="el-GR"/>
        </w:rPr>
        <w:t xml:space="preserve">Πειραματικ</w:t>
      </w:r>
      <w:r>
        <w:rPr>
          <w:rFonts w:ascii="Times New Roman" w:hAnsi="Times New Roman" w:eastAsia="Times New Roman" w:cs="Times New Roman"/>
          <w:sz w:val="32"/>
          <w:szCs w:val="32"/>
          <w:highlight w:val="none"/>
          <w:lang w:val="el-GR"/>
        </w:rPr>
        <w:t xml:space="preserve">ά μοντ</w:t>
      </w:r>
      <w:r>
        <w:rPr>
          <w:rFonts w:ascii="Times New Roman" w:hAnsi="Times New Roman" w:eastAsia="Times New Roman" w:cs="Times New Roman"/>
          <w:sz w:val="32"/>
          <w:szCs w:val="32"/>
          <w:highlight w:val="none"/>
          <w:lang w:val="el-GR"/>
        </w:rPr>
        <w:t xml:space="preserve">έλα </w:t>
      </w:r>
      <w:r>
        <w:rPr>
          <w:rFonts w:ascii="Times New Roman" w:hAnsi="Times New Roman" w:eastAsia="Times New Roman" w:cs="Times New Roman"/>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sz w:val="24"/>
          <w:szCs w:val="24"/>
          <w:highlight w:val="none"/>
          <w:lang w:val="el-GR"/>
        </w:rPr>
        <w:t xml:space="preserve">Το dataset που χρησιμοποιήθηκε για την παρούσα εργασία περιλαμβάνει συνολικά 598 εικόνες βυθού του οφθαλμού, εκ των οποίων 299 ανήκουν σε ασθενείς με γλαύκωμα και 299 σε υγιή άτομα. Οι εικόνες συλλέχθηκαν από δημόσια προσβάσιμες πηγές και αναπαριστούν διαφο</w:t>
      </w:r>
      <w:r>
        <w:rPr>
          <w:rFonts w:ascii="Times New Roman" w:hAnsi="Times New Roman" w:eastAsia="Times New Roman" w:cs="Times New Roman"/>
          <w:sz w:val="24"/>
          <w:szCs w:val="24"/>
          <w:highlight w:val="none"/>
          <w:lang w:val="el-GR"/>
        </w:rPr>
        <w:t xml:space="preserve">ρετικά επίπεδα ποιότητας και φωτισμού, κάτι που καθιστά την ταξινόμηση πιο ρεαλιστική.</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Για την καλύτερη κατανόηση της μορφής των δεδομένων, παρουσιάζονται ενδεικτικές εικόνες κάθε κατηγορίας (Εικόνα 4.1) και τα αντίστοιχα ιστογράμματα κατανομής pixel (Εικόνα 4.2). Η κατανομή των τιμών φωτεινότητας μεταξύ των δύο κλάσεων παρουσιάζει ελαφρές δι</w:t>
      </w:r>
      <w:r>
        <w:rPr>
          <w:rFonts w:ascii="Times New Roman" w:hAnsi="Times New Roman" w:eastAsia="Times New Roman" w:cs="Times New Roman"/>
          <w:sz w:val="24"/>
          <w:szCs w:val="24"/>
          <w:highlight w:val="none"/>
          <w:lang w:val="el-GR"/>
        </w:rPr>
        <w:t xml:space="preserve">αφοροποιήσεις, οι οποίες μπορεί να αξιοποιηθούν από τα μοντέλα.</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5239725" cy="262236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9567" name=""/>
                        <pic:cNvPicPr>
                          <a:picLocks noChangeAspect="1"/>
                        </pic:cNvPicPr>
                        <pic:nvPr/>
                      </pic:nvPicPr>
                      <pic:blipFill>
                        <a:blip r:embed="rId18"/>
                        <a:stretch/>
                      </pic:blipFill>
                      <pic:spPr bwMode="auto">
                        <a:xfrm flipH="0" flipV="0">
                          <a:off x="0" y="0"/>
                          <a:ext cx="5239724" cy="2622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2.58pt;height:206.49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Εικονα 4.1</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5239725" cy="217088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13363" name=""/>
                        <pic:cNvPicPr>
                          <a:picLocks noChangeAspect="1"/>
                        </pic:cNvPicPr>
                        <pic:nvPr/>
                      </pic:nvPicPr>
                      <pic:blipFill>
                        <a:blip r:embed="rId19"/>
                        <a:stretch/>
                      </pic:blipFill>
                      <pic:spPr bwMode="auto">
                        <a:xfrm flipH="0" flipV="0">
                          <a:off x="0" y="0"/>
                          <a:ext cx="5239724" cy="2170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2.58pt;height:170.9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t xml:space="preserve">Εικ</w:t>
      </w:r>
      <w:r>
        <w:rPr>
          <w:rFonts w:ascii="Times New Roman" w:hAnsi="Times New Roman" w:eastAsia="Times New Roman" w:cs="Times New Roman"/>
          <w:sz w:val="24"/>
          <w:szCs w:val="24"/>
          <w:highlight w:val="none"/>
          <w:lang w:val="el-GR"/>
        </w:rPr>
        <w:t xml:space="preserve">όνα 4.2</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4.2 Προεπεξεργασία</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Οι εικόνες υποβλήθηκαν σε επαναδειγματοληψία (resize) σε διαστάσεις 224×224 pixels, ενώ πραγματοποιήθηκε κανονικοποίηση τιμών (normalization) στο διάστημα 0,10,1. Δεν παρατηρήθηκαν ελλιπείς ή αλλοιωμένες εικόνες (missing/corrupted values) κατά την ανάγνωση </w:t>
      </w:r>
      <w:r>
        <w:rPr>
          <w:rFonts w:ascii="Times New Roman" w:hAnsi="Times New Roman" w:eastAsia="Times New Roman" w:cs="Times New Roman"/>
          <w:color w:val="000000"/>
          <w:sz w:val="24"/>
        </w:rPr>
        <w:t xml:space="preserve">με OpenCV, ενώ ο χειρισμός τυχόν μη φορτώσιμων εικόνων έγινε με απλό έλεγχο if img is None.</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Οι εικόνες μετατράπηκαν σε NumPy arrays για την είσοδό τους στα μοντέλα, με ανάλογη προετοιμασία των labels. Η τελική κατανομή των δεδομένων έγινε με χρήση stratify=y ώστε να διατηρηθεί η αναλογία κλάσεων.</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4.3 Διαχωρισμός σε Train / Validation / Test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Το dataset διαχωρίστηκε ως εξής:</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90% για Train/Validation</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10% για Test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Από το υπόλοιπο 90%, αφαιρέθηκε ποσοστό 11.11% για Validation, με αποτέλεσμα την τελική κατανομή:</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Train: 80%</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Validation: 10%</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        Test: 10%</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Αυτός ο διαχωρισμός εξασφαλίζει επαρκή εκπαίδευση και δίκαιη αξιολόγηση σε ανεξάρτητο test set.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4.4 Cross-Validation (5-Fold)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t xml:space="preserve">Για κάθε fine-tuned μοντέλο εφαρμόστηκε 5-Fold Cross Validation, ώστε να εξαχθούν στατιστικά αξιόπιστα αποτελέσματα. Οι μέσες ακρίβειες και αποκλίσεις ήταν:</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bl>
      <w:tblPr>
        <w:tblStyle w:val="72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29"/>
        <w:gridCol w:w="2551"/>
        <w:gridCol w:w="2976"/>
      </w:tblGrid>
      <w:tr>
        <w:trPr/>
        <w:tc>
          <w:tcPr>
            <w:tcBorders/>
            <w:tcMar>
              <w:left w:w="15" w:type="dxa"/>
              <w:top w:w="15" w:type="dxa"/>
              <w:right w:w="15" w:type="dxa"/>
              <w:bottom w:w="15" w:type="dxa"/>
            </w:tcMar>
            <w:tcW w:w="252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Μοντέλο</w:t>
            </w:r>
            <w:r/>
          </w:p>
        </w:tc>
        <w:tc>
          <w:tcPr>
            <w:tcBorders/>
            <w:tcMar>
              <w:left w:w="15" w:type="dxa"/>
              <w:top w:w="15" w:type="dxa"/>
              <w:right w:w="15" w:type="dxa"/>
              <w:bottom w:w="15" w:type="dxa"/>
            </w:tcMar>
            <w:tcW w:w="2551"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Μέση Ακρίβεια</w:t>
            </w:r>
            <w:r/>
          </w:p>
        </w:tc>
        <w:tc>
          <w:tcPr>
            <w:tcBorders/>
            <w:tcMar>
              <w:left w:w="15" w:type="dxa"/>
              <w:top w:w="15" w:type="dxa"/>
              <w:right w:w="15" w:type="dxa"/>
              <w:bottom w:w="15" w:type="dxa"/>
            </w:tcMar>
            <w:tcW w:w="2976"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Τυπ. Απόκλιση</w:t>
            </w: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CNN (Fine-Tuned)</w:t>
            </w:r>
            <w:r/>
          </w:p>
        </w:tc>
        <w:tc>
          <w:tcPr>
            <w:tcBorders/>
            <w:tcMar>
              <w:left w:w="15" w:type="dxa"/>
              <w:top w:w="15" w:type="dxa"/>
              <w:right w:w="15" w:type="dxa"/>
              <w:bottom w:w="15" w:type="dxa"/>
            </w:tcMar>
            <w:tcW w:w="255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9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 0.0000</w:t>
            </w: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VGG16 (Fine-Tuned)</w:t>
            </w:r>
            <w:r/>
          </w:p>
        </w:tc>
        <w:tc>
          <w:tcPr>
            <w:tcBorders/>
            <w:tcMar>
              <w:left w:w="15" w:type="dxa"/>
              <w:top w:w="15" w:type="dxa"/>
              <w:right w:w="15" w:type="dxa"/>
              <w:bottom w:w="15" w:type="dxa"/>
            </w:tcMar>
            <w:tcW w:w="255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0.9882</w:t>
            </w:r>
            <w:r/>
          </w:p>
        </w:tc>
        <w:tc>
          <w:tcPr>
            <w:tcBorders/>
            <w:tcMar>
              <w:left w:w="15" w:type="dxa"/>
              <w:top w:w="15" w:type="dxa"/>
              <w:right w:w="15" w:type="dxa"/>
              <w:bottom w:w="15" w:type="dxa"/>
            </w:tcMar>
            <w:tcW w:w="29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 0.0156</w:t>
            </w: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MobileNetV2 (FT)</w:t>
            </w:r>
            <w:r/>
          </w:p>
        </w:tc>
        <w:tc>
          <w:tcPr>
            <w:tcBorders/>
            <w:tcMar>
              <w:left w:w="15" w:type="dxa"/>
              <w:top w:w="15" w:type="dxa"/>
              <w:right w:w="15" w:type="dxa"/>
              <w:bottom w:w="15" w:type="dxa"/>
            </w:tcMar>
            <w:tcW w:w="255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0.9482</w:t>
            </w:r>
            <w:r/>
          </w:p>
        </w:tc>
        <w:tc>
          <w:tcPr>
            <w:tcBorders/>
            <w:tcMar>
              <w:left w:w="15" w:type="dxa"/>
              <w:top w:w="15" w:type="dxa"/>
              <w:right w:w="15" w:type="dxa"/>
              <w:bottom w:w="15" w:type="dxa"/>
            </w:tcMar>
            <w:tcW w:w="29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 0.0063</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t xml:space="preserve">Για την ενίσχυση της αξιοπιστίας των αποτελεσμάτων και την αποφυγή overfitting, εφαρμόστηκε η τεχνική K-Fold Cross Validation με K = 5 σε όλα τα fine-tuned μοντέλα. Στην περίπτωση του CNN Fine-Tuned, το μοντέλο πέτυχε εντυπωσιακή συνέπεια με 100% ακρίβεια </w:t>
      </w:r>
      <w:r>
        <w:t xml:space="preserve">σε όλες τις αναδιπλώσεις (folds), κάτι που υποδηλώνει εξαιρετικά υψηλή γενίκευση. Το VGG16 Fine-Tuned εμφάνισε μικρότερη μεταβλητότητα, με μέση ακρίβεια 98.82% και τυπική απόκλιση ±0.0156, παραμένοντας ωστόσο σε πολύ υψηλό επίπεδο. Αντίστοιχα, το MobileNet</w:t>
      </w:r>
      <w:r>
        <w:t xml:space="preserve">V2 Fine-Tuned κατέγραψε μέση ακρίβεια 94.82% με εξαιρετικά μικρή απόκλιση ±0.0063, δείχνοντας σταθερή αλλά ελαφρώς κατώτερη απόδοση σε σχέση με τα υπόλοιπα μοντέλα. Η χρήση του k-fold validation κατέστησε εφικτή την αντικειμενική σύγκριση των μοντέλων, προ</w:t>
      </w:r>
      <w:r>
        <w:t xml:space="preserve">σφέροντας ένα πιο ρεαλιστικό μέτρο γενίκευσης, καθώς αξιοποιεί πλήρως το διαθέσιμο dataset χωρίς να εξαρτάται από μία μόνο κατανομή εκπαίδευσης/επαλήθευσης.</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el-GR"/>
        </w:rPr>
        <w:t xml:space="preserve">λογω </w:t>
      </w:r>
      <w:r>
        <w:rPr>
          <w:rFonts w:ascii="Times New Roman" w:hAnsi="Times New Roman" w:eastAsia="Times New Roman" w:cs="Times New Roman"/>
          <w:sz w:val="24"/>
          <w:szCs w:val="24"/>
          <w:highlight w:val="none"/>
          <w:lang w:val="el-GR"/>
        </w:rPr>
        <w:t xml:space="preserve">έλλειψης π</w:t>
      </w:r>
      <w:r>
        <w:rPr>
          <w:rFonts w:ascii="Times New Roman" w:hAnsi="Times New Roman" w:eastAsia="Times New Roman" w:cs="Times New Roman"/>
          <w:sz w:val="24"/>
          <w:szCs w:val="24"/>
          <w:highlight w:val="none"/>
          <w:lang w:val="el-GR"/>
        </w:rPr>
        <w:t xml:space="preserve">όρων στο </w:t>
      </w:r>
      <w:r>
        <w:rPr>
          <w:rFonts w:ascii="Times New Roman" w:hAnsi="Times New Roman" w:eastAsia="Times New Roman" w:cs="Times New Roman"/>
          <w:sz w:val="24"/>
          <w:szCs w:val="24"/>
          <w:highlight w:val="none"/>
          <w:lang w:val="en-US"/>
        </w:rPr>
        <w:t xml:space="preserve">google colab </w:t>
      </w:r>
      <w:r>
        <w:rPr>
          <w:rFonts w:ascii="Times New Roman" w:hAnsi="Times New Roman" w:eastAsia="Times New Roman" w:cs="Times New Roman"/>
          <w:sz w:val="24"/>
          <w:szCs w:val="24"/>
          <w:highlight w:val="none"/>
          <w:lang w:val="el-GR"/>
        </w:rPr>
        <w:t xml:space="preserve">εκανα μονο 5 </w:t>
      </w:r>
      <w:r>
        <w:rPr>
          <w:rFonts w:ascii="Times New Roman" w:hAnsi="Times New Roman" w:eastAsia="Times New Roman" w:cs="Times New Roman"/>
          <w:sz w:val="24"/>
          <w:szCs w:val="24"/>
          <w:highlight w:val="none"/>
          <w:lang w:val="en-US"/>
        </w:rPr>
        <w:t xml:space="preserve">kfolds </w:t>
      </w:r>
      <w:r>
        <w:rPr>
          <w:rFonts w:ascii="Times New Roman" w:hAnsi="Times New Roman" w:eastAsia="Times New Roman" w:cs="Times New Roman"/>
          <w:sz w:val="24"/>
          <w:szCs w:val="24"/>
          <w:highlight w:val="none"/>
          <w:lang w:val="el-GR"/>
        </w:rPr>
        <w:t xml:space="preserve">για καθε μοντελο)</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4.5 Καμπύλες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Οι παρακάτω καμπύλες δείχνουν τη σύγκλιση των μοντέλων κατά την εκπαίδευση. Παρατηρείται ότι τα Fine-Tuned CNN και VGG16 παρουσιάζουν ταχύτερη σύγκλιση και χαμηλότερη διακύμανση στην απώλεια.</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Custom CNN</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mc:AlternateContent>
          <mc:Choice Requires="wpg">
            <w:drawing>
              <wp:inline xmlns:wp="http://schemas.openxmlformats.org/drawingml/2006/wordprocessingDrawing" distT="0" distB="0" distL="0" distR="0">
                <wp:extent cx="2639400" cy="132432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7639" name=""/>
                        <pic:cNvPicPr>
                          <a:picLocks noChangeAspect="1"/>
                        </pic:cNvPicPr>
                        <pic:nvPr/>
                      </pic:nvPicPr>
                      <pic:blipFill>
                        <a:blip r:embed="rId20"/>
                        <a:stretch/>
                      </pic:blipFill>
                      <pic:spPr bwMode="auto">
                        <a:xfrm flipH="0" flipV="0">
                          <a:off x="0" y="0"/>
                          <a:ext cx="2639399" cy="1324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7.83pt;height:104.2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mc:AlternateContent>
          <mc:Choice Requires="wpg">
            <w:drawing>
              <wp:inline xmlns:wp="http://schemas.openxmlformats.org/drawingml/2006/wordprocessingDrawing" distT="0" distB="0" distL="0" distR="0">
                <wp:extent cx="2445953" cy="132432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02844" name=""/>
                        <pic:cNvPicPr>
                          <a:picLocks noChangeAspect="1"/>
                        </pic:cNvPicPr>
                        <pic:nvPr/>
                      </pic:nvPicPr>
                      <pic:blipFill>
                        <a:blip r:embed="rId21"/>
                        <a:stretch/>
                      </pic:blipFill>
                      <pic:spPr bwMode="auto">
                        <a:xfrm flipH="0" flipV="0">
                          <a:off x="0" y="0"/>
                          <a:ext cx="2445953" cy="1324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92.59pt;height:104.2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r>
      <w:r>
        <w:t xml:space="preserve">CNN – Loss &amp; Accuracy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Η καμπύλη του loss δείχνει ότι το μοντέλο CNN μειώνει σταθερά την απώλεια (loss) σε κάθε εποχή, κάτι που σημαίνει ότι μαθαίνει αποτελεσματικά χωρίς διακυμάνσεις. Η καμπύλη accuracy παρουσιάζει επίσης σταθερή αύξηση και φτάνει σχεδόν στο 100%, δείχνοντας πολ</w:t>
      </w:r>
      <w:r>
        <w:rPr>
          <w:rFonts w:ascii="Times New Roman" w:hAnsi="Times New Roman" w:eastAsia="Times New Roman" w:cs="Times New Roman"/>
          <w:color w:val="000000"/>
          <w:sz w:val="24"/>
          <w:highlight w:val="none"/>
        </w:rPr>
        <w:t xml:space="preserve">ύ καλή επίδοση τόσο στο training όσο και στο validation set.</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VGG16 </w:t>
      </w:r>
      <w:r>
        <w:rPr>
          <w:rFonts w:ascii="Times New Roman" w:hAnsi="Times New Roman" w:eastAsia="Times New Roman" w:cs="Times New Roman"/>
          <w:color w:val="000000"/>
          <w:sz w:val="24"/>
          <w:szCs w:val="24"/>
          <w:highlight w:val="none"/>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3298648" cy="263891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2485" name=""/>
                        <pic:cNvPicPr>
                          <a:picLocks noChangeAspect="1"/>
                        </pic:cNvPicPr>
                        <pic:nvPr/>
                      </pic:nvPicPr>
                      <pic:blipFill>
                        <a:blip r:embed="rId22"/>
                        <a:stretch/>
                      </pic:blipFill>
                      <pic:spPr bwMode="auto">
                        <a:xfrm flipH="0" flipV="0">
                          <a:off x="0" y="0"/>
                          <a:ext cx="3298647" cy="2638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59.74pt;height:207.79pt;mso-wrap-distance-left:0.00pt;mso-wrap-distance-top:0.00pt;mso-wrap-distance-right:0.00pt;mso-wrap-distance-bottom:0.00pt;z-index:1;" stroked="false">
                <v:imagedata r:id="rId22" o:title=""/>
                <o:lock v:ext="edit" rotation="t"/>
              </v:shape>
            </w:pict>
          </mc:Fallback>
        </mc:AlternateContent>
        <mc:AlternateContent>
          <mc:Choice Requires="wpg">
            <w:drawing>
              <wp:inline xmlns:wp="http://schemas.openxmlformats.org/drawingml/2006/wordprocessingDrawing" distT="0" distB="0" distL="0" distR="0">
                <wp:extent cx="3431445" cy="27146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9592" name=""/>
                        <pic:cNvPicPr>
                          <a:picLocks noChangeAspect="1"/>
                        </pic:cNvPicPr>
                        <pic:nvPr/>
                      </pic:nvPicPr>
                      <pic:blipFill>
                        <a:blip r:embed="rId23"/>
                        <a:stretch/>
                      </pic:blipFill>
                      <pic:spPr bwMode="auto">
                        <a:xfrm flipH="0" flipV="0">
                          <a:off x="0" y="0"/>
                          <a:ext cx="3431445"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70.19pt;height:213.75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VGG16 –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Η καμπύλη του loss στο VGG16 μειώνεται με την πάροδο των εποχών, αλλά παρατηρούνται μικρές αυξομειώσεις στο validation loss που ίσως δείχνουν τάση για overfitting. Η καμπύλη accuracy αυξάνεται σταθερά και φτάνει περίπου στο 95%, δείχνοντας ότι το μοντέλο μα</w:t>
      </w:r>
      <w:r>
        <w:rPr>
          <w:rFonts w:ascii="Times New Roman" w:hAnsi="Times New Roman" w:eastAsia="Times New Roman" w:cs="Times New Roman"/>
          <w:sz w:val="24"/>
          <w:szCs w:val="24"/>
          <w:highlight w:val="none"/>
        </w:rPr>
        <w:t xml:space="preserve">θαίνει καλά αλλά όχι όσο αποτελεσματικά όσο άλλα.</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MobileNetV2</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506175" cy="283111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0945" name=""/>
                        <pic:cNvPicPr>
                          <a:picLocks noChangeAspect="1"/>
                        </pic:cNvPicPr>
                        <pic:nvPr/>
                      </pic:nvPicPr>
                      <pic:blipFill>
                        <a:blip r:embed="rId24"/>
                        <a:stretch/>
                      </pic:blipFill>
                      <pic:spPr bwMode="auto">
                        <a:xfrm flipH="0" flipV="0">
                          <a:off x="0" y="0"/>
                          <a:ext cx="3506174" cy="2831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76.08pt;height:222.92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506175" cy="278170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9321" name=""/>
                        <pic:cNvPicPr>
                          <a:picLocks noChangeAspect="1"/>
                        </pic:cNvPicPr>
                        <pic:nvPr/>
                      </pic:nvPicPr>
                      <pic:blipFill>
                        <a:blip r:embed="rId25"/>
                        <a:stretch/>
                      </pic:blipFill>
                      <pic:spPr bwMode="auto">
                        <a:xfrm flipH="0" flipV="0">
                          <a:off x="0" y="0"/>
                          <a:ext cx="3506174" cy="2781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6.08pt;height:219.03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obileNetV2 –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Η καμπύλη του loss στο MobileNetV2 έχει μεγαλύτερες διακυμάνσεις και αργή μείωση, κάτι που δείχνει δυσκολία του μοντέλου να μάθει αποτελεσματικά. Η accuracy αυξάνεται αλλά με πιο αργό ρυθμό σε σχέση με τα άλλα μοντέλα, και τελικά φτάνει σε σταθερό σημείο κο</w:t>
      </w:r>
      <w:r>
        <w:rPr>
          <w:rFonts w:ascii="Times New Roman" w:hAnsi="Times New Roman" w:eastAsia="Times New Roman" w:cs="Times New Roman"/>
          <w:sz w:val="24"/>
          <w:szCs w:val="24"/>
          <w:highlight w:val="none"/>
        </w:rPr>
        <w:t xml:space="preserve">ντά στο 92%.</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Fine tuned Custom CNN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726099" cy="301039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75521" name=""/>
                        <pic:cNvPicPr>
                          <a:picLocks noChangeAspect="1"/>
                        </pic:cNvPicPr>
                        <pic:nvPr/>
                      </pic:nvPicPr>
                      <pic:blipFill>
                        <a:blip r:embed="rId26"/>
                        <a:stretch/>
                      </pic:blipFill>
                      <pic:spPr bwMode="auto">
                        <a:xfrm flipH="0" flipV="0">
                          <a:off x="0" y="0"/>
                          <a:ext cx="3726099" cy="30103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3.39pt;height:237.04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726099" cy="296912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78974" name=""/>
                        <pic:cNvPicPr>
                          <a:picLocks noChangeAspect="1"/>
                        </pic:cNvPicPr>
                        <pic:nvPr/>
                      </pic:nvPicPr>
                      <pic:blipFill>
                        <a:blip r:embed="rId27"/>
                        <a:stretch/>
                      </pic:blipFill>
                      <pic:spPr bwMode="auto">
                        <a:xfrm flipH="0" flipV="0">
                          <a:off x="0" y="0"/>
                          <a:ext cx="3726099" cy="2969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93.39pt;height:233.79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Fine-Tuned CNN –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Η καμπύλη του loss στο fine-tuned CNN μειώνεται γρήγορα και παραμένει πολύ χαμηλή, γεγονός που δείχνει πολύ καλή εκμάθηση και απουσία υπερπροσαρμογής. Η accuracy ανεβαίνει από νωρίς και παραμένει σταθερά κοντά στο 100%, κάτι που επιβεβαιώνει την εξαιρετική </w:t>
      </w:r>
      <w:r>
        <w:rPr>
          <w:rFonts w:ascii="Times New Roman" w:hAnsi="Times New Roman" w:eastAsia="Times New Roman" w:cs="Times New Roman"/>
          <w:sz w:val="24"/>
          <w:szCs w:val="24"/>
          <w:highlight w:val="none"/>
        </w:rPr>
        <w:t xml:space="preserve">απόδοση του μοντέλου.</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Fine tuned VGG16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348834" cy="270559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5677" name=""/>
                        <pic:cNvPicPr>
                          <a:picLocks noChangeAspect="1"/>
                        </pic:cNvPicPr>
                        <pic:nvPr/>
                      </pic:nvPicPr>
                      <pic:blipFill>
                        <a:blip r:embed="rId26"/>
                        <a:stretch/>
                      </pic:blipFill>
                      <pic:spPr bwMode="auto">
                        <a:xfrm flipH="0" flipV="0">
                          <a:off x="0" y="0"/>
                          <a:ext cx="3348834" cy="27055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63.69pt;height:213.04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376873" cy="26670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1774" name=""/>
                        <pic:cNvPicPr>
                          <a:picLocks noChangeAspect="1"/>
                        </pic:cNvPicPr>
                        <pic:nvPr/>
                      </pic:nvPicPr>
                      <pic:blipFill>
                        <a:blip r:embed="rId28"/>
                        <a:stretch/>
                      </pic:blipFill>
                      <pic:spPr bwMode="auto">
                        <a:xfrm flipH="0" flipV="0">
                          <a:off x="0" y="0"/>
                          <a:ext cx="33768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65.90pt;height:210.0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Fine-Tuned VGG16 –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Η καμπύλη του loss στο fine-tuned VGG16 μειώνεται σταθερά και δείχνει ότι το μοντέλο μαθαίνει σωστά, με πολύ μικρές διακυμάνσεις. Η accuracy αυξάνεται και παραμένει κοντά στο 95%, επιβεβαιώνοντας ότι το fine-tuning βελτίωσε την απόδοση του μοντέλου σε σχέση</w:t>
      </w:r>
      <w:r>
        <w:rPr>
          <w:rFonts w:ascii="Times New Roman" w:hAnsi="Times New Roman" w:eastAsia="Times New Roman" w:cs="Times New Roman"/>
          <w:sz w:val="24"/>
          <w:szCs w:val="24"/>
          <w:highlight w:val="none"/>
        </w:rPr>
        <w:t xml:space="preserve"> με την αρχική του μορφή.</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Fine tuned MobileNetV2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401400" cy="2752884"/>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5361" name=""/>
                        <pic:cNvPicPr>
                          <a:picLocks noChangeAspect="1"/>
                        </pic:cNvPicPr>
                        <pic:nvPr/>
                      </pic:nvPicPr>
                      <pic:blipFill>
                        <a:blip r:embed="rId29"/>
                        <a:stretch/>
                      </pic:blipFill>
                      <pic:spPr bwMode="auto">
                        <a:xfrm flipH="0" flipV="0">
                          <a:off x="0" y="0"/>
                          <a:ext cx="3401399" cy="2752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67.83pt;height:216.76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439843" cy="2772109"/>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5677" name=""/>
                        <pic:cNvPicPr>
                          <a:picLocks noChangeAspect="1"/>
                        </pic:cNvPicPr>
                        <pic:nvPr/>
                      </pic:nvPicPr>
                      <pic:blipFill>
                        <a:blip r:embed="rId30"/>
                        <a:stretch/>
                      </pic:blipFill>
                      <pic:spPr bwMode="auto">
                        <a:xfrm flipH="0" flipV="0">
                          <a:off x="0" y="0"/>
                          <a:ext cx="3439843" cy="2772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70.85pt;height:218.28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Fine-Tuned MobileNetV2 – Loss &amp; Accuracy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Η καμπύλη loss στο fine-tuned MobileNetV2 παρουσιάζει συνεχή μείωση αλλά και κάποιες μικρές διακυμάνσεις, υποδεικνύοντας μια σταθερή αλλά λιγότερο έντονη βελτίωση. Η accuracy ανεβαίνει σταθερά και τελικά σταθεροποιείται κοντά στο 92%, δείχνοντας μέτρια βελτ</w:t>
      </w:r>
      <w:r>
        <w:rPr>
          <w:rFonts w:ascii="Times New Roman" w:hAnsi="Times New Roman" w:eastAsia="Times New Roman" w:cs="Times New Roman"/>
          <w:sz w:val="24"/>
          <w:szCs w:val="24"/>
          <w:highlight w:val="none"/>
        </w:rPr>
        <w:t xml:space="preserve">ίωση σε σχέση με την αρχική έκδοση του μοντέλου.</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4.6 Συγκριτική Αξιολόγηση</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Παρακάτω παρατίθενται οι τελικές επιδόσεις των καλύτερων μοντέλων με βάση το test set: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72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245"/>
        <w:gridCol w:w="1417"/>
        <w:gridCol w:w="1843"/>
        <w:gridCol w:w="3402"/>
      </w:tblGrid>
      <w:tr>
        <w:trPr/>
        <w:tc>
          <w:tcPr>
            <w:tcBorders/>
            <w:tcMar>
              <w:left w:w="15" w:type="dxa"/>
              <w:top w:w="15" w:type="dxa"/>
              <w:right w:w="15" w:type="dxa"/>
              <w:bottom w:w="15" w:type="dxa"/>
            </w:tcMar>
            <w:tcW w:w="224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Μοντέλο</w:t>
            </w:r>
            <w:r/>
          </w:p>
        </w:tc>
        <w:tc>
          <w:tcPr>
            <w:tcBorders/>
            <w:tcMar>
              <w:left w:w="15" w:type="dxa"/>
              <w:top w:w="15" w:type="dxa"/>
              <w:right w:w="15" w:type="dxa"/>
              <w:bottom w:w="15" w:type="dxa"/>
            </w:tcMar>
            <w:tcW w:w="1417"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184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340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Avg Recall</w:t>
            </w:r>
            <w:r/>
          </w:p>
        </w:tc>
      </w:tr>
      <w:tr>
        <w:trPr/>
        <w:tc>
          <w:tcPr>
            <w:tcBorders/>
            <w:tcMar>
              <w:left w:w="15" w:type="dxa"/>
              <w:top w:w="15" w:type="dxa"/>
              <w:right w:w="15" w:type="dxa"/>
              <w:bottom w:w="15" w:type="dxa"/>
            </w:tcMar>
            <w:tcW w:w="224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CNN (FT)</w:t>
            </w:r>
            <w:r/>
          </w:p>
        </w:tc>
        <w:tc>
          <w:tcPr>
            <w:tcBorders/>
            <w:tcMar>
              <w:left w:w="15" w:type="dxa"/>
              <w:top w:w="15" w:type="dxa"/>
              <w:right w:w="15" w:type="dxa"/>
              <w:bottom w:w="15" w:type="dxa"/>
            </w:tcMar>
            <w:tcW w:w="1417"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184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0.985</w:t>
            </w:r>
            <w:r/>
          </w:p>
        </w:tc>
      </w:tr>
      <w:tr>
        <w:trPr/>
        <w:tc>
          <w:tcPr>
            <w:tcBorders/>
            <w:tcMar>
              <w:left w:w="15" w:type="dxa"/>
              <w:top w:w="15" w:type="dxa"/>
              <w:right w:w="15" w:type="dxa"/>
              <w:bottom w:w="15" w:type="dxa"/>
            </w:tcMar>
            <w:tcW w:w="224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VGG16 (FT)</w:t>
            </w:r>
            <w:r/>
          </w:p>
        </w:tc>
        <w:tc>
          <w:tcPr>
            <w:tcBorders/>
            <w:tcMar>
              <w:left w:w="15" w:type="dxa"/>
              <w:top w:w="15" w:type="dxa"/>
              <w:right w:w="15" w:type="dxa"/>
              <w:bottom w:w="15" w:type="dxa"/>
            </w:tcMar>
            <w:tcW w:w="1417"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184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0.950</w:t>
            </w:r>
            <w:r/>
          </w:p>
        </w:tc>
      </w:tr>
      <w:tr>
        <w:trPr/>
        <w:tc>
          <w:tcPr>
            <w:tcBorders/>
            <w:tcMar>
              <w:left w:w="15" w:type="dxa"/>
              <w:top w:w="15" w:type="dxa"/>
              <w:right w:w="15" w:type="dxa"/>
              <w:bottom w:w="15" w:type="dxa"/>
            </w:tcMar>
            <w:tcW w:w="224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MobileNetV2 (FT)</w:t>
            </w:r>
            <w:r/>
          </w:p>
        </w:tc>
        <w:tc>
          <w:tcPr>
            <w:tcBorders/>
            <w:tcMar>
              <w:left w:w="15" w:type="dxa"/>
              <w:top w:w="15" w:type="dxa"/>
              <w:right w:w="15" w:type="dxa"/>
              <w:bottom w:w="15" w:type="dxa"/>
            </w:tcMar>
            <w:tcW w:w="1417"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184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0.915</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Custom CNN Fine-Tuned</w:t>
      </w:r>
      <w:r>
        <w:rPr>
          <w:rFonts w:ascii="Times New Roman" w:hAnsi="Times New Roman" w:eastAsia="Times New Roman" w:cs="Times New Roman"/>
          <w:sz w:val="24"/>
          <w:szCs w:val="24"/>
        </w:rPr>
      </w:r>
    </w:p>
    <w:tbl>
      <w:tblPr>
        <w:tblStyle w:val="72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1134"/>
        <w:gridCol w:w="992"/>
        <w:gridCol w:w="1276"/>
        <w:gridCol w:w="3402"/>
      </w:tblGrid>
      <w:tr>
        <w:trPr/>
        <w:tc>
          <w:tcPr>
            <w:tcBorders/>
            <w:tcMar>
              <w:left w:w="15" w:type="dxa"/>
              <w:top w:w="15" w:type="dxa"/>
              <w:right w:w="15" w:type="dxa"/>
              <w:bottom w:w="15" w:type="dxa"/>
            </w:tcMar>
            <w:tcW w:w="210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1134"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Precision</w:t>
            </w:r>
            <w:r/>
          </w:p>
        </w:tc>
        <w:tc>
          <w:tcPr>
            <w:tcBorders/>
            <w:tcMar>
              <w:left w:w="15" w:type="dxa"/>
              <w:top w:w="15" w:type="dxa"/>
              <w:right w:w="15" w:type="dxa"/>
              <w:bottom w:w="15" w:type="dxa"/>
            </w:tcMar>
            <w:tcW w:w="99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1276"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340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Support</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 (Normal)</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0.97</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 (Glaucoma)</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0.97</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60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Macro Avg</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Weighted Avg</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0.98</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VGG16 Fine-Tuned</w:t>
      </w:r>
      <w:r>
        <w:rPr>
          <w:rFonts w:ascii="Times New Roman" w:hAnsi="Times New Roman" w:eastAsia="Times New Roman" w:cs="Times New Roman"/>
          <w:sz w:val="24"/>
          <w:szCs w:val="24"/>
          <w:highlight w:val="none"/>
        </w:rPr>
      </w:r>
    </w:p>
    <w:tbl>
      <w:tblPr>
        <w:tblStyle w:val="72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99"/>
        <w:gridCol w:w="1131"/>
        <w:gridCol w:w="990"/>
        <w:gridCol w:w="1273"/>
        <w:gridCol w:w="3394"/>
      </w:tblGrid>
      <w:tr>
        <w:trPr>
          <w:trHeight w:val="529"/>
        </w:trPr>
        <w:tc>
          <w:tcPr>
            <w:tcBorders/>
            <w:tcMar>
              <w:left w:w="15" w:type="dxa"/>
              <w:top w:w="15" w:type="dxa"/>
              <w:right w:w="15" w:type="dxa"/>
              <w:bottom w:w="15" w:type="dxa"/>
            </w:tcMar>
            <w:tcW w:w="209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1131"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Precision</w:t>
            </w:r>
            <w:r/>
          </w:p>
        </w:tc>
        <w:tc>
          <w:tcPr>
            <w:tcBorders/>
            <w:tcMar>
              <w:left w:w="15" w:type="dxa"/>
              <w:top w:w="15" w:type="dxa"/>
              <w:right w:w="15" w:type="dxa"/>
              <w:bottom w:w="15" w:type="dxa"/>
            </w:tcMar>
            <w:tcW w:w="99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127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3394"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Support</w:t>
            </w:r>
            <w:r/>
          </w:p>
        </w:tc>
      </w:tr>
      <w:tr>
        <w:trPr>
          <w:trHeight w:val="264"/>
        </w:trPr>
        <w:tc>
          <w:tcPr>
            <w:tcBorders/>
            <w:tcMar>
              <w:left w:w="15" w:type="dxa"/>
              <w:top w:w="15" w:type="dxa"/>
              <w:right w:w="15" w:type="dxa"/>
              <w:bottom w:w="15" w:type="dxa"/>
            </w:tcMar>
            <w:tcW w:w="209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 (Normal)</w:t>
            </w:r>
            <w:r/>
          </w:p>
        </w:tc>
        <w:tc>
          <w:tcPr>
            <w:tcBorders/>
            <w:tcMar>
              <w:left w:w="15" w:type="dxa"/>
              <w:top w:w="15" w:type="dxa"/>
              <w:right w:w="15" w:type="dxa"/>
              <w:bottom w:w="15" w:type="dxa"/>
            </w:tcMar>
            <w:tcW w:w="113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0.97</w:t>
            </w:r>
            <w:r/>
          </w:p>
        </w:tc>
        <w:tc>
          <w:tcPr>
            <w:tcBorders/>
            <w:tcMar>
              <w:left w:w="15" w:type="dxa"/>
              <w:top w:w="15" w:type="dxa"/>
              <w:right w:w="15" w:type="dxa"/>
              <w:bottom w:w="15" w:type="dxa"/>
            </w:tcMar>
            <w:tcW w:w="99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0.93</w:t>
            </w:r>
            <w:r/>
          </w:p>
        </w:tc>
        <w:tc>
          <w:tcPr>
            <w:tcBorders/>
            <w:tcMar>
              <w:left w:w="15" w:type="dxa"/>
              <w:top w:w="15" w:type="dxa"/>
              <w:right w:w="15" w:type="dxa"/>
              <w:bottom w:w="15" w:type="dxa"/>
            </w:tcMar>
            <w:tcW w:w="127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339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rHeight w:val="264"/>
        </w:trPr>
        <w:tc>
          <w:tcPr>
            <w:tcBorders/>
            <w:tcMar>
              <w:left w:w="15" w:type="dxa"/>
              <w:top w:w="15" w:type="dxa"/>
              <w:right w:w="15" w:type="dxa"/>
              <w:bottom w:w="15" w:type="dxa"/>
            </w:tcMar>
            <w:tcW w:w="209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 (Glaucoma)</w:t>
            </w:r>
            <w:r/>
          </w:p>
        </w:tc>
        <w:tc>
          <w:tcPr>
            <w:tcBorders/>
            <w:tcMar>
              <w:left w:w="15" w:type="dxa"/>
              <w:top w:w="15" w:type="dxa"/>
              <w:right w:w="15" w:type="dxa"/>
              <w:bottom w:w="15" w:type="dxa"/>
            </w:tcMar>
            <w:tcW w:w="113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0.94</w:t>
            </w:r>
            <w:r/>
          </w:p>
        </w:tc>
        <w:tc>
          <w:tcPr>
            <w:tcBorders/>
            <w:tcMar>
              <w:left w:w="15" w:type="dxa"/>
              <w:top w:w="15" w:type="dxa"/>
              <w:right w:w="15" w:type="dxa"/>
              <w:bottom w:w="15" w:type="dxa"/>
            </w:tcMar>
            <w:tcW w:w="99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0.97</w:t>
            </w:r>
            <w:r/>
          </w:p>
        </w:tc>
        <w:tc>
          <w:tcPr>
            <w:tcBorders/>
            <w:tcMar>
              <w:left w:w="15" w:type="dxa"/>
              <w:top w:w="15" w:type="dxa"/>
              <w:right w:w="15" w:type="dxa"/>
              <w:bottom w:w="15" w:type="dxa"/>
            </w:tcMar>
            <w:tcW w:w="127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339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rHeight w:val="264"/>
        </w:trPr>
        <w:tc>
          <w:tcPr>
            <w:tcBorders/>
            <w:tcMar>
              <w:left w:w="15" w:type="dxa"/>
              <w:top w:w="15" w:type="dxa"/>
              <w:right w:w="15" w:type="dxa"/>
              <w:bottom w:w="15" w:type="dxa"/>
            </w:tcMar>
            <w:tcW w:w="2099"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1131" w:type="dxa"/>
            <w:vAlign w:val="center"/>
            <w:textDirection w:val="lrTb"/>
            <w:noWrap w:val="false"/>
          </w:tcPr>
          <w:p>
            <w:pPr>
              <w:pBdr/>
              <w:spacing w:after="0" w:before="0" w:line="240"/>
              <w:ind/>
              <w:rPr/>
            </w:pPr>
            <w:r/>
          </w:p>
        </w:tc>
        <w:tc>
          <w:tcPr>
            <w:tcBorders/>
            <w:tcMar>
              <w:left w:w="15" w:type="dxa"/>
              <w:top w:w="15" w:type="dxa"/>
              <w:right w:w="15" w:type="dxa"/>
              <w:bottom w:w="15" w:type="dxa"/>
            </w:tcMar>
            <w:tcW w:w="990" w:type="dxa"/>
            <w:vAlign w:val="center"/>
            <w:textDirection w:val="lrTb"/>
            <w:noWrap w:val="false"/>
          </w:tcPr>
          <w:p>
            <w:pPr>
              <w:pBdr/>
              <w:spacing w:after="0" w:before="0" w:line="240"/>
              <w:ind/>
              <w:rPr/>
            </w:pPr>
            <w:r/>
          </w:p>
        </w:tc>
        <w:tc>
          <w:tcPr>
            <w:tcBorders/>
            <w:tcMar>
              <w:left w:w="15" w:type="dxa"/>
              <w:top w:w="15" w:type="dxa"/>
              <w:right w:w="15" w:type="dxa"/>
              <w:bottom w:w="15" w:type="dxa"/>
            </w:tcMar>
            <w:tcW w:w="127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0.95</w:t>
            </w:r>
            <w:r/>
          </w:p>
        </w:tc>
        <w:tc>
          <w:tcPr>
            <w:tcBorders/>
            <w:tcMar>
              <w:left w:w="15" w:type="dxa"/>
              <w:top w:w="15" w:type="dxa"/>
              <w:right w:w="15" w:type="dxa"/>
              <w:bottom w:w="15" w:type="dxa"/>
            </w:tcMar>
            <w:tcW w:w="3394"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60</w:t>
            </w:r>
            <w:r/>
          </w:p>
        </w:tc>
      </w:tr>
      <w:tr>
        <w:trPr>
          <w:trHeight w:val="264"/>
        </w:trPr>
        <w:tc>
          <w:tcPr>
            <w:tcBorders/>
            <w:tcMar>
              <w:left w:w="15" w:type="dxa"/>
              <w:top w:w="15" w:type="dxa"/>
              <w:right w:w="15" w:type="dxa"/>
              <w:bottom w:w="15" w:type="dxa"/>
            </w:tcMar>
            <w:tcW w:w="2099"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Macro Avg</w:t>
            </w:r>
            <w:r/>
          </w:p>
        </w:tc>
        <w:tc>
          <w:tcPr>
            <w:tcBorders/>
            <w:tcMar>
              <w:left w:w="15" w:type="dxa"/>
              <w:top w:w="15" w:type="dxa"/>
              <w:right w:w="15" w:type="dxa"/>
              <w:bottom w:w="15" w:type="dxa"/>
            </w:tcMar>
            <w:tcW w:w="113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99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127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339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r>
        <w:trPr>
          <w:trHeight w:val="529"/>
        </w:trPr>
        <w:tc>
          <w:tcPr>
            <w:tcBorders/>
            <w:tcMar>
              <w:left w:w="15" w:type="dxa"/>
              <w:top w:w="15" w:type="dxa"/>
              <w:right w:w="15" w:type="dxa"/>
              <w:bottom w:w="15" w:type="dxa"/>
            </w:tcMar>
            <w:tcW w:w="2099"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Weighted Avg</w:t>
            </w:r>
            <w:r/>
          </w:p>
        </w:tc>
        <w:tc>
          <w:tcPr>
            <w:tcBorders/>
            <w:tcMar>
              <w:left w:w="15" w:type="dxa"/>
              <w:top w:w="15" w:type="dxa"/>
              <w:right w:w="15" w:type="dxa"/>
              <w:bottom w:w="15" w:type="dxa"/>
            </w:tcMar>
            <w:tcW w:w="1131"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99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127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0.95</w:t>
            </w:r>
            <w:r/>
          </w:p>
        </w:tc>
        <w:tc>
          <w:tcPr>
            <w:tcBorders/>
            <w:tcMar>
              <w:left w:w="15" w:type="dxa"/>
              <w:top w:w="15" w:type="dxa"/>
              <w:right w:w="15" w:type="dxa"/>
              <w:bottom w:w="15" w:type="dxa"/>
            </w:tcMar>
            <w:tcW w:w="339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MobileNetV2 Fine-Tuned</w:t>
      </w:r>
      <w:r>
        <w:rPr>
          <w:rFonts w:ascii="Times New Roman" w:hAnsi="Times New Roman" w:eastAsia="Times New Roman" w:cs="Times New Roman"/>
          <w:sz w:val="24"/>
          <w:szCs w:val="24"/>
          <w:highlight w:val="none"/>
          <w:lang w:val="en-US"/>
        </w:rPr>
      </w:r>
    </w:p>
    <w:tbl>
      <w:tblPr>
        <w:tblStyle w:val="72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1134"/>
        <w:gridCol w:w="992"/>
        <w:gridCol w:w="1276"/>
        <w:gridCol w:w="3402"/>
      </w:tblGrid>
      <w:tr>
        <w:trPr/>
        <w:tc>
          <w:tcPr>
            <w:tcBorders/>
            <w:tcMar>
              <w:left w:w="15" w:type="dxa"/>
              <w:top w:w="15" w:type="dxa"/>
              <w:right w:w="15" w:type="dxa"/>
              <w:bottom w:w="15" w:type="dxa"/>
            </w:tcMar>
            <w:tcW w:w="210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1134"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Precision</w:t>
            </w:r>
            <w:r/>
          </w:p>
        </w:tc>
        <w:tc>
          <w:tcPr>
            <w:tcBorders/>
            <w:tcMar>
              <w:left w:w="15" w:type="dxa"/>
              <w:top w:w="15" w:type="dxa"/>
              <w:right w:w="15" w:type="dxa"/>
              <w:bottom w:w="15" w:type="dxa"/>
            </w:tcMar>
            <w:tcW w:w="99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1276"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340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Support</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 (Normal)</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0.90</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0.93</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 (Glaucoma)</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0.93</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0.90</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60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Macro Avg</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r>
        <w:trPr/>
        <w:tc>
          <w:tcPr>
            <w:tcBorders/>
            <w:tcMar>
              <w:left w:w="15" w:type="dxa"/>
              <w:top w:w="15" w:type="dxa"/>
              <w:right w:w="15" w:type="dxa"/>
              <w:bottom w:w="15" w:type="dxa"/>
            </w:tcMar>
            <w:tcW w:w="2103"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Weighted Avg</w:t>
            </w:r>
            <w:r/>
          </w:p>
        </w:tc>
        <w:tc>
          <w:tcPr>
            <w:tcBorders/>
            <w:tcMar>
              <w:left w:w="15" w:type="dxa"/>
              <w:top w:w="15" w:type="dxa"/>
              <w:right w:w="15" w:type="dxa"/>
              <w:bottom w:w="15" w:type="dxa"/>
            </w:tcMar>
            <w:tcW w:w="11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99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1276"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0.92</w:t>
            </w:r>
            <w:r/>
          </w:p>
        </w:tc>
        <w:tc>
          <w:tcPr>
            <w:tcBorders/>
            <w:tcMar>
              <w:left w:w="15" w:type="dxa"/>
              <w:top w:w="15" w:type="dxa"/>
              <w:right w:w="15" w:type="dxa"/>
              <w:bottom w:w="15" w:type="dxa"/>
            </w:tcMar>
            <w:tcW w:w="340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60</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BOX PLOT </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mc:AlternateContent>
          <mc:Choice Requires="wpg">
            <w:drawing>
              <wp:inline xmlns:wp="http://schemas.openxmlformats.org/drawingml/2006/wordprocessingDrawing" distT="0" distB="0" distL="0" distR="0">
                <wp:extent cx="6058875" cy="279123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05918" name=""/>
                        <pic:cNvPicPr>
                          <a:picLocks noChangeAspect="1"/>
                        </pic:cNvPicPr>
                        <pic:nvPr/>
                      </pic:nvPicPr>
                      <pic:blipFill>
                        <a:blip r:embed="rId31"/>
                        <a:stretch/>
                      </pic:blipFill>
                      <pic:spPr bwMode="auto">
                        <a:xfrm flipH="0" flipV="0">
                          <a:off x="0" y="0"/>
                          <a:ext cx="6058874" cy="2791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77.08pt;height:219.78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t xml:space="preserve">4.7 Πίνακες Αξιολόγησης (Confusion Matrix + ROC)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Κάθε μοντέλο αξιολογήθηκε με:</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Confusion Matrix (True Positives, False Positives κ.λπ.)</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ROC Curve και AUC Score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Σημαντική επίδοση είχε το fine-tuned CNN με AUC ≈ 1.0.</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l-GR"/>
        </w:rPr>
        <w:t xml:space="preserve">Απο κατω υπαρχουν τα </w:t>
      </w:r>
      <w:r>
        <w:rPr>
          <w:rFonts w:ascii="Times New Roman" w:hAnsi="Times New Roman" w:eastAsia="Times New Roman" w:cs="Times New Roman"/>
          <w:sz w:val="24"/>
          <w:szCs w:val="24"/>
          <w:highlight w:val="none"/>
          <w:lang w:val="en-US"/>
        </w:rPr>
        <w:t xml:space="preserve">confusion matrix </w:t>
      </w:r>
      <w:r>
        <w:rPr>
          <w:rFonts w:ascii="Times New Roman" w:hAnsi="Times New Roman" w:eastAsia="Times New Roman" w:cs="Times New Roman"/>
          <w:sz w:val="24"/>
          <w:szCs w:val="24"/>
          <w:highlight w:val="none"/>
          <w:lang w:val="el-GR"/>
        </w:rPr>
        <w:t xml:space="preserve">καθε μοντελου </w:t>
      </w:r>
      <w:r>
        <w:rPr>
          <w:rFonts w:ascii="Times New Roman" w:hAnsi="Times New Roman" w:eastAsia="Times New Roman" w:cs="Times New Roman"/>
          <w:sz w:val="24"/>
          <w:szCs w:val="24"/>
          <w:highlight w:val="none"/>
          <w:lang w:val="el-GR"/>
        </w:rPr>
        <w:t xml:space="preserve">όπως επισης και τα </w:t>
      </w:r>
      <w:r>
        <w:rPr>
          <w:rFonts w:ascii="Times New Roman" w:hAnsi="Times New Roman" w:eastAsia="Times New Roman" w:cs="Times New Roman"/>
          <w:sz w:val="24"/>
          <w:szCs w:val="24"/>
          <w:highlight w:val="none"/>
          <w:lang w:val="en-US"/>
        </w:rPr>
        <w:t xml:space="preserve">roc curve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Custom CNN</w:t>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1925025" cy="1283107"/>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6719" name=""/>
                        <pic:cNvPicPr>
                          <a:picLocks noChangeAspect="1"/>
                        </pic:cNvPicPr>
                        <pic:nvPr/>
                      </pic:nvPicPr>
                      <pic:blipFill>
                        <a:blip r:embed="rId32"/>
                        <a:stretch/>
                      </pic:blipFill>
                      <pic:spPr bwMode="auto">
                        <a:xfrm flipH="0" flipV="0">
                          <a:off x="0" y="0"/>
                          <a:ext cx="1925024" cy="1283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51.58pt;height:101.03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1904571" cy="13672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8601" name=""/>
                        <pic:cNvPicPr>
                          <a:picLocks noChangeAspect="1"/>
                        </pic:cNvPicPr>
                        <pic:nvPr/>
                      </pic:nvPicPr>
                      <pic:blipFill>
                        <a:blip r:embed="rId33"/>
                        <a:stretch/>
                      </pic:blipFill>
                      <pic:spPr bwMode="auto">
                        <a:xfrm flipH="0" flipV="0">
                          <a:off x="0" y="0"/>
                          <a:ext cx="1904571" cy="1367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49.97pt;height:107.66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rPr>
        <w:t xml:space="preserve">Confusion Matrix – CNN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Η συγκεκριμένη εικόνα απεικονίζει τον πίνακα σύγχυσης για το CNN μοντέλο. Από τα 60 συνολικά δείγματα του test set, το μοντέλο ταξινόμησε σωστά και τα 30 δείγματα της κατηγορίας "normal" (τιμή [0,0]) και 28 από τα 30 δείγματα της κατηγορίας "glaucoma" (τιμή</w:t>
      </w:r>
      <w:r>
        <w:rPr>
          <w:rFonts w:ascii="Times New Roman" w:hAnsi="Times New Roman" w:eastAsia="Times New Roman" w:cs="Times New Roman"/>
          <w:sz w:val="24"/>
          <w:szCs w:val="24"/>
        </w:rPr>
        <w:t xml:space="preserve"> [1,1]), ενώ υπήρξαν 2 λανθασμένες ταξινομήσεις (τιμή [1,0]). Η κατανομή αυτή δείχνει ότι το μοντέλο έχει εξαιρετική ικανότητα διάκρισης μεταξύ των δύο κατηγοριών, με συνολική ακρίβεια 98%.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ROC Curve – CNN</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Το διάγραμμα ROC (Receiver Operating Characteristic) για το CNN μοντέλο δείχνει τη σχέση ανάμεσα στο ποσοστό αληθών θετικών (True Positive Rate) και το ποσοστό ψευδών θετικών (False Positive Rate). Η γραμμή του μοντέλου φτάνει πολύ κοντά στο επάνω αριστερό </w:t>
      </w:r>
      <w:r>
        <w:rPr>
          <w:rFonts w:ascii="Times New Roman" w:hAnsi="Times New Roman" w:eastAsia="Times New Roman" w:cs="Times New Roman"/>
          <w:sz w:val="24"/>
          <w:szCs w:val="24"/>
          <w:highlight w:val="none"/>
        </w:rPr>
        <w:t xml:space="preserve">άκρο του γραφήματος, γεγονός που υποδεικνύει εξαιρετική επίδοση. Η AUC (Area Under Curve) ισούται με 1.00, υποδηλώνοντας ότι το μοντέλο έχει άριστη δυνατότητα διαχωρισμού των δύο κατηγοριών, χωρίς κανένα σφάλμα στην καμπύλη του.</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VGG16 </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915625" cy="198615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0986" name=""/>
                        <pic:cNvPicPr>
                          <a:picLocks noChangeAspect="1"/>
                        </pic:cNvPicPr>
                        <pic:nvPr/>
                      </pic:nvPicPr>
                      <pic:blipFill>
                        <a:blip r:embed="rId34"/>
                        <a:stretch/>
                      </pic:blipFill>
                      <pic:spPr bwMode="auto">
                        <a:xfrm flipH="0" flipV="0">
                          <a:off x="0" y="0"/>
                          <a:ext cx="2915624" cy="1986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29.58pt;height:156.39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972775" cy="198615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265" name=""/>
                        <pic:cNvPicPr>
                          <a:picLocks noChangeAspect="1"/>
                        </pic:cNvPicPr>
                        <pic:nvPr/>
                      </pic:nvPicPr>
                      <pic:blipFill>
                        <a:blip r:embed="rId35"/>
                        <a:stretch/>
                      </pic:blipFill>
                      <pic:spPr bwMode="auto">
                        <a:xfrm flipH="0" flipV="0">
                          <a:off x="0" y="0"/>
                          <a:ext cx="2972774" cy="1986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34.08pt;height:156.39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rPr>
        <w:t xml:space="preserve">Confusion Matrix - VGG16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Η παραπάνω εικόνα απεικονίζει τη Confusion Matrix του προεκπαιδευμένου μοντέλου VGG16. Το μοντέλο ταξινόμησε σωστά και τα 30 δείγματα της κατηγορίας "1" (π.χ. Glaucoma), αλλά υπήρξαν 5 περιπτώσεις από την κατηγορία "0" (Normal) που ταξινομήθηκαν λανθασμένα </w:t>
      </w:r>
      <w:r>
        <w:rPr>
          <w:rFonts w:ascii="Times New Roman" w:hAnsi="Times New Roman" w:eastAsia="Times New Roman" w:cs="Times New Roman"/>
          <w:sz w:val="24"/>
          <w:szCs w:val="24"/>
        </w:rPr>
        <w:t xml:space="preserve">ως Glaucoma. Αυτό υποδεικνύει ελαφρώς αυξημένο ποσοστό false positives. Ωστόσο, η γενική επίδοση είναι ιδιαίτερα ικανοποιητική με συνολική ακρίβεια 95%, αποδεικνύοντας ότι το VGG16 παρουσιάζει καλή ευαισθησία στην ανίχνευση της παθολογικής περίπτωσης.</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ROC Curve - VGG16</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Η καμπύλη ROC για το μοντέλο VGG16 καταδεικνύει την ικανότητα διάκρισης μεταξύ των δύο κλάσεων. Η γραμμή της ROC πλησιάζει την άνω αριστερή γωνία, φανερώνοντας υψηλή επίδοση. Η περιοχή κάτω από την καμπύλη (AUC) φτάνει την τιμή 1.00, κάτι που σημαίνει άριστ</w:t>
      </w:r>
      <w:r>
        <w:rPr>
          <w:rFonts w:ascii="Times New Roman" w:hAnsi="Times New Roman" w:eastAsia="Times New Roman" w:cs="Times New Roman"/>
          <w:sz w:val="24"/>
          <w:szCs w:val="24"/>
          <w:highlight w:val="none"/>
        </w:rPr>
        <w:t xml:space="preserve">η ακρίβεια στην πρόβλεψη τόσο των θετικών όσο και των αρνητικών περιπτώσεων. Η γραφική αυτή απόδοση υποστηρίζει ότι το μοντέλο είναι εξαιρετικά αποτελεσματικό σε όλο το εύρος των πιθανών thresholds.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MobileNetV2</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125175" cy="190089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62883" name=""/>
                        <pic:cNvPicPr>
                          <a:picLocks noChangeAspect="1"/>
                        </pic:cNvPicPr>
                        <pic:nvPr/>
                      </pic:nvPicPr>
                      <pic:blipFill>
                        <a:blip r:embed="rId36"/>
                        <a:stretch/>
                      </pic:blipFill>
                      <pic:spPr bwMode="auto">
                        <a:xfrm flipH="0" flipV="0">
                          <a:off x="0" y="0"/>
                          <a:ext cx="3125174" cy="1900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6.08pt;height:149.68pt;mso-wrap-distance-left:0.00pt;mso-wrap-distance-top:0.00pt;mso-wrap-distance-right:0.00pt;mso-wrap-distance-bottom:0.00pt;z-index:1;" stroked="false">
                <v:imagedata r:id="rId36" o:title=""/>
                <o:lock v:ext="edit" rotation="t"/>
              </v:shape>
            </w:pict>
          </mc:Fallback>
        </mc:AlternateContent>
        <mc:AlternateContent>
          <mc:Choice Requires="wpg">
            <w:drawing>
              <wp:inline xmlns:wp="http://schemas.openxmlformats.org/drawingml/2006/wordprocessingDrawing" distT="0" distB="0" distL="0" distR="0">
                <wp:extent cx="2752725" cy="196665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8694" name=""/>
                        <pic:cNvPicPr>
                          <a:picLocks noChangeAspect="1"/>
                        </pic:cNvPicPr>
                        <pic:nvPr/>
                      </pic:nvPicPr>
                      <pic:blipFill>
                        <a:blip r:embed="rId37"/>
                        <a:stretch/>
                      </pic:blipFill>
                      <pic:spPr bwMode="auto">
                        <a:xfrm flipH="0" flipV="0">
                          <a:off x="0" y="0"/>
                          <a:ext cx="2752724" cy="19666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16.75pt;height:154.85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r>
      <w:r>
        <w:t xml:space="preserve">Confusion Matrix- MobileNetV2</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br/>
        <w:t xml:space="preserve"> Η Confusion Matrix του MobileNetV2 αποτυπώνει την απόδοση του μοντέλου στην ταξινόμηση των εικόνων του test set. Συγκεκριμένα, το μοντέλο ταξινόμησε σωστά 28 από τις 30 εικόνες της κατηγορίας "0" (π.χ. glaucoma) και 29 από τ</w:t>
      </w:r>
      <w:r>
        <w:t xml:space="preserve">ις 30 εικόνες της κατηγορίας "1" (π.χ. normal). Παρατηρούνται δύο λανθασμένες ταξινομήσεις: ένα false positive και ένα false negative, που δείχνουν πως το μοντέλο έχει πολύ καλή ικανότητα διάκρισης των δύο κατηγοριών, με μικρό περιθώριο σφάλματος.</w:t>
      </w:r>
      <w:r>
        <w:rPr>
          <w:rFonts w:ascii="Times New Roman" w:hAnsi="Times New Roman" w:eastAsia="Times New Roman" w:cs="Times New Roman"/>
          <w:sz w:val="24"/>
          <w:szCs w:val="24"/>
          <w:highlight w:val="none"/>
          <w:lang w:val="el-GR"/>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t xml:space="preserve">ROC Curve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MobileNetV2</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t xml:space="preserve">Η ROC καμπύλη του MobileNetV2 αποτυπώνει την ευαισθησία (True Positive Rate) έναντι της ειδικότητας (False Positive Rate) του μοντέλου. Η καμπύλη πλησιάζει το άνω αριστερό σημείο του γραφήματος, γεγονός που υποδηλώνει υψηλή ικανότητα διάκρισης ανάμεσα στις </w:t>
      </w:r>
      <w:r>
        <w:rPr>
          <w:rFonts w:ascii="Times New Roman" w:hAnsi="Times New Roman" w:eastAsia="Times New Roman" w:cs="Times New Roman"/>
          <w:sz w:val="24"/>
          <w:szCs w:val="24"/>
          <w:highlight w:val="none"/>
          <w:lang w:val="el-GR"/>
        </w:rPr>
        <w:t xml:space="preserve">δύο κατηγορίες. Ο AUC (Area Under Curve) φτάνει την τιμή 0.9933, που επιβεβαιώνει ότι το MobileNetV2 έχει εξαιρετική συνολική απόδοση ως προς τη διακριτική του ικανότητα, σχεδόν ισάξια με τα υπόλοιπα μοντέλα.</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Fine-Tuned CNN</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820375" cy="2193556"/>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0827" name=""/>
                        <pic:cNvPicPr>
                          <a:picLocks noChangeAspect="1"/>
                        </pic:cNvPicPr>
                        <pic:nvPr/>
                      </pic:nvPicPr>
                      <pic:blipFill>
                        <a:blip r:embed="rId38"/>
                        <a:stretch/>
                      </pic:blipFill>
                      <pic:spPr bwMode="auto">
                        <a:xfrm flipH="0" flipV="0">
                          <a:off x="0" y="0"/>
                          <a:ext cx="2820375" cy="2193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22.08pt;height:172.72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715600" cy="1958053"/>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39259" name=""/>
                        <pic:cNvPicPr>
                          <a:picLocks noChangeAspect="1"/>
                        </pic:cNvPicPr>
                        <pic:nvPr/>
                      </pic:nvPicPr>
                      <pic:blipFill>
                        <a:blip r:embed="rId39"/>
                        <a:stretch/>
                      </pic:blipFill>
                      <pic:spPr bwMode="auto">
                        <a:xfrm flipH="0" flipV="0">
                          <a:off x="0" y="0"/>
                          <a:ext cx="2715599" cy="1958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13.83pt;height:154.18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t xml:space="preserve">Confusion Matrix – Fine-Tuned CNN</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Η συγκεκριμένη Confusion Matrix αποτυπώνει την απόδοση του fine-tuned CNN μοντέλου στην πρόβλεψη των δύο κλάσεων: 0 (glaucoma) και 1 (normal). Παρατηρούμε ότι από τις 60 συνολικές εικόνες του test set, το μοντέλο ταξινόμησε σωστά τις 30 φυσιολογικές εικόνες</w:t>
      </w:r>
      <w:r>
        <w:rPr>
          <w:rFonts w:ascii="Times New Roman" w:hAnsi="Times New Roman" w:eastAsia="Times New Roman" w:cs="Times New Roman"/>
          <w:sz w:val="24"/>
          <w:szCs w:val="24"/>
          <w:highlight w:val="none"/>
          <w:lang w:val="el-GR"/>
        </w:rPr>
        <w:t xml:space="preserve"> (True Positives) και τις 29 εικόνες με γλαύκωμα (True Negatives), παρουσιάζοντας μόνο μία εσφαλμένη πρόβλεψη (False Positive). Αυτό αντανακλά ένα εξαιρετικά υψηλό επίπεδο ακρίβειας και ισορροπημένη απόδοση, με ελάχιστο ποσοστό σφάλματος.</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ROC Curve – Fine-Tuned CNN</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Η ROC καμπύλη του fine-tuned CNN δείχνει τη συσχέτιση μεταξύ του True Positive Rate και του False Positive Rate, αποκαλύπτοντας την διακριτική ικανότητα του μοντέλου. Η σχεδόν κατακόρυφη καμπύλη με AUC = 1.00 επιβεβαιώνει πως το μοντέλο καταφέρνει να διαχωρ</w:t>
      </w:r>
      <w:r>
        <w:rPr>
          <w:rFonts w:ascii="Times New Roman" w:hAnsi="Times New Roman" w:eastAsia="Times New Roman" w:cs="Times New Roman"/>
          <w:sz w:val="24"/>
          <w:szCs w:val="24"/>
          <w:highlight w:val="none"/>
          <w:lang w:val="el-GR"/>
        </w:rPr>
        <w:t xml:space="preserve">ίζει σχεδόν τέλεια τις δύο κατηγορίες. Η πολύ κοντινή του τιμή στο ιδανικό σημείο (0,1) υποδηλώνει ότι ο fine-tuned CNN ταξινομητής είναι εξαιρετικά αποδοτικός και γενικεύει πολύ καλά, ακόμα και σε δεδομένα που δεν έχει ξαναδεί.</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Fine-Tuned VGG1</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n-US"/>
        </w:rPr>
        <w:t xml:space="preserve">6</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991825" cy="211735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7508" name=""/>
                        <pic:cNvPicPr>
                          <a:picLocks noChangeAspect="1"/>
                        </pic:cNvPicPr>
                        <pic:nvPr/>
                      </pic:nvPicPr>
                      <pic:blipFill>
                        <a:blip r:embed="rId40"/>
                        <a:stretch/>
                      </pic:blipFill>
                      <pic:spPr bwMode="auto">
                        <a:xfrm flipH="0" flipV="0">
                          <a:off x="0" y="0"/>
                          <a:ext cx="2991824" cy="211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35.58pt;height:166.72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543896" cy="211735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7310" name=""/>
                        <pic:cNvPicPr>
                          <a:picLocks noChangeAspect="1"/>
                        </pic:cNvPicPr>
                        <pic:nvPr/>
                      </pic:nvPicPr>
                      <pic:blipFill>
                        <a:blip r:embed="rId41"/>
                        <a:stretch/>
                      </pic:blipFill>
                      <pic:spPr bwMode="auto">
                        <a:xfrm flipH="0" flipV="0">
                          <a:off x="0" y="0"/>
                          <a:ext cx="2543896" cy="211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00.31pt;height:166.72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t xml:space="preserve">Confusion Matrix – Fine-Tuned VGG16</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Η παραπάνω confusion matrix του fine-tuned VGG16 μοντέλου παρουσιάζει τον αριθμό των σωστών και λανθασμένων ταξινομήσεων για κάθε κατηγορία. Συγκεκριμένα, το μοντέλο ταξινόμησε σωστά 28 από τις 30 εικόνες της κατηγορίας "0" (Normal) και 29 από τις 30 εικόνε</w:t>
      </w:r>
      <w:r>
        <w:rPr>
          <w:rFonts w:ascii="Times New Roman" w:hAnsi="Times New Roman" w:eastAsia="Times New Roman" w:cs="Times New Roman"/>
          <w:sz w:val="24"/>
          <w:szCs w:val="24"/>
          <w:highlight w:val="none"/>
          <w:lang w:val="el-GR"/>
        </w:rPr>
        <w:t xml:space="preserve">ς της κατηγορίας "1" (Glaucoma). Έγιναν δύο false positives (λάθος εντοπισμοί ως Glaucoma) και ένα false negative (ένα περιστατικό γλαυκώματος που ταξινομήθηκε ως φυσιολογικό). Το αποτέλεσμα δείχνει μια πολύ ισχυρή ικανότητα του μοντέλου να ξεχωρίζει σωστά </w:t>
      </w:r>
      <w:r>
        <w:rPr>
          <w:rFonts w:ascii="Times New Roman" w:hAnsi="Times New Roman" w:eastAsia="Times New Roman" w:cs="Times New Roman"/>
          <w:sz w:val="24"/>
          <w:szCs w:val="24"/>
          <w:highlight w:val="none"/>
          <w:lang w:val="el-GR"/>
        </w:rPr>
        <w:t xml:space="preserve">τις δύο κλάσεις, με συνολική ακρίβεια 0.95.</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n-US"/>
        </w:rPr>
        <w:t xml:space="preserve">ROC Curve – Fine-Tuned VGG16</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Η ROC καμπύλη του fine-tuned VGG16 δείχνει την ικανότητα του μοντέλου να διαχωρίζει τις δύο κατηγορίες σε διάφορα κατώφλια. Η καμπύλη πλησιάζει πολύ την επάνω αριστερή γωνία του γραφήματος, γεγονός που υποδεικνύει υψηλή ευαισθησία και ειδικότητα. Η τιμή AUC</w:t>
      </w:r>
      <w:r>
        <w:rPr>
          <w:rFonts w:ascii="Times New Roman" w:hAnsi="Times New Roman" w:eastAsia="Times New Roman" w:cs="Times New Roman"/>
          <w:sz w:val="24"/>
          <w:szCs w:val="24"/>
          <w:highlight w:val="none"/>
          <w:lang w:val="en-US"/>
        </w:rPr>
        <w:t xml:space="preserve"> (Area Under Curve) είναι 0.9867, η οποία δείχνει ότι το μοντέλο έχει εξαιρετική ικανότητα διάκρισης μεταξύ των θετικών και αρνητικών περιπτώσεων, ακόμα και σε μεταβαλλόμενα όρια ταξινόμησης.</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Fine-Tuned MobileNetV2</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963250" cy="2041493"/>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58296" name=""/>
                        <pic:cNvPicPr>
                          <a:picLocks noChangeAspect="1"/>
                        </pic:cNvPicPr>
                        <pic:nvPr/>
                      </pic:nvPicPr>
                      <pic:blipFill>
                        <a:blip r:embed="rId42"/>
                        <a:stretch/>
                      </pic:blipFill>
                      <pic:spPr bwMode="auto">
                        <a:xfrm flipH="0" flipV="0">
                          <a:off x="0" y="0"/>
                          <a:ext cx="2963250" cy="2041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33.33pt;height:160.75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mc:AlternateContent>
          <mc:Choice Requires="wpg">
            <w:drawing>
              <wp:inline xmlns:wp="http://schemas.openxmlformats.org/drawingml/2006/wordprocessingDrawing" distT="0" distB="0" distL="0" distR="0">
                <wp:extent cx="2563200" cy="21586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5541" name=""/>
                        <pic:cNvPicPr>
                          <a:picLocks noChangeAspect="1"/>
                        </pic:cNvPicPr>
                        <pic:nvPr/>
                      </pic:nvPicPr>
                      <pic:blipFill>
                        <a:blip r:embed="rId43"/>
                        <a:stretch/>
                      </pic:blipFill>
                      <pic:spPr bwMode="auto">
                        <a:xfrm flipH="0" flipV="0">
                          <a:off x="0" y="0"/>
                          <a:ext cx="2563199" cy="2158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01.83pt;height:169.97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t xml:space="preserve">Confusion Matrix - Fine-Tuned MobileNetV2</w:t>
        <w:br/>
        <w:t xml:space="preserve"> Η παραπάνω εικόνα παρουσιάζει τον πίνακα σύγχυσης του fine-tuned μοντέλου MobileNetV2. Από τις 60 συνολικές εικόνες του test set, το μοντέλο ταξινόμησε σωστά τις 28 από τις 30 κανονικές περιπτώσεις (label 0) και τ</w:t>
      </w:r>
      <w:r>
        <w:t xml:space="preserve">ις 27 από τις 30 περιπτώσεις γλαυκώματος (label 1). Παρατηρούμε 2 false positives (κανονικές εικόνες που αναγνωρίστηκαν λανθασμένα ως γλαύκωμα) και 3 false negatives (περιπτώσεις γλαυκώματος που ταξινομήθηκαν ως φυσιολογικές). Η απόδοση του μοντέλου κρίνετ</w:t>
      </w:r>
      <w:r>
        <w:t xml:space="preserve">αι υψηλή, αλλά παρουσιάζει περισσότερα σφάλματα σε σχέση με τα υπόλοιπα fine-tuned μοντέλα (CNN &amp; VGG16), γεγονός που ενδέχεται να υποδηλώνει ελαφρώς μειωμένη ευαισθησία ή/και ειδικότητα.</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sz w:val="24"/>
          <w:szCs w:val="24"/>
          <w:highlight w:val="none"/>
          <w:lang w:val="el-GR"/>
        </w:rPr>
      </w:r>
      <w:r>
        <w:t xml:space="preserve">ROC Curve - Fine-Tuned MobileNetV2</w:t>
        <w:br/>
        <w:t xml:space="preserve"> Η ROC καμπύλη του fine-tuned MobileNetV2 απεικονίζει την ικανότητα του μοντέλου να διακρίνει μεταξύ των δύο κλάσεων. Η καμπύλη βρίσκεται πολύ κοντά στο επάνω αριστερό άκρο του γραφήματος, το οποίο υποδεικνύει άριστη απόδ</w:t>
      </w:r>
      <w:r>
        <w:t xml:space="preserve">οση. Η τιμή του AUC (Area Under Curve) είναι 0.9911, δηλώνοντας ότι το μοντέλο έχει πολύ υψηλή πιθανότητα να διαχωρίσει σωστά ένα θετικό από ένα αρνητικό δείγμα. Παρά τις μικρές αποκλίσεις στην ακρίβεια, το MobileNetV2 εξακολουθεί να παρουσιάζει αξιοσημείω</w:t>
      </w:r>
      <w:r>
        <w:t xml:space="preserve">τη διαγνωστική ικανότητα.</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lang w:val="el-GR"/>
        </w:rPr>
      </w:pPr>
      <w:r>
        <w:rPr>
          <w:rFonts w:ascii="Times New Roman" w:hAnsi="Times New Roman" w:eastAsia="Times New Roman" w:cs="Times New Roman"/>
          <w:sz w:val="24"/>
          <w:szCs w:val="24"/>
          <w:highlight w:val="none"/>
          <w:lang w:val="el-GR"/>
        </w:rPr>
        <w:t xml:space="preserve">4.8 Στατιστικός Έλεγχος</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t xml:space="preserve">Πραγματοποιήθηκε Kruskal-Wallis H Test ώστε να ελεγχθεί αν οι επιδόσεις διαφέρουν σημαντικά μεταξύ των μοντέλων:</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t xml:space="preserve">    Statistic = 7.5789, p = 0.0226</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lang w:val="el-GR"/>
        </w:rPr>
        <w:t xml:space="preserve">Με p &lt; 0.05, απορρίπτουμε την μηδενική υπόθεση. Αυτό σημαίνει ότι τουλάχιστον ένα μοντέλο έχει σημαντικά διαφορετική απόδοση.</w:t>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el-GR"/>
        </w:rPr>
        <w:t xml:space="preserve">Σύμφωνα με τις μετρικές και τα στατιστικά, το Fine-Tuned CNN ξεπερνά σταθερά όλα τα υπόλοιπα μοντέλα, και αποτελεί την καλύτερη επιλογή για το πρόβλημα ανίχνευσης γλαυκώματος.</w:t>
      </w:r>
      <w:r>
        <w:rPr>
          <w:rFonts w:ascii="Times New Roman" w:hAnsi="Times New Roman" w:eastAsia="Times New Roman" w:cs="Times New Roman"/>
          <w:sz w:val="24"/>
          <w:szCs w:val="24"/>
          <w:highlight w:val="none"/>
          <w:lang w:val="el-GR"/>
        </w:rPr>
      </w:r>
      <w:r>
        <w:rPr>
          <w:rFonts w:ascii="Times New Roman" w:hAnsi="Times New Roman" w:eastAsia="Times New Roman" w:cs="Times New Roman"/>
          <w:sz w:val="24"/>
          <w:szCs w:val="24"/>
          <w:highlight w:val="none"/>
          <w:lang w:val="el-GR"/>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sz w:val="24"/>
          <w:szCs w:val="24"/>
        </w:rPr>
      </w:pPr>
      <w:r>
        <w:rPr>
          <w:highlight w:val="none"/>
          <w:lang w:val="el-GR"/>
        </w:rPr>
      </w:r>
      <w:r>
        <w:rPr>
          <w:sz w:val="24"/>
          <w:szCs w:val="24"/>
        </w:rPr>
      </w:r>
      <w:r>
        <w:rPr>
          <w:sz w:val="24"/>
          <w:szCs w:val="24"/>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059">
    <w:panose1 w:val="00000500000000000000"/>
  </w:font>
  <w:font w:name="Caladea">
    <w:panose1 w:val="0204050305040603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1">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2">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3">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4">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5">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6">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1"/>
    <w:basedOn w:val="905"/>
    <w:next w:val="905"/>
    <w:link w:val="8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905"/>
    <w:next w:val="905"/>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905"/>
    <w:next w:val="905"/>
    <w:link w:val="8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905"/>
    <w:next w:val="905"/>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905"/>
    <w:next w:val="905"/>
    <w:link w:val="8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905"/>
    <w:next w:val="905"/>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905"/>
    <w:next w:val="905"/>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905"/>
    <w:next w:val="905"/>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905"/>
    <w:next w:val="905"/>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character" w:styleId="857">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8">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59">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0">
    <w:name w:val="Heading 4 Char"/>
    <w:basedOn w:val="856"/>
    <w:link w:val="850"/>
    <w:uiPriority w:val="9"/>
    <w:pPr>
      <w:pBdr/>
      <w:spacing/>
      <w:ind/>
    </w:pPr>
    <w:rPr>
      <w:rFonts w:ascii="Arial" w:hAnsi="Arial" w:eastAsia="Arial" w:cs="Arial"/>
      <w:i/>
      <w:iCs/>
      <w:color w:val="0f4761" w:themeColor="accent1" w:themeShade="BF"/>
    </w:rPr>
  </w:style>
  <w:style w:type="character" w:styleId="861">
    <w:name w:val="Heading 5 Char"/>
    <w:basedOn w:val="856"/>
    <w:link w:val="851"/>
    <w:uiPriority w:val="9"/>
    <w:pPr>
      <w:pBdr/>
      <w:spacing/>
      <w:ind/>
    </w:pPr>
    <w:rPr>
      <w:rFonts w:ascii="Arial" w:hAnsi="Arial" w:eastAsia="Arial" w:cs="Arial"/>
      <w:color w:val="0f4761" w:themeColor="accent1" w:themeShade="BF"/>
    </w:rPr>
  </w:style>
  <w:style w:type="character" w:styleId="862">
    <w:name w:val="Heading 6 Char"/>
    <w:basedOn w:val="856"/>
    <w:link w:val="852"/>
    <w:uiPriority w:val="9"/>
    <w:pPr>
      <w:pBdr/>
      <w:spacing/>
      <w:ind/>
    </w:pPr>
    <w:rPr>
      <w:rFonts w:ascii="Arial" w:hAnsi="Arial" w:eastAsia="Arial" w:cs="Arial"/>
      <w:i/>
      <w:iCs/>
      <w:color w:val="595959" w:themeColor="text1" w:themeTint="A6"/>
    </w:rPr>
  </w:style>
  <w:style w:type="character" w:styleId="863">
    <w:name w:val="Heading 7 Char"/>
    <w:basedOn w:val="856"/>
    <w:link w:val="853"/>
    <w:uiPriority w:val="9"/>
    <w:pPr>
      <w:pBdr/>
      <w:spacing/>
      <w:ind/>
    </w:pPr>
    <w:rPr>
      <w:rFonts w:ascii="Arial" w:hAnsi="Arial" w:eastAsia="Arial" w:cs="Arial"/>
      <w:color w:val="595959" w:themeColor="text1" w:themeTint="A6"/>
    </w:rPr>
  </w:style>
  <w:style w:type="character" w:styleId="864">
    <w:name w:val="Heading 8 Char"/>
    <w:basedOn w:val="856"/>
    <w:link w:val="854"/>
    <w:uiPriority w:val="9"/>
    <w:pPr>
      <w:pBdr/>
      <w:spacing/>
      <w:ind/>
    </w:pPr>
    <w:rPr>
      <w:rFonts w:ascii="Arial" w:hAnsi="Arial" w:eastAsia="Arial" w:cs="Arial"/>
      <w:i/>
      <w:iCs/>
      <w:color w:val="272727" w:themeColor="text1" w:themeTint="D8"/>
    </w:rPr>
  </w:style>
  <w:style w:type="character" w:styleId="865">
    <w:name w:val="Heading 9 Char"/>
    <w:basedOn w:val="856"/>
    <w:link w:val="855"/>
    <w:uiPriority w:val="9"/>
    <w:pPr>
      <w:pBdr/>
      <w:spacing/>
      <w:ind/>
    </w:pPr>
    <w:rPr>
      <w:rFonts w:ascii="Arial" w:hAnsi="Arial" w:eastAsia="Arial" w:cs="Arial"/>
      <w:i/>
      <w:iCs/>
      <w:color w:val="272727" w:themeColor="text1" w:themeTint="D8"/>
    </w:rPr>
  </w:style>
  <w:style w:type="paragraph" w:styleId="866">
    <w:name w:val="Title"/>
    <w:basedOn w:val="905"/>
    <w:next w:val="905"/>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856"/>
    <w:link w:val="866"/>
    <w:uiPriority w:val="10"/>
    <w:pPr>
      <w:pBdr/>
      <w:spacing/>
      <w:ind/>
    </w:pPr>
    <w:rPr>
      <w:rFonts w:ascii="Arial" w:hAnsi="Arial" w:eastAsia="Arial" w:cs="Arial"/>
      <w:spacing w:val="-10"/>
      <w:sz w:val="56"/>
      <w:szCs w:val="56"/>
    </w:rPr>
  </w:style>
  <w:style w:type="paragraph" w:styleId="868">
    <w:name w:val="Subtitle"/>
    <w:basedOn w:val="905"/>
    <w:next w:val="905"/>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905"/>
    <w:next w:val="905"/>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905"/>
    <w:next w:val="905"/>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character" w:styleId="876">
    <w:name w:val="Subtle Emphasis"/>
    <w:basedOn w:val="856"/>
    <w:uiPriority w:val="19"/>
    <w:qFormat/>
    <w:pPr>
      <w:pBdr/>
      <w:spacing/>
      <w:ind/>
    </w:pPr>
    <w:rPr>
      <w:i/>
      <w:iCs/>
      <w:color w:val="404040" w:themeColor="text1" w:themeTint="BF"/>
    </w:rPr>
  </w:style>
  <w:style w:type="character" w:styleId="877">
    <w:name w:val="Emphasis"/>
    <w:basedOn w:val="856"/>
    <w:uiPriority w:val="20"/>
    <w:qFormat/>
    <w:pPr>
      <w:pBdr/>
      <w:spacing/>
      <w:ind/>
    </w:pPr>
    <w:rPr>
      <w:i/>
      <w:iCs/>
    </w:rPr>
  </w:style>
  <w:style w:type="character" w:styleId="878">
    <w:name w:val="Strong"/>
    <w:basedOn w:val="856"/>
    <w:uiPriority w:val="22"/>
    <w:qFormat/>
    <w:pPr>
      <w:pBdr/>
      <w:spacing/>
      <w:ind/>
    </w:pPr>
    <w:rPr>
      <w:b/>
      <w:b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905"/>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5"/>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5"/>
    <w:next w:val="905"/>
    <w:uiPriority w:val="35"/>
    <w:unhideWhenUsed/>
    <w:qFormat/>
    <w:pPr>
      <w:pBdr/>
      <w:spacing w:after="200" w:line="240" w:lineRule="auto"/>
      <w:ind/>
    </w:pPr>
    <w:rPr>
      <w:i/>
      <w:iCs/>
      <w:color w:val="0e2841" w:themeColor="text2"/>
      <w:sz w:val="18"/>
      <w:szCs w:val="18"/>
    </w:rPr>
  </w:style>
  <w:style w:type="paragraph" w:styleId="886">
    <w:name w:val="footnote text"/>
    <w:basedOn w:val="905"/>
    <w:link w:val="887"/>
    <w:uiPriority w:val="99"/>
    <w:semiHidden/>
    <w:unhideWhenUsed/>
    <w:pPr>
      <w:pBdr/>
      <w:spacing w:after="0" w:line="240" w:lineRule="auto"/>
      <w:ind/>
    </w:pPr>
    <w:rPr>
      <w:sz w:val="20"/>
      <w:szCs w:val="20"/>
    </w:rPr>
  </w:style>
  <w:style w:type="character" w:styleId="887">
    <w:name w:val="Footnote Text Char"/>
    <w:basedOn w:val="856"/>
    <w:link w:val="886"/>
    <w:uiPriority w:val="99"/>
    <w:semiHidden/>
    <w:pPr>
      <w:pBdr/>
      <w:spacing/>
      <w:ind/>
    </w:pPr>
    <w:rPr>
      <w:sz w:val="20"/>
      <w:szCs w:val="20"/>
    </w:rPr>
  </w:style>
  <w:style w:type="character" w:styleId="888">
    <w:name w:val="footnote reference"/>
    <w:basedOn w:val="856"/>
    <w:uiPriority w:val="99"/>
    <w:semiHidden/>
    <w:unhideWhenUsed/>
    <w:pPr>
      <w:pBdr/>
      <w:spacing/>
      <w:ind/>
    </w:pPr>
    <w:rPr>
      <w:vertAlign w:val="superscript"/>
    </w:rPr>
  </w:style>
  <w:style w:type="paragraph" w:styleId="889">
    <w:name w:val="endnote text"/>
    <w:basedOn w:val="905"/>
    <w:link w:val="890"/>
    <w:uiPriority w:val="99"/>
    <w:semiHidden/>
    <w:unhideWhenUsed/>
    <w:pPr>
      <w:pBdr/>
      <w:spacing w:after="0" w:line="240" w:lineRule="auto"/>
      <w:ind/>
    </w:pPr>
    <w:rPr>
      <w:sz w:val="20"/>
      <w:szCs w:val="20"/>
    </w:rPr>
  </w:style>
  <w:style w:type="character" w:styleId="890">
    <w:name w:val="Endnote Text Char"/>
    <w:basedOn w:val="856"/>
    <w:link w:val="889"/>
    <w:uiPriority w:val="99"/>
    <w:semiHidden/>
    <w:pPr>
      <w:pBdr/>
      <w:spacing/>
      <w:ind/>
    </w:pPr>
    <w:rPr>
      <w:sz w:val="20"/>
      <w:szCs w:val="20"/>
    </w:rPr>
  </w:style>
  <w:style w:type="character" w:styleId="891">
    <w:name w:val="endnote reference"/>
    <w:basedOn w:val="856"/>
    <w:uiPriority w:val="99"/>
    <w:semiHidden/>
    <w:unhideWhenUsed/>
    <w:pPr>
      <w:pBdr/>
      <w:spacing/>
      <w:ind/>
    </w:pPr>
    <w:rPr>
      <w:vertAlign w:val="superscript"/>
    </w:rPr>
  </w:style>
  <w:style w:type="character" w:styleId="892">
    <w:name w:val="Hyperlink"/>
    <w:basedOn w:val="856"/>
    <w:uiPriority w:val="99"/>
    <w:unhideWhenUsed/>
    <w:pPr>
      <w:pBdr/>
      <w:spacing/>
      <w:ind/>
    </w:pPr>
    <w:rPr>
      <w:color w:val="0563c1" w:themeColor="hyperlink"/>
      <w:u w:val="single"/>
    </w:rPr>
  </w:style>
  <w:style w:type="character" w:styleId="893">
    <w:name w:val="FollowedHyperlink"/>
    <w:basedOn w:val="856"/>
    <w:uiPriority w:val="99"/>
    <w:semiHidden/>
    <w:unhideWhenUsed/>
    <w:pPr>
      <w:pBdr/>
      <w:spacing/>
      <w:ind/>
    </w:pPr>
    <w:rPr>
      <w:color w:val="954f72" w:themeColor="followedHyperlink"/>
      <w:u w:val="single"/>
    </w:rPr>
  </w:style>
  <w:style w:type="paragraph" w:styleId="894">
    <w:name w:val="toc 1"/>
    <w:basedOn w:val="905"/>
    <w:next w:val="905"/>
    <w:uiPriority w:val="39"/>
    <w:unhideWhenUsed/>
    <w:pPr>
      <w:pBdr/>
      <w:spacing w:after="100"/>
      <w:ind/>
    </w:pPr>
  </w:style>
  <w:style w:type="paragraph" w:styleId="895">
    <w:name w:val="toc 2"/>
    <w:basedOn w:val="905"/>
    <w:next w:val="905"/>
    <w:uiPriority w:val="39"/>
    <w:unhideWhenUsed/>
    <w:pPr>
      <w:pBdr/>
      <w:spacing w:after="100"/>
      <w:ind w:left="220"/>
    </w:pPr>
  </w:style>
  <w:style w:type="paragraph" w:styleId="896">
    <w:name w:val="toc 3"/>
    <w:basedOn w:val="905"/>
    <w:next w:val="905"/>
    <w:uiPriority w:val="39"/>
    <w:unhideWhenUsed/>
    <w:pPr>
      <w:pBdr/>
      <w:spacing w:after="100"/>
      <w:ind w:left="440"/>
    </w:pPr>
  </w:style>
  <w:style w:type="paragraph" w:styleId="897">
    <w:name w:val="toc 4"/>
    <w:basedOn w:val="905"/>
    <w:next w:val="905"/>
    <w:uiPriority w:val="39"/>
    <w:unhideWhenUsed/>
    <w:pPr>
      <w:pBdr/>
      <w:spacing w:after="100"/>
      <w:ind w:left="660"/>
    </w:pPr>
  </w:style>
  <w:style w:type="paragraph" w:styleId="898">
    <w:name w:val="toc 5"/>
    <w:basedOn w:val="905"/>
    <w:next w:val="905"/>
    <w:uiPriority w:val="39"/>
    <w:unhideWhenUsed/>
    <w:pPr>
      <w:pBdr/>
      <w:spacing w:after="100"/>
      <w:ind w:left="880"/>
    </w:pPr>
  </w:style>
  <w:style w:type="paragraph" w:styleId="899">
    <w:name w:val="toc 6"/>
    <w:basedOn w:val="905"/>
    <w:next w:val="905"/>
    <w:uiPriority w:val="39"/>
    <w:unhideWhenUsed/>
    <w:pPr>
      <w:pBdr/>
      <w:spacing w:after="100"/>
      <w:ind w:left="1100"/>
    </w:pPr>
  </w:style>
  <w:style w:type="paragraph" w:styleId="900">
    <w:name w:val="toc 7"/>
    <w:basedOn w:val="905"/>
    <w:next w:val="905"/>
    <w:uiPriority w:val="39"/>
    <w:unhideWhenUsed/>
    <w:pPr>
      <w:pBdr/>
      <w:spacing w:after="100"/>
      <w:ind w:left="1320"/>
    </w:pPr>
  </w:style>
  <w:style w:type="paragraph" w:styleId="901">
    <w:name w:val="toc 8"/>
    <w:basedOn w:val="905"/>
    <w:next w:val="905"/>
    <w:uiPriority w:val="39"/>
    <w:unhideWhenUsed/>
    <w:pPr>
      <w:pBdr/>
      <w:spacing w:after="100"/>
      <w:ind w:left="1540"/>
    </w:pPr>
  </w:style>
  <w:style w:type="paragraph" w:styleId="902">
    <w:name w:val="toc 9"/>
    <w:basedOn w:val="905"/>
    <w:next w:val="905"/>
    <w:uiPriority w:val="39"/>
    <w:unhideWhenUsed/>
    <w:pPr>
      <w:pBdr/>
      <w:spacing w:after="100"/>
      <w:ind w:left="1760"/>
    </w:p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style>
  <w:style w:type="table" w:styleId="90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No Spacing"/>
    <w:basedOn w:val="905"/>
    <w:uiPriority w:val="1"/>
    <w:qFormat/>
    <w:pPr>
      <w:pBdr/>
      <w:spacing w:after="0" w:line="240" w:lineRule="auto"/>
      <w:ind/>
    </w:pPr>
  </w:style>
  <w:style w:type="paragraph" w:styleId="909">
    <w:name w:val="List Paragraph"/>
    <w:basedOn w:val="90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2025-05-31T12:49:51Z</dcterms:modified>
</cp:coreProperties>
</file>