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3F73" w14:textId="11D25B96" w:rsidR="00563989" w:rsidRDefault="001F545E" w:rsidP="001F545E">
      <w:pPr>
        <w:pStyle w:val="Vietasegundonivel"/>
      </w:pPr>
      <w:r w:rsidRPr="001F545E">
        <w:rPr>
          <w:b/>
          <w:bCs/>
        </w:rPr>
        <w:t>¿Cuál es el motivo por el cual habéis seleccionado estas técnicas de reducción de dimensionalidad?</w:t>
      </w:r>
      <w:r>
        <w:t xml:space="preserve"> </w:t>
      </w:r>
    </w:p>
    <w:p w14:paraId="6BC924C0" w14:textId="6C218A55" w:rsidR="00CC353B" w:rsidRPr="00CC353B" w:rsidRDefault="00CC353B" w:rsidP="00CC353B">
      <w:pPr>
        <w:pStyle w:val="Vietasegundonivel"/>
      </w:pPr>
      <w:r w:rsidRPr="00CC353B">
        <w:t xml:space="preserve">En esta fase, se evaluaron diversas técnicas de proyección, incluyendo métodos lineales como PCA y algoritmos de aprendizaje de variedades como LE, LLE e </w:t>
      </w:r>
      <w:proofErr w:type="spellStart"/>
      <w:r w:rsidRPr="00CC353B">
        <w:t>Isomap</w:t>
      </w:r>
      <w:proofErr w:type="spellEnd"/>
      <w:r w:rsidRPr="00CC353B">
        <w:t xml:space="preserve">. Tras analizar las proyecciones en dos dimensiones, observamos que PCA resultó insuficiente al mostrar solapamiento de los grupos debido a la naturaleza no lineal de los datos de expresión. Asimismo, </w:t>
      </w:r>
      <w:proofErr w:type="spellStart"/>
      <w:r w:rsidRPr="00CC353B">
        <w:t>Isomap</w:t>
      </w:r>
      <w:proofErr w:type="spellEnd"/>
      <w:r w:rsidRPr="00CC353B">
        <w:t xml:space="preserve"> y LLE fallaron en la segregación de las poblaciones, manteniendo grupos críticos (como CFB, CGC, CHC y HPB) solapados, mientras que LE, </w:t>
      </w:r>
      <w:r>
        <w:t>separaba</w:t>
      </w:r>
      <w:r w:rsidRPr="00CC353B">
        <w:t xml:space="preserve"> grupos con una k=20%, </w:t>
      </w:r>
      <w:r>
        <w:t xml:space="preserve">pero </w:t>
      </w:r>
      <w:r w:rsidRPr="00CC353B">
        <w:t xml:space="preserve">no lograba </w:t>
      </w:r>
      <w:r>
        <w:t xml:space="preserve">la mejor </w:t>
      </w:r>
      <w:r w:rsidRPr="00CC353B">
        <w:t>resolución para la interpretación.</w:t>
      </w:r>
    </w:p>
    <w:p w14:paraId="2C8FBABF" w14:textId="04688818" w:rsidR="00CC353B" w:rsidRPr="00CC353B" w:rsidRDefault="00CC353B" w:rsidP="00CC353B">
      <w:pPr>
        <w:pStyle w:val="Vietasegundonivel"/>
        <w:numPr>
          <w:ilvl w:val="0"/>
          <w:numId w:val="9"/>
        </w:numPr>
      </w:pPr>
      <w:r w:rsidRPr="00CC353B">
        <w:t>El</w:t>
      </w:r>
      <w:r w:rsidRPr="00CC353B">
        <w:rPr>
          <w:b/>
          <w:bCs/>
        </w:rPr>
        <w:t xml:space="preserve"> m</w:t>
      </w:r>
      <w:r w:rsidRPr="00CC353B">
        <w:rPr>
          <w:b/>
          <w:bCs/>
        </w:rPr>
        <w:t>étodo t-SNE (t-</w:t>
      </w:r>
      <w:proofErr w:type="spellStart"/>
      <w:r w:rsidRPr="00CC353B">
        <w:rPr>
          <w:b/>
          <w:bCs/>
        </w:rPr>
        <w:t>Distributed</w:t>
      </w:r>
      <w:proofErr w:type="spellEnd"/>
      <w:r w:rsidRPr="00CC353B">
        <w:rPr>
          <w:b/>
          <w:bCs/>
        </w:rPr>
        <w:t xml:space="preserve"> </w:t>
      </w:r>
      <w:proofErr w:type="spellStart"/>
      <w:r w:rsidRPr="00CC353B">
        <w:rPr>
          <w:b/>
          <w:bCs/>
        </w:rPr>
        <w:t>Stochastic</w:t>
      </w:r>
      <w:proofErr w:type="spellEnd"/>
      <w:r w:rsidRPr="00CC353B">
        <w:rPr>
          <w:b/>
          <w:bCs/>
        </w:rPr>
        <w:t xml:space="preserve"> Neighbor </w:t>
      </w:r>
      <w:proofErr w:type="spellStart"/>
      <w:r w:rsidRPr="00CC353B">
        <w:rPr>
          <w:b/>
          <w:bCs/>
        </w:rPr>
        <w:t>Embedding</w:t>
      </w:r>
      <w:proofErr w:type="spellEnd"/>
      <w:r w:rsidRPr="00CC353B">
        <w:rPr>
          <w:b/>
          <w:bCs/>
        </w:rPr>
        <w:t>)</w:t>
      </w:r>
      <w:r w:rsidRPr="00CC353B">
        <w:rPr>
          <w:b/>
          <w:bCs/>
        </w:rPr>
        <w:t xml:space="preserve"> </w:t>
      </w:r>
      <w:r w:rsidRPr="00CC353B">
        <w:t>s</w:t>
      </w:r>
      <w:r w:rsidRPr="00CC353B">
        <w:t xml:space="preserve">e seleccionó por su capacidad para preservar la </w:t>
      </w:r>
      <w:r w:rsidRPr="00CC353B">
        <w:rPr>
          <w:b/>
          <w:bCs/>
        </w:rPr>
        <w:t>estructura local</w:t>
      </w:r>
      <w:r w:rsidRPr="00CC353B">
        <w:t xml:space="preserve"> mediante una distribución t de Student. Su objetivo principal fue la exploración visual para identificar subpoblaciones en el </w:t>
      </w:r>
      <w:proofErr w:type="spellStart"/>
      <w:r w:rsidRPr="00CC353B">
        <w:t>dataset</w:t>
      </w:r>
      <w:proofErr w:type="spellEnd"/>
      <w:r w:rsidRPr="00CC353B">
        <w:t>.</w:t>
      </w:r>
    </w:p>
    <w:p w14:paraId="20FBEB9C" w14:textId="77777777" w:rsidR="00CC353B" w:rsidRPr="00CC353B" w:rsidRDefault="00CC353B" w:rsidP="00CC353B">
      <w:pPr>
        <w:pStyle w:val="Vietasegundonivel"/>
        <w:numPr>
          <w:ilvl w:val="1"/>
          <w:numId w:val="9"/>
        </w:numPr>
      </w:pPr>
      <w:r w:rsidRPr="00CC353B">
        <w:rPr>
          <w:b/>
          <w:bCs/>
        </w:rPr>
        <w:t>Puntos Positivos:</w:t>
      </w:r>
      <w:r w:rsidRPr="00CC353B">
        <w:t xml:space="preserve"> Es excepcionalmente eficaz para eliminar el solapamiento y definir fronteras nítidas entre condiciones, transformando similitudes biológicas en distancias visuales claras y manejando con éxito la no linealidad.</w:t>
      </w:r>
    </w:p>
    <w:p w14:paraId="7B8A7850" w14:textId="77777777" w:rsidR="00CC353B" w:rsidRPr="00CC353B" w:rsidRDefault="00CC353B" w:rsidP="00CC353B">
      <w:pPr>
        <w:pStyle w:val="Vietasegundonivel"/>
        <w:numPr>
          <w:ilvl w:val="1"/>
          <w:numId w:val="9"/>
        </w:numPr>
      </w:pPr>
      <w:r w:rsidRPr="00CC353B">
        <w:rPr>
          <w:b/>
          <w:bCs/>
        </w:rPr>
        <w:t>Puntos Negativos:</w:t>
      </w:r>
      <w:r w:rsidRPr="00CC353B">
        <w:t xml:space="preserve"> Es un método no determinista y computacionalmente costoso. Además, tiende a expandir los clústeres densos y comprimir los dispersos, lo que puede distorsionar la interpretación de los tamaños relativos de los grupos.</w:t>
      </w:r>
    </w:p>
    <w:p w14:paraId="6CE08E3D" w14:textId="07341272" w:rsidR="00CC353B" w:rsidRPr="00CC353B" w:rsidRDefault="00CC353B" w:rsidP="00CC353B">
      <w:pPr>
        <w:pStyle w:val="Vietasegundonivel"/>
        <w:numPr>
          <w:ilvl w:val="0"/>
          <w:numId w:val="9"/>
        </w:numPr>
      </w:pPr>
      <w:r w:rsidRPr="00CC353B">
        <w:t>El</w:t>
      </w:r>
      <w:r w:rsidRPr="00CC353B">
        <w:rPr>
          <w:b/>
          <w:bCs/>
        </w:rPr>
        <w:t xml:space="preserve"> método UMAP (</w:t>
      </w:r>
      <w:proofErr w:type="spellStart"/>
      <w:r w:rsidRPr="00CC353B">
        <w:rPr>
          <w:b/>
          <w:bCs/>
        </w:rPr>
        <w:t>Uniform</w:t>
      </w:r>
      <w:proofErr w:type="spellEnd"/>
      <w:r w:rsidRPr="00CC353B">
        <w:rPr>
          <w:b/>
          <w:bCs/>
        </w:rPr>
        <w:t xml:space="preserve"> Manifold </w:t>
      </w:r>
      <w:proofErr w:type="spellStart"/>
      <w:r w:rsidRPr="00CC353B">
        <w:rPr>
          <w:b/>
          <w:bCs/>
        </w:rPr>
        <w:t>Approximation</w:t>
      </w:r>
      <w:proofErr w:type="spellEnd"/>
      <w:r w:rsidRPr="00CC353B">
        <w:rPr>
          <w:b/>
          <w:bCs/>
        </w:rPr>
        <w:t xml:space="preserve"> and </w:t>
      </w:r>
      <w:proofErr w:type="spellStart"/>
      <w:r w:rsidRPr="00CC353B">
        <w:rPr>
          <w:b/>
          <w:bCs/>
        </w:rPr>
        <w:t>Projection</w:t>
      </w:r>
      <w:proofErr w:type="spellEnd"/>
      <w:r w:rsidRPr="00CC353B">
        <w:rPr>
          <w:b/>
          <w:bCs/>
        </w:rPr>
        <w:t>)</w:t>
      </w:r>
      <w:r w:rsidRPr="00CC353B">
        <w:t xml:space="preserve"> se eligió para obtener una reducción que no solo separara los grupos, sino que mantuviera la topología global de los datos. Es ideal cuando se requiere escalabilidad y reproducibilidad en el análisis.</w:t>
      </w:r>
    </w:p>
    <w:p w14:paraId="7DBDA933" w14:textId="77777777" w:rsidR="00CC353B" w:rsidRPr="00CC353B" w:rsidRDefault="00CC353B" w:rsidP="00CC353B">
      <w:pPr>
        <w:pStyle w:val="Vietasegundonivel"/>
        <w:numPr>
          <w:ilvl w:val="1"/>
          <w:numId w:val="9"/>
        </w:numPr>
      </w:pPr>
      <w:r w:rsidRPr="00CC353B">
        <w:rPr>
          <w:b/>
          <w:bCs/>
        </w:rPr>
        <w:t>Puntos Positivos:</w:t>
      </w:r>
      <w:r w:rsidRPr="00CC353B">
        <w:t xml:space="preserve"> Ofrece una mayor velocidad de ejecución y una mejor preservación de las distancias </w:t>
      </w:r>
      <w:proofErr w:type="spellStart"/>
      <w:r w:rsidRPr="00CC353B">
        <w:t>inter-clúster</w:t>
      </w:r>
      <w:proofErr w:type="spellEnd"/>
      <w:r w:rsidRPr="00CC353B">
        <w:t>, permitiendo que la disposición espacial informe sobre la jerarquía y relación real entre las muestras.</w:t>
      </w:r>
    </w:p>
    <w:p w14:paraId="05C9A227" w14:textId="5CC378DA" w:rsidR="00CC353B" w:rsidRDefault="00CC353B" w:rsidP="001F545E">
      <w:pPr>
        <w:pStyle w:val="Vietasegundonivel"/>
        <w:numPr>
          <w:ilvl w:val="1"/>
          <w:numId w:val="9"/>
        </w:numPr>
      </w:pPr>
      <w:r w:rsidRPr="00CC353B">
        <w:rPr>
          <w:b/>
          <w:bCs/>
        </w:rPr>
        <w:lastRenderedPageBreak/>
        <w:t>Puntos Negativos:</w:t>
      </w:r>
      <w:r w:rsidRPr="00CC353B">
        <w:t xml:space="preserve"> Presenta una alta sensibilidad a los </w:t>
      </w:r>
      <w:proofErr w:type="spellStart"/>
      <w:r w:rsidRPr="00CC353B">
        <w:t>hiperparámetros</w:t>
      </w:r>
      <w:proofErr w:type="spellEnd"/>
      <w:r w:rsidRPr="00CC353B">
        <w:t xml:space="preserve"> (como el número de vecinos), y su fundamentación matemática topológica puede ser más compleja de interpretar</w:t>
      </w:r>
      <w:r w:rsidR="00312CFE">
        <w:t>.</w:t>
      </w:r>
    </w:p>
    <w:p w14:paraId="7A28BD2F" w14:textId="0BE8DA3A" w:rsidR="00CC353B" w:rsidRDefault="00312CFE" w:rsidP="001F545E">
      <w:pPr>
        <w:pStyle w:val="Vietasegundonivel"/>
      </w:pPr>
      <w:r w:rsidRPr="000F2AD1">
        <w:t xml:space="preserve">La elección de estas dos técnicas se justifica porque son las únicas que logran transformar las similitudes biológicas en distancias visuales discretas en </w:t>
      </w:r>
      <w:r>
        <w:t>2D</w:t>
      </w:r>
      <w:r w:rsidRPr="000F2AD1">
        <w:t>. Ambas informan con precisión sobre la existencia de clústeres bien diferenciados entre grupos</w:t>
      </w:r>
      <w:r>
        <w:t>.</w:t>
      </w:r>
    </w:p>
    <w:p w14:paraId="6ADD4118" w14:textId="77777777" w:rsidR="00CC353B" w:rsidRDefault="00CC353B" w:rsidP="001F545E">
      <w:pPr>
        <w:pStyle w:val="Vietasegundonivel"/>
      </w:pPr>
    </w:p>
    <w:p w14:paraId="229CBD2D" w14:textId="77777777" w:rsidR="00CC353B" w:rsidRDefault="00CC353B" w:rsidP="001F545E">
      <w:pPr>
        <w:pStyle w:val="Vietasegundonivel"/>
      </w:pPr>
    </w:p>
    <w:p w14:paraId="4899943A" w14:textId="46D85222" w:rsidR="007A6224" w:rsidRPr="007A6224" w:rsidRDefault="007A6224" w:rsidP="007A6224">
      <w:pPr>
        <w:rPr>
          <w:b/>
          <w:bCs/>
        </w:rPr>
      </w:pPr>
      <w:r w:rsidRPr="007A6224">
        <w:rPr>
          <w:b/>
          <w:bCs/>
        </w:rPr>
        <w:t xml:space="preserve">¿Cuál es el motivo por el cual habéis seleccionado estas técnicas de </w:t>
      </w:r>
      <w:proofErr w:type="spellStart"/>
      <w:r w:rsidRPr="007A6224">
        <w:rPr>
          <w:b/>
          <w:bCs/>
        </w:rPr>
        <w:t>clusterización</w:t>
      </w:r>
      <w:proofErr w:type="spellEnd"/>
      <w:r w:rsidRPr="007A6224">
        <w:rPr>
          <w:b/>
          <w:bCs/>
        </w:rPr>
        <w:t>?</w:t>
      </w:r>
    </w:p>
    <w:p w14:paraId="5B330E13" w14:textId="5A2AE7C8" w:rsidR="007A6224" w:rsidRPr="007A6224" w:rsidRDefault="007A6224" w:rsidP="00CC353B">
      <w:pPr>
        <w:spacing w:line="360" w:lineRule="auto"/>
      </w:pPr>
      <w:r w:rsidRPr="007A6224">
        <w:t>En esta fase, se evaluaron diversos algoritmos jerárquicos (</w:t>
      </w:r>
      <w:proofErr w:type="gramStart"/>
      <w:r w:rsidRPr="007A6224">
        <w:t>Single</w:t>
      </w:r>
      <w:proofErr w:type="gramEnd"/>
      <w:r w:rsidRPr="007A6224">
        <w:t xml:space="preserve">, </w:t>
      </w:r>
      <w:proofErr w:type="spellStart"/>
      <w:r w:rsidRPr="007A6224">
        <w:t>Average</w:t>
      </w:r>
      <w:proofErr w:type="spellEnd"/>
      <w:r w:rsidRPr="007A6224">
        <w:t>, Complete, Ward y DIANA) y de partición (K-</w:t>
      </w:r>
      <w:proofErr w:type="spellStart"/>
      <w:r w:rsidRPr="007A6224">
        <w:t>means</w:t>
      </w:r>
      <w:proofErr w:type="spellEnd"/>
      <w:r w:rsidRPr="007A6224">
        <w:t xml:space="preserve">). Tras analizar los </w:t>
      </w:r>
      <w:proofErr w:type="spellStart"/>
      <w:r w:rsidRPr="007A6224">
        <w:t>dendrogramas</w:t>
      </w:r>
      <w:proofErr w:type="spellEnd"/>
      <w:r w:rsidRPr="007A6224">
        <w:t xml:space="preserve"> y la cohesión de los grupos, observamos que los métodos de enlace simple (</w:t>
      </w:r>
      <w:proofErr w:type="gramStart"/>
      <w:r w:rsidRPr="007A6224">
        <w:t>Single</w:t>
      </w:r>
      <w:proofErr w:type="gramEnd"/>
      <w:r w:rsidRPr="007A6224">
        <w:t>) y promedio (</w:t>
      </w:r>
      <w:proofErr w:type="spellStart"/>
      <w:r w:rsidRPr="007A6224">
        <w:t>Average</w:t>
      </w:r>
      <w:proofErr w:type="spellEnd"/>
      <w:r w:rsidRPr="007A6224">
        <w:t>) fallaban al intentar definir fronteras claras, presentando un fenómeno de "encadenamiento" donde las muestras se agrupaban de forma asimétrica. Por el contrario, los métodos seleccionados permitieron una estructuración mucho más robusta.</w:t>
      </w:r>
    </w:p>
    <w:p w14:paraId="7679DD95" w14:textId="5B8F22CC" w:rsidR="007A6224" w:rsidRPr="007A6224" w:rsidRDefault="007A6224" w:rsidP="00CC353B">
      <w:pPr>
        <w:numPr>
          <w:ilvl w:val="0"/>
          <w:numId w:val="6"/>
        </w:numPr>
        <w:spacing w:line="360" w:lineRule="auto"/>
      </w:pPr>
      <w:r>
        <w:t xml:space="preserve">El </w:t>
      </w:r>
      <w:r w:rsidRPr="007A6224">
        <w:rPr>
          <w:b/>
          <w:bCs/>
        </w:rPr>
        <w:t>m</w:t>
      </w:r>
      <w:r w:rsidRPr="007A6224">
        <w:rPr>
          <w:b/>
          <w:bCs/>
        </w:rPr>
        <w:t xml:space="preserve">étodo de Ward (Jerárquico </w:t>
      </w:r>
      <w:proofErr w:type="spellStart"/>
      <w:r w:rsidRPr="007A6224">
        <w:rPr>
          <w:b/>
          <w:bCs/>
        </w:rPr>
        <w:t>Aglomerativo</w:t>
      </w:r>
      <w:proofErr w:type="spellEnd"/>
      <w:r>
        <w:rPr>
          <w:b/>
          <w:bCs/>
        </w:rPr>
        <w:t xml:space="preserve"> </w:t>
      </w:r>
      <w:r w:rsidRPr="007A6224">
        <w:t>s</w:t>
      </w:r>
      <w:r w:rsidRPr="007A6224">
        <w:t xml:space="preserve">e seleccionó por su enfoque en la </w:t>
      </w:r>
      <w:r w:rsidRPr="007A6224">
        <w:rPr>
          <w:b/>
          <w:bCs/>
        </w:rPr>
        <w:t>minimización de la varianza</w:t>
      </w:r>
      <w:r w:rsidRPr="007A6224">
        <w:t xml:space="preserve"> dentro de cada clúster. Es ideal para datos de expresión génica donde se busca que las muestras dentro de un grupo sean lo más homogéneas posible.</w:t>
      </w:r>
    </w:p>
    <w:p w14:paraId="3C368B33" w14:textId="77777777" w:rsidR="007A6224" w:rsidRPr="007A6224" w:rsidRDefault="007A6224" w:rsidP="00CC353B">
      <w:pPr>
        <w:numPr>
          <w:ilvl w:val="1"/>
          <w:numId w:val="6"/>
        </w:numPr>
        <w:spacing w:line="360" w:lineRule="auto"/>
      </w:pPr>
      <w:r w:rsidRPr="007A6224">
        <w:rPr>
          <w:b/>
          <w:bCs/>
        </w:rPr>
        <w:t>Puntos Positivos:</w:t>
      </w:r>
      <w:r w:rsidRPr="007A6224">
        <w:t xml:space="preserve"> Genera clústeres muy compactos, equilibrados en tamaño y con una estructura jerárquica muy clara, lo que facilita enormemente la interpretación biológica de los subtipos.</w:t>
      </w:r>
    </w:p>
    <w:p w14:paraId="1386F6ED" w14:textId="23B90653" w:rsidR="007A6224" w:rsidRPr="007A6224" w:rsidRDefault="007A6224" w:rsidP="00CC353B">
      <w:pPr>
        <w:numPr>
          <w:ilvl w:val="1"/>
          <w:numId w:val="6"/>
        </w:numPr>
        <w:spacing w:line="360" w:lineRule="auto"/>
      </w:pPr>
      <w:r w:rsidRPr="007A6224">
        <w:rPr>
          <w:b/>
          <w:bCs/>
        </w:rPr>
        <w:t>Puntos Negativos:</w:t>
      </w:r>
      <w:r w:rsidRPr="007A6224">
        <w:t xml:space="preserve"> </w:t>
      </w:r>
      <w:r w:rsidR="00CC353B" w:rsidRPr="00CC353B">
        <w:rPr>
          <w:b/>
          <w:bCs/>
        </w:rPr>
        <w:t>Suposiciones sobre la Distribución</w:t>
      </w:r>
      <w:r w:rsidR="00CC353B" w:rsidRPr="00CC353B">
        <w:t>: Asume que los datos están distribuidos uniformemente, lo que puede no ser cierto en todos los casos</w:t>
      </w:r>
      <w:r w:rsidR="00CC353B">
        <w:t xml:space="preserve"> y tiene limitaciones en la interpretación, </w:t>
      </w:r>
      <w:r w:rsidR="00CC353B" w:rsidRPr="00CC353B">
        <w:t>si los clústeres no son claramente diferenciables.</w:t>
      </w:r>
    </w:p>
    <w:p w14:paraId="275A4F15" w14:textId="3F9003B7" w:rsidR="007A6224" w:rsidRPr="007A6224" w:rsidRDefault="007A6224" w:rsidP="00CC353B">
      <w:pPr>
        <w:numPr>
          <w:ilvl w:val="0"/>
          <w:numId w:val="6"/>
        </w:numPr>
        <w:spacing w:line="360" w:lineRule="auto"/>
      </w:pPr>
      <w:r>
        <w:t xml:space="preserve">El </w:t>
      </w:r>
      <w:r w:rsidRPr="007A6224">
        <w:rPr>
          <w:b/>
          <w:bCs/>
        </w:rPr>
        <w:t xml:space="preserve">método DIANA (Divisivo </w:t>
      </w:r>
      <w:proofErr w:type="spellStart"/>
      <w:r w:rsidRPr="007A6224">
        <w:rPr>
          <w:b/>
          <w:bCs/>
        </w:rPr>
        <w:t>Analysis</w:t>
      </w:r>
      <w:proofErr w:type="spellEnd"/>
      <w:r w:rsidRPr="007A6224">
        <w:rPr>
          <w:b/>
          <w:bCs/>
        </w:rPr>
        <w:t xml:space="preserve"> </w:t>
      </w:r>
      <w:proofErr w:type="spellStart"/>
      <w:r w:rsidRPr="007A6224">
        <w:rPr>
          <w:b/>
          <w:bCs/>
        </w:rPr>
        <w:t>Clustering</w:t>
      </w:r>
      <w:proofErr w:type="spellEnd"/>
      <w:r w:rsidRPr="007A6224">
        <w:rPr>
          <w:b/>
          <w:bCs/>
        </w:rPr>
        <w:t>)</w:t>
      </w:r>
      <w:r w:rsidRPr="007A6224">
        <w:t xml:space="preserve">, a </w:t>
      </w:r>
      <w:r w:rsidRPr="007A6224">
        <w:t xml:space="preserve">diferencia de los métodos </w:t>
      </w:r>
      <w:proofErr w:type="spellStart"/>
      <w:r w:rsidRPr="007A6224">
        <w:t>aglomerativos</w:t>
      </w:r>
      <w:proofErr w:type="spellEnd"/>
      <w:r w:rsidRPr="007A6224">
        <w:t>, DIANA sigue una comenzando con un solo clúster que contiene todas las muestras y dividiéndolo sucesivamente. Se eligió para validar la estructura jerárquica desde una perspectiva global.</w:t>
      </w:r>
    </w:p>
    <w:p w14:paraId="4E98ACFF" w14:textId="77777777" w:rsidR="007A6224" w:rsidRPr="007A6224" w:rsidRDefault="007A6224" w:rsidP="00CC353B">
      <w:pPr>
        <w:numPr>
          <w:ilvl w:val="1"/>
          <w:numId w:val="6"/>
        </w:numPr>
        <w:spacing w:line="360" w:lineRule="auto"/>
      </w:pPr>
      <w:r w:rsidRPr="007A6224">
        <w:rPr>
          <w:b/>
          <w:bCs/>
        </w:rPr>
        <w:lastRenderedPageBreak/>
        <w:t>Puntos Positivos:</w:t>
      </w:r>
      <w:r w:rsidRPr="007A6224">
        <w:t xml:space="preserve"> Es excelente para identificar las divisiones principales y más robustas del </w:t>
      </w:r>
      <w:proofErr w:type="spellStart"/>
      <w:r w:rsidRPr="007A6224">
        <w:t>dataset</w:t>
      </w:r>
      <w:proofErr w:type="spellEnd"/>
      <w:r w:rsidRPr="007A6224">
        <w:t>. Al enfocarse en las grandes diferencias iniciales, aporta una visión muy clara de las jerarquías superiores de los datos.</w:t>
      </w:r>
    </w:p>
    <w:p w14:paraId="4C7F969F" w14:textId="185583E9" w:rsidR="00054818" w:rsidRDefault="007A6224" w:rsidP="00CC353B">
      <w:pPr>
        <w:numPr>
          <w:ilvl w:val="1"/>
          <w:numId w:val="6"/>
        </w:numPr>
        <w:spacing w:line="360" w:lineRule="auto"/>
      </w:pPr>
      <w:r w:rsidRPr="007A6224">
        <w:rPr>
          <w:b/>
          <w:bCs/>
        </w:rPr>
        <w:t>Puntos Negativos:</w:t>
      </w:r>
      <w:r w:rsidRPr="007A6224">
        <w:t xml:space="preserve"> </w:t>
      </w:r>
      <w:r w:rsidR="00CC353B">
        <w:t>Es computacionalmente costoso en</w:t>
      </w:r>
      <w:r w:rsidR="00CC353B" w:rsidRPr="007A6224">
        <w:t xml:space="preserve"> conjuntos de datos grandes debido a su naturaleza divisiva</w:t>
      </w:r>
      <w:r w:rsidR="00CC353B">
        <w:t>, y es muy sensible al ruido, por lo cual p</w:t>
      </w:r>
      <w:r w:rsidR="00CC353B" w:rsidRPr="007A6224">
        <w:t>uede verse afectado por datos atípicos, lo que puede distorsionar la segmentación.</w:t>
      </w:r>
    </w:p>
    <w:p w14:paraId="1D52FAD4" w14:textId="77777777" w:rsidR="00312CFE" w:rsidRDefault="00312CFE" w:rsidP="00312CFE">
      <w:pPr>
        <w:spacing w:line="360" w:lineRule="auto"/>
      </w:pPr>
    </w:p>
    <w:p w14:paraId="7B4A1D34" w14:textId="5BF6922F" w:rsidR="00312CFE" w:rsidRPr="00312CFE" w:rsidRDefault="00312CFE" w:rsidP="00312CFE">
      <w:pPr>
        <w:spacing w:line="360" w:lineRule="auto"/>
        <w:rPr>
          <w:b/>
          <w:bCs/>
        </w:rPr>
      </w:pPr>
      <w:r w:rsidRPr="00312CFE">
        <w:rPr>
          <w:b/>
          <w:bCs/>
        </w:rPr>
        <w:t xml:space="preserve">En el caso de la </w:t>
      </w:r>
      <w:proofErr w:type="spellStart"/>
      <w:r w:rsidRPr="00312CFE">
        <w:rPr>
          <w:b/>
          <w:bCs/>
        </w:rPr>
        <w:t>clusterización</w:t>
      </w:r>
      <w:proofErr w:type="spellEnd"/>
      <w:r w:rsidRPr="00312CFE">
        <w:rPr>
          <w:b/>
          <w:bCs/>
        </w:rPr>
        <w:t>, ¿podéis afirmar con certeza que los clústeres generados son los mejores posibles? Razonad vuestra respuesta.</w:t>
      </w:r>
    </w:p>
    <w:p w14:paraId="07FB3198" w14:textId="25538E56" w:rsidR="00312CFE" w:rsidRPr="00312CFE" w:rsidRDefault="00532A2A" w:rsidP="00532A2A">
      <w:pPr>
        <w:spacing w:line="360" w:lineRule="auto"/>
      </w:pPr>
      <w:r>
        <w:t>Es complicado</w:t>
      </w:r>
      <w:r w:rsidR="00312CFE" w:rsidRPr="00312CFE">
        <w:t xml:space="preserve"> afirmar con certeza que los clústeres generados son los mejores posibles</w:t>
      </w:r>
      <w:r>
        <w:t>, debido a que nuestra</w:t>
      </w:r>
      <w:r w:rsidR="00312CFE" w:rsidRPr="00532A2A">
        <w:t xml:space="preserve"> decisión se basa principalmente en la inspección visual de los </w:t>
      </w:r>
      <w:proofErr w:type="spellStart"/>
      <w:r w:rsidR="00312CFE" w:rsidRPr="00532A2A">
        <w:t>dendrogramas</w:t>
      </w:r>
      <w:proofErr w:type="spellEnd"/>
      <w:r w:rsidR="00312CFE" w:rsidRPr="00532A2A">
        <w:t>. Ward y DIANA mostraron una separación muy clara entre las ramas</w:t>
      </w:r>
      <w:r w:rsidR="00312CFE" w:rsidRPr="00532A2A">
        <w:t xml:space="preserve"> y bastante similar</w:t>
      </w:r>
      <w:r w:rsidR="00312CFE" w:rsidRPr="00312CFE">
        <w:t>. Esta visualización nos proporcionó una intuición inmediata sobre la calidad del agrupamiento, permitiéndonos identificar clústeres con una cohesión interna muy fuerte y una separación evidente frente a los demás grupos.</w:t>
      </w:r>
    </w:p>
    <w:p w14:paraId="7F58F751" w14:textId="348C0E32" w:rsidR="00532A2A" w:rsidRPr="00312CFE" w:rsidRDefault="00312CFE" w:rsidP="00532A2A">
      <w:pPr>
        <w:spacing w:line="360" w:lineRule="auto"/>
      </w:pPr>
      <w:r w:rsidRPr="00532A2A">
        <w:t xml:space="preserve">Aun así, son métodos no supervisados, y </w:t>
      </w:r>
      <w:r w:rsidRPr="00312CFE">
        <w:t xml:space="preserve">no </w:t>
      </w:r>
      <w:r w:rsidRPr="00532A2A">
        <w:t>se</w:t>
      </w:r>
      <w:r>
        <w:t xml:space="preserve"> dispone </w:t>
      </w:r>
      <w:r w:rsidRPr="00312CFE">
        <w:t>de etiquetas reales</w:t>
      </w:r>
      <w:r>
        <w:t>, por eso</w:t>
      </w:r>
      <w:r w:rsidRPr="00312CFE">
        <w:t xml:space="preserve"> la calidad de un clúster es relativa. Un agrupamiento puede ser óptimo matemáticamente según una </w:t>
      </w:r>
      <w:proofErr w:type="gramStart"/>
      <w:r w:rsidRPr="00312CFE">
        <w:t>métrica</w:t>
      </w:r>
      <w:proofErr w:type="gramEnd"/>
      <w:r w:rsidRPr="00312CFE">
        <w:t xml:space="preserve"> pero </w:t>
      </w:r>
      <w:r>
        <w:t>no tener</w:t>
      </w:r>
      <w:r w:rsidRPr="00312CFE">
        <w:t xml:space="preserve"> sentido biológico.</w:t>
      </w:r>
      <w:r w:rsidR="00532A2A">
        <w:t xml:space="preserve"> </w:t>
      </w:r>
      <w:r w:rsidR="00532A2A" w:rsidRPr="00312CFE">
        <w:t xml:space="preserve">Hasta que no se realiza </w:t>
      </w:r>
      <w:r w:rsidR="00532A2A">
        <w:t>una</w:t>
      </w:r>
      <w:r w:rsidR="00532A2A" w:rsidRPr="00312CFE">
        <w:t xml:space="preserve"> validación</w:t>
      </w:r>
      <w:r w:rsidR="00532A2A">
        <w:t xml:space="preserve"> biológica</w:t>
      </w:r>
      <w:r w:rsidR="00532A2A" w:rsidRPr="00312CFE">
        <w:t>, los clústeres son solo hipótesis estadísticas.</w:t>
      </w:r>
    </w:p>
    <w:p w14:paraId="2C5D50DE" w14:textId="2FD2FCA2" w:rsidR="00312CFE" w:rsidRDefault="00532A2A" w:rsidP="00312CFE">
      <w:pPr>
        <w:spacing w:line="360" w:lineRule="auto"/>
      </w:pPr>
      <w:proofErr w:type="gramStart"/>
      <w:r>
        <w:t>Además</w:t>
      </w:r>
      <w:proofErr w:type="gramEnd"/>
      <w:r>
        <w:t xml:space="preserve"> l</w:t>
      </w:r>
      <w:r w:rsidR="00312CFE" w:rsidRPr="00312CFE">
        <w:t>os resultados están condicionados al uso de la distancia euclídea</w:t>
      </w:r>
      <w:r w:rsidRPr="00532A2A">
        <w:t>/Manhattan</w:t>
      </w:r>
      <w:r>
        <w:t xml:space="preserve"> y por eso son dependientes de la métrica</w:t>
      </w:r>
      <w:r w:rsidR="00312CFE" w:rsidRPr="00312CFE">
        <w:t xml:space="preserve">. </w:t>
      </w:r>
      <w:proofErr w:type="gramStart"/>
      <w:r w:rsidR="00312CFE" w:rsidRPr="00312CFE">
        <w:t xml:space="preserve">El uso de otras distancias </w:t>
      </w:r>
      <w:r>
        <w:t>podrían</w:t>
      </w:r>
      <w:proofErr w:type="gramEnd"/>
      <w:r>
        <w:t xml:space="preserve"> </w:t>
      </w:r>
      <w:r w:rsidR="00312CFE" w:rsidRPr="00312CFE">
        <w:t xml:space="preserve">derivar en clústeres </w:t>
      </w:r>
      <w:proofErr w:type="gramStart"/>
      <w:r w:rsidR="00312CFE" w:rsidRPr="00312CFE">
        <w:t>diferentes</w:t>
      </w:r>
      <w:proofErr w:type="gramEnd"/>
      <w:r w:rsidR="00312CFE" w:rsidRPr="00312CFE">
        <w:t xml:space="preserve"> pero igualmente válidos.</w:t>
      </w:r>
    </w:p>
    <w:p w14:paraId="4BDBF938" w14:textId="2D437BB9" w:rsidR="00532A2A" w:rsidRDefault="00532A2A" w:rsidP="00312CFE">
      <w:pPr>
        <w:spacing w:line="360" w:lineRule="auto"/>
      </w:pPr>
      <w:r>
        <w:t xml:space="preserve">Por esto, aunque de los métodos analizados son las mejores opciones, podría haber algún método de </w:t>
      </w:r>
      <w:proofErr w:type="spellStart"/>
      <w:r>
        <w:t>clusterización</w:t>
      </w:r>
      <w:proofErr w:type="spellEnd"/>
      <w:r>
        <w:t xml:space="preserve"> que fuera aún </w:t>
      </w:r>
      <w:proofErr w:type="gramStart"/>
      <w:r>
        <w:t>más óptimo</w:t>
      </w:r>
      <w:proofErr w:type="gramEnd"/>
      <w:r>
        <w:t xml:space="preserve"> (</w:t>
      </w:r>
      <w:proofErr w:type="spellStart"/>
      <w:r>
        <w:t>sobretodo</w:t>
      </w:r>
      <w:proofErr w:type="spellEnd"/>
      <w:r>
        <w:t xml:space="preserve"> si hay supervisión). </w:t>
      </w:r>
    </w:p>
    <w:sectPr w:rsidR="00532A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76BE"/>
    <w:multiLevelType w:val="hybridMultilevel"/>
    <w:tmpl w:val="892E48A6"/>
    <w:lvl w:ilvl="0" w:tplc="0C0A0001">
      <w:start w:val="20"/>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1EA596F"/>
    <w:multiLevelType w:val="multilevel"/>
    <w:tmpl w:val="A48A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A1153"/>
    <w:multiLevelType w:val="hybridMultilevel"/>
    <w:tmpl w:val="3E6AB90C"/>
    <w:lvl w:ilvl="0" w:tplc="0C0A0001">
      <w:start w:val="20"/>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ECD0A01"/>
    <w:multiLevelType w:val="multilevel"/>
    <w:tmpl w:val="F6E4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91602"/>
    <w:multiLevelType w:val="multilevel"/>
    <w:tmpl w:val="1F8A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25E76"/>
    <w:multiLevelType w:val="multilevel"/>
    <w:tmpl w:val="52BA2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A5910"/>
    <w:multiLevelType w:val="multilevel"/>
    <w:tmpl w:val="F5A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7356F"/>
    <w:multiLevelType w:val="multilevel"/>
    <w:tmpl w:val="543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F2160"/>
    <w:multiLevelType w:val="multilevel"/>
    <w:tmpl w:val="50A4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400051">
    <w:abstractNumId w:val="1"/>
  </w:num>
  <w:num w:numId="2" w16cid:durableId="683434022">
    <w:abstractNumId w:val="8"/>
  </w:num>
  <w:num w:numId="3" w16cid:durableId="797718505">
    <w:abstractNumId w:val="7"/>
  </w:num>
  <w:num w:numId="4" w16cid:durableId="772743288">
    <w:abstractNumId w:val="0"/>
  </w:num>
  <w:num w:numId="5" w16cid:durableId="2048288294">
    <w:abstractNumId w:val="3"/>
  </w:num>
  <w:num w:numId="6" w16cid:durableId="1331329481">
    <w:abstractNumId w:val="6"/>
  </w:num>
  <w:num w:numId="7" w16cid:durableId="1523934374">
    <w:abstractNumId w:val="5"/>
  </w:num>
  <w:num w:numId="8" w16cid:durableId="245572527">
    <w:abstractNumId w:val="2"/>
  </w:num>
  <w:num w:numId="9" w16cid:durableId="800727448">
    <w:abstractNumId w:val="4"/>
  </w:num>
  <w:num w:numId="10" w16cid:durableId="470484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E"/>
    <w:rsid w:val="00054818"/>
    <w:rsid w:val="000F2AD1"/>
    <w:rsid w:val="001F545E"/>
    <w:rsid w:val="0020690D"/>
    <w:rsid w:val="00312CFE"/>
    <w:rsid w:val="00532A2A"/>
    <w:rsid w:val="00563989"/>
    <w:rsid w:val="007A6224"/>
    <w:rsid w:val="00810997"/>
    <w:rsid w:val="00CC35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4AA1"/>
  <w15:chartTrackingRefBased/>
  <w15:docId w15:val="{FEEB785B-DECB-4674-99EB-7DF1D2A6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5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5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54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54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54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54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54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54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54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4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54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54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54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54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54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54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54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545E"/>
    <w:rPr>
      <w:rFonts w:eastAsiaTheme="majorEastAsia" w:cstheme="majorBidi"/>
      <w:color w:val="272727" w:themeColor="text1" w:themeTint="D8"/>
    </w:rPr>
  </w:style>
  <w:style w:type="paragraph" w:styleId="Ttulo">
    <w:name w:val="Title"/>
    <w:basedOn w:val="Normal"/>
    <w:next w:val="Normal"/>
    <w:link w:val="TtuloCar"/>
    <w:uiPriority w:val="10"/>
    <w:qFormat/>
    <w:rsid w:val="001F5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54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54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54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545E"/>
    <w:pPr>
      <w:spacing w:before="160"/>
      <w:jc w:val="center"/>
    </w:pPr>
    <w:rPr>
      <w:i/>
      <w:iCs/>
      <w:color w:val="404040" w:themeColor="text1" w:themeTint="BF"/>
    </w:rPr>
  </w:style>
  <w:style w:type="character" w:customStyle="1" w:styleId="CitaCar">
    <w:name w:val="Cita Car"/>
    <w:basedOn w:val="Fuentedeprrafopredeter"/>
    <w:link w:val="Cita"/>
    <w:uiPriority w:val="29"/>
    <w:rsid w:val="001F545E"/>
    <w:rPr>
      <w:i/>
      <w:iCs/>
      <w:color w:val="404040" w:themeColor="text1" w:themeTint="BF"/>
    </w:rPr>
  </w:style>
  <w:style w:type="paragraph" w:styleId="Prrafodelista">
    <w:name w:val="List Paragraph"/>
    <w:basedOn w:val="Normal"/>
    <w:uiPriority w:val="34"/>
    <w:qFormat/>
    <w:rsid w:val="001F545E"/>
    <w:pPr>
      <w:ind w:left="720"/>
      <w:contextualSpacing/>
    </w:pPr>
  </w:style>
  <w:style w:type="character" w:styleId="nfasisintenso">
    <w:name w:val="Intense Emphasis"/>
    <w:basedOn w:val="Fuentedeprrafopredeter"/>
    <w:uiPriority w:val="21"/>
    <w:qFormat/>
    <w:rsid w:val="001F545E"/>
    <w:rPr>
      <w:i/>
      <w:iCs/>
      <w:color w:val="2F5496" w:themeColor="accent1" w:themeShade="BF"/>
    </w:rPr>
  </w:style>
  <w:style w:type="paragraph" w:styleId="Citadestacada">
    <w:name w:val="Intense Quote"/>
    <w:basedOn w:val="Normal"/>
    <w:next w:val="Normal"/>
    <w:link w:val="CitadestacadaCar"/>
    <w:uiPriority w:val="30"/>
    <w:qFormat/>
    <w:rsid w:val="001F5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545E"/>
    <w:rPr>
      <w:i/>
      <w:iCs/>
      <w:color w:val="2F5496" w:themeColor="accent1" w:themeShade="BF"/>
    </w:rPr>
  </w:style>
  <w:style w:type="character" w:styleId="Referenciaintensa">
    <w:name w:val="Intense Reference"/>
    <w:basedOn w:val="Fuentedeprrafopredeter"/>
    <w:uiPriority w:val="32"/>
    <w:qFormat/>
    <w:rsid w:val="001F545E"/>
    <w:rPr>
      <w:b/>
      <w:bCs/>
      <w:smallCaps/>
      <w:color w:val="2F5496" w:themeColor="accent1" w:themeShade="BF"/>
      <w:spacing w:val="5"/>
    </w:rPr>
  </w:style>
  <w:style w:type="paragraph" w:customStyle="1" w:styleId="Vietasegundonivel">
    <w:name w:val="Viñeta segundo nivel"/>
    <w:basedOn w:val="Normal"/>
    <w:autoRedefine/>
    <w:rsid w:val="001F545E"/>
    <w:pPr>
      <w:spacing w:after="0" w:line="360" w:lineRule="auto"/>
      <w:contextualSpacing/>
      <w:jc w:val="both"/>
    </w:pPr>
    <w:rPr>
      <w:rFonts w:ascii="Calibri" w:eastAsia="Times New Roman"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876</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Pellissa</dc:creator>
  <cp:keywords/>
  <dc:description/>
  <cp:lastModifiedBy>Rita Pellissa</cp:lastModifiedBy>
  <cp:revision>1</cp:revision>
  <dcterms:created xsi:type="dcterms:W3CDTF">2026-01-18T01:52:00Z</dcterms:created>
  <dcterms:modified xsi:type="dcterms:W3CDTF">2026-01-18T06:57:00Z</dcterms:modified>
</cp:coreProperties>
</file>